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7D85" w14:textId="4B6220FB" w:rsidR="00660A5B" w:rsidRDefault="00460324" w:rsidP="00DE7AA9">
      <w:pPr>
        <w:jc w:val="center"/>
        <w:rPr>
          <w:rFonts w:ascii="Times New Roman" w:hAnsi="Times New Roman" w:cs="Times New Roman"/>
          <w:sz w:val="24"/>
          <w:szCs w:val="24"/>
        </w:rPr>
      </w:pPr>
      <w:r>
        <w:rPr>
          <w:rFonts w:ascii="Times New Roman" w:hAnsi="Times New Roman" w:cs="Times New Roman"/>
          <w:sz w:val="24"/>
          <w:szCs w:val="24"/>
        </w:rPr>
        <w:t>Gautų p</w:t>
      </w:r>
      <w:r w:rsidR="0092535F">
        <w:rPr>
          <w:rFonts w:ascii="Times New Roman" w:hAnsi="Times New Roman" w:cs="Times New Roman"/>
          <w:sz w:val="24"/>
          <w:szCs w:val="24"/>
        </w:rPr>
        <w:t xml:space="preserve">astabų dėl </w:t>
      </w:r>
      <w:r w:rsidR="002A5257">
        <w:rPr>
          <w:rFonts w:ascii="Times New Roman" w:hAnsi="Times New Roman" w:cs="Times New Roman"/>
          <w:sz w:val="24"/>
          <w:szCs w:val="24"/>
        </w:rPr>
        <w:t>Teisingumo sistemos plėtros programos projekto derinimo pažyma</w:t>
      </w:r>
    </w:p>
    <w:p w14:paraId="1D953676" w14:textId="5DF361F6" w:rsidR="00DE7AA9" w:rsidRDefault="00DE7AA9" w:rsidP="00DE7AA9">
      <w:pPr>
        <w:jc w:val="center"/>
        <w:rPr>
          <w:rFonts w:ascii="Times New Roman" w:hAnsi="Times New Roman" w:cs="Times New Roman"/>
          <w:sz w:val="24"/>
          <w:szCs w:val="24"/>
        </w:rPr>
      </w:pPr>
    </w:p>
    <w:tbl>
      <w:tblPr>
        <w:tblStyle w:val="Lentelstinklelis"/>
        <w:tblW w:w="14454" w:type="dxa"/>
        <w:tblLayout w:type="fixed"/>
        <w:tblLook w:val="04A0" w:firstRow="1" w:lastRow="0" w:firstColumn="1" w:lastColumn="0" w:noHBand="0" w:noVBand="1"/>
      </w:tblPr>
      <w:tblGrid>
        <w:gridCol w:w="601"/>
        <w:gridCol w:w="1563"/>
        <w:gridCol w:w="6053"/>
        <w:gridCol w:w="6237"/>
      </w:tblGrid>
      <w:tr w:rsidR="005550B9" w14:paraId="5AFFE073" w14:textId="77777777" w:rsidTr="005550B9">
        <w:tc>
          <w:tcPr>
            <w:tcW w:w="601" w:type="dxa"/>
          </w:tcPr>
          <w:p w14:paraId="0600C8DB" w14:textId="4D1428C0" w:rsidR="00DE7AA9" w:rsidRDefault="00DE7AA9" w:rsidP="00DE7AA9">
            <w:pPr>
              <w:jc w:val="center"/>
              <w:rPr>
                <w:rFonts w:ascii="Times New Roman" w:hAnsi="Times New Roman" w:cs="Times New Roman"/>
                <w:sz w:val="24"/>
                <w:szCs w:val="24"/>
              </w:rPr>
            </w:pPr>
            <w:r>
              <w:rPr>
                <w:rFonts w:ascii="Times New Roman" w:hAnsi="Times New Roman" w:cs="Times New Roman"/>
                <w:sz w:val="24"/>
                <w:szCs w:val="24"/>
              </w:rPr>
              <w:t>Nr.</w:t>
            </w:r>
          </w:p>
        </w:tc>
        <w:tc>
          <w:tcPr>
            <w:tcW w:w="1563" w:type="dxa"/>
          </w:tcPr>
          <w:p w14:paraId="619461A7" w14:textId="6A4D79D8" w:rsidR="00DE7AA9" w:rsidRDefault="00432B26" w:rsidP="00DE7AA9">
            <w:pPr>
              <w:jc w:val="center"/>
              <w:rPr>
                <w:rFonts w:ascii="Times New Roman" w:hAnsi="Times New Roman" w:cs="Times New Roman"/>
                <w:sz w:val="24"/>
                <w:szCs w:val="24"/>
              </w:rPr>
            </w:pPr>
            <w:r>
              <w:rPr>
                <w:rFonts w:ascii="Times New Roman" w:hAnsi="Times New Roman" w:cs="Times New Roman"/>
                <w:sz w:val="24"/>
                <w:szCs w:val="24"/>
              </w:rPr>
              <w:t>Institucija</w:t>
            </w:r>
          </w:p>
        </w:tc>
        <w:tc>
          <w:tcPr>
            <w:tcW w:w="6053" w:type="dxa"/>
          </w:tcPr>
          <w:p w14:paraId="14732980" w14:textId="31B6FF6A" w:rsidR="00DE7AA9" w:rsidRDefault="00DE7AA9" w:rsidP="00DE7AA9">
            <w:pPr>
              <w:jc w:val="center"/>
              <w:rPr>
                <w:rFonts w:ascii="Times New Roman" w:hAnsi="Times New Roman" w:cs="Times New Roman"/>
                <w:sz w:val="24"/>
                <w:szCs w:val="24"/>
              </w:rPr>
            </w:pPr>
            <w:r>
              <w:rPr>
                <w:rFonts w:ascii="Times New Roman" w:hAnsi="Times New Roman" w:cs="Times New Roman"/>
                <w:sz w:val="24"/>
                <w:szCs w:val="24"/>
              </w:rPr>
              <w:t>Pastaba</w:t>
            </w:r>
          </w:p>
        </w:tc>
        <w:tc>
          <w:tcPr>
            <w:tcW w:w="6237" w:type="dxa"/>
          </w:tcPr>
          <w:p w14:paraId="210BC135" w14:textId="7BC12091" w:rsidR="00DE7AA9" w:rsidRDefault="00DE7AA9" w:rsidP="00DE7AA9">
            <w:pPr>
              <w:jc w:val="center"/>
              <w:rPr>
                <w:rFonts w:ascii="Times New Roman" w:hAnsi="Times New Roman" w:cs="Times New Roman"/>
                <w:sz w:val="24"/>
                <w:szCs w:val="24"/>
              </w:rPr>
            </w:pPr>
            <w:r>
              <w:rPr>
                <w:rFonts w:ascii="Times New Roman" w:hAnsi="Times New Roman" w:cs="Times New Roman"/>
                <w:sz w:val="24"/>
                <w:szCs w:val="24"/>
              </w:rPr>
              <w:t>Atsakymas</w:t>
            </w:r>
          </w:p>
        </w:tc>
      </w:tr>
      <w:tr w:rsidR="00DE7AA9" w14:paraId="0C8CA2A8" w14:textId="77777777" w:rsidTr="005550B9">
        <w:tc>
          <w:tcPr>
            <w:tcW w:w="14454" w:type="dxa"/>
            <w:gridSpan w:val="4"/>
          </w:tcPr>
          <w:p w14:paraId="2EFC114E" w14:textId="77777777" w:rsidR="002A2F60" w:rsidRDefault="002A2F60" w:rsidP="00DE7AA9">
            <w:pPr>
              <w:jc w:val="center"/>
              <w:rPr>
                <w:rFonts w:ascii="Times New Roman" w:hAnsi="Times New Roman" w:cs="Times New Roman"/>
                <w:sz w:val="24"/>
                <w:szCs w:val="24"/>
              </w:rPr>
            </w:pPr>
          </w:p>
          <w:p w14:paraId="25DF8F63" w14:textId="711ADF79" w:rsidR="00DE7AA9" w:rsidRDefault="00196320" w:rsidP="00DE7AA9">
            <w:pPr>
              <w:jc w:val="center"/>
              <w:rPr>
                <w:rFonts w:ascii="Times New Roman" w:hAnsi="Times New Roman" w:cs="Times New Roman"/>
                <w:sz w:val="24"/>
                <w:szCs w:val="24"/>
              </w:rPr>
            </w:pPr>
            <w:r>
              <w:rPr>
                <w:rFonts w:ascii="Times New Roman" w:hAnsi="Times New Roman" w:cs="Times New Roman"/>
                <w:sz w:val="24"/>
                <w:szCs w:val="24"/>
              </w:rPr>
              <w:t>Specialiųjų tyrimų tarnyba</w:t>
            </w:r>
          </w:p>
        </w:tc>
      </w:tr>
      <w:tr w:rsidR="005550B9" w14:paraId="78246C23" w14:textId="77777777" w:rsidTr="005550B9">
        <w:tc>
          <w:tcPr>
            <w:tcW w:w="601" w:type="dxa"/>
          </w:tcPr>
          <w:p w14:paraId="76FB8932" w14:textId="3124369B" w:rsidR="00DE7AA9" w:rsidRDefault="00DE7AA9" w:rsidP="00DE7AA9">
            <w:pPr>
              <w:jc w:val="center"/>
              <w:rPr>
                <w:rFonts w:ascii="Times New Roman" w:hAnsi="Times New Roman" w:cs="Times New Roman"/>
                <w:sz w:val="24"/>
                <w:szCs w:val="24"/>
              </w:rPr>
            </w:pPr>
            <w:r>
              <w:rPr>
                <w:rFonts w:ascii="Times New Roman" w:hAnsi="Times New Roman" w:cs="Times New Roman"/>
                <w:sz w:val="24"/>
                <w:szCs w:val="24"/>
              </w:rPr>
              <w:t>1.</w:t>
            </w:r>
          </w:p>
        </w:tc>
        <w:tc>
          <w:tcPr>
            <w:tcW w:w="1563" w:type="dxa"/>
          </w:tcPr>
          <w:p w14:paraId="0A48CAC5" w14:textId="22CDFEEC" w:rsidR="00DE7AA9" w:rsidRPr="00DE7AA9"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Specialiųjų tyrimų tarnyba</w:t>
            </w:r>
          </w:p>
        </w:tc>
        <w:tc>
          <w:tcPr>
            <w:tcW w:w="6053" w:type="dxa"/>
          </w:tcPr>
          <w:p w14:paraId="3EA84A6B" w14:textId="77777777" w:rsidR="00196320" w:rsidRPr="00196320" w:rsidRDefault="00196320" w:rsidP="005867DE">
            <w:pPr>
              <w:jc w:val="both"/>
              <w:rPr>
                <w:rFonts w:ascii="Times New Roman" w:hAnsi="Times New Roman" w:cs="Times New Roman"/>
                <w:sz w:val="24"/>
                <w:szCs w:val="24"/>
              </w:rPr>
            </w:pPr>
            <w:r w:rsidRPr="00196320">
              <w:rPr>
                <w:rFonts w:ascii="Times New Roman" w:hAnsi="Times New Roman" w:cs="Times New Roman"/>
                <w:sz w:val="24"/>
                <w:szCs w:val="24"/>
              </w:rPr>
              <w:t xml:space="preserve">Susipažinę su pateiktu derinimui 2021–2030 metų Teisingumo sistemos plėtros programos projektu (toliau – Projektas) manome, kad Projekte būtų tikslinga detaliau atspindėti kokiomis priemonėmis numatoma siekti 2020 m. rugsėjo 9 d. Vyriausybės nutarimu Nr. 998 patvirtino 2021–2030 m. nacionalinio pažangos plano (toliau – NPP) 8 strateginio tikslo poveikio rodiklio pokyčio - iki 2030 m. pasiekti, kad Korupcijos suvokimo indeksas būtų 72 balai. Taip pat siūlome įvertinti galimybę nurodyti ir kitas veiklas, kuriomis bus siekiama NPP 8 strateginio tikslo 8.3 uždavinio „Tobulinti korupcijos prevencijos sistemą“ numatytų rodiklių neapsiribojant tik teismų sistemos veiklos organizavimo efektyvumo didinimu. </w:t>
            </w:r>
          </w:p>
          <w:p w14:paraId="2597A2D6" w14:textId="593BCC80" w:rsidR="00DE7AA9" w:rsidRDefault="00196320" w:rsidP="005867DE">
            <w:pPr>
              <w:jc w:val="both"/>
              <w:rPr>
                <w:rFonts w:ascii="Times New Roman" w:hAnsi="Times New Roman" w:cs="Times New Roman"/>
                <w:sz w:val="24"/>
                <w:szCs w:val="24"/>
              </w:rPr>
            </w:pPr>
            <w:r w:rsidRPr="00196320">
              <w:rPr>
                <w:rFonts w:ascii="Times New Roman" w:hAnsi="Times New Roman" w:cs="Times New Roman"/>
                <w:sz w:val="24"/>
                <w:szCs w:val="24"/>
              </w:rPr>
              <w:t xml:space="preserve">Manome, kad tikslinga atspindėti ir su būsimos Nacionalinės darbotvarkės korupcijos prevencijos klausimais įgyvendinimu susijusias veiklas, </w:t>
            </w:r>
            <w:proofErr w:type="spellStart"/>
            <w:r w:rsidRPr="00196320">
              <w:rPr>
                <w:rFonts w:ascii="Times New Roman" w:hAnsi="Times New Roman" w:cs="Times New Roman"/>
                <w:sz w:val="24"/>
                <w:szCs w:val="24"/>
              </w:rPr>
              <w:t>t.y</w:t>
            </w:r>
            <w:proofErr w:type="spellEnd"/>
            <w:r w:rsidRPr="00196320">
              <w:rPr>
                <w:rFonts w:ascii="Times New Roman" w:hAnsi="Times New Roman" w:cs="Times New Roman"/>
                <w:sz w:val="24"/>
                <w:szCs w:val="24"/>
              </w:rPr>
              <w:t>. Nacionalinės darbotvarkės korupcijos prevencijos klausimais plano parengimą ir jo įgyvendinimą.</w:t>
            </w:r>
          </w:p>
        </w:tc>
        <w:tc>
          <w:tcPr>
            <w:tcW w:w="6237" w:type="dxa"/>
          </w:tcPr>
          <w:p w14:paraId="47BF4485" w14:textId="199202F4" w:rsidR="005550B9" w:rsidRDefault="005550B9" w:rsidP="00DE7AA9">
            <w:pPr>
              <w:jc w:val="both"/>
              <w:rPr>
                <w:rFonts w:ascii="Times New Roman" w:hAnsi="Times New Roman" w:cs="Times New Roman"/>
                <w:sz w:val="24"/>
                <w:szCs w:val="24"/>
                <w:u w:val="single"/>
              </w:rPr>
            </w:pPr>
            <w:r w:rsidRPr="002A5257">
              <w:rPr>
                <w:rFonts w:ascii="Times New Roman" w:hAnsi="Times New Roman" w:cs="Times New Roman"/>
                <w:sz w:val="24"/>
                <w:szCs w:val="24"/>
                <w:u w:val="single"/>
              </w:rPr>
              <w:t>Neatsižvelgta.</w:t>
            </w:r>
          </w:p>
          <w:p w14:paraId="11880217" w14:textId="77777777" w:rsidR="00EC0AB1" w:rsidRPr="002A5257" w:rsidRDefault="00EC0AB1" w:rsidP="00DE7AA9">
            <w:pPr>
              <w:jc w:val="both"/>
              <w:rPr>
                <w:rFonts w:ascii="Times New Roman" w:hAnsi="Times New Roman" w:cs="Times New Roman"/>
                <w:sz w:val="24"/>
                <w:szCs w:val="24"/>
                <w:u w:val="single"/>
              </w:rPr>
            </w:pPr>
          </w:p>
          <w:p w14:paraId="454EB938" w14:textId="72A74839" w:rsidR="00DE7AA9" w:rsidRDefault="00B31E9E" w:rsidP="00DE7AA9">
            <w:pPr>
              <w:jc w:val="both"/>
              <w:rPr>
                <w:rFonts w:ascii="Times New Roman" w:hAnsi="Times New Roman" w:cs="Times New Roman"/>
                <w:sz w:val="24"/>
                <w:szCs w:val="24"/>
              </w:rPr>
            </w:pPr>
            <w:r>
              <w:rPr>
                <w:rFonts w:ascii="Times New Roman" w:hAnsi="Times New Roman" w:cs="Times New Roman"/>
                <w:sz w:val="24"/>
                <w:szCs w:val="24"/>
              </w:rPr>
              <w:t xml:space="preserve">Pastebėtina, kad TSPP rengiama įgyvendinti </w:t>
            </w:r>
            <w:r w:rsidR="008459CD">
              <w:rPr>
                <w:rFonts w:ascii="Times New Roman" w:hAnsi="Times New Roman" w:cs="Times New Roman"/>
                <w:sz w:val="24"/>
                <w:szCs w:val="24"/>
              </w:rPr>
              <w:t xml:space="preserve">NPP 8.1 ir 8.2 uždavinius. NPP 8.3 uždavinį </w:t>
            </w:r>
            <w:r w:rsidR="006E02D7">
              <w:rPr>
                <w:rFonts w:ascii="Times New Roman" w:hAnsi="Times New Roman" w:cs="Times New Roman"/>
                <w:sz w:val="24"/>
                <w:szCs w:val="24"/>
              </w:rPr>
              <w:t xml:space="preserve">įgyvendinti turėtų būti rengiama atskira plėtros programa arba </w:t>
            </w:r>
            <w:r w:rsidR="006E02D7" w:rsidRPr="006E02D7">
              <w:rPr>
                <w:rFonts w:ascii="Times New Roman" w:hAnsi="Times New Roman" w:cs="Times New Roman"/>
                <w:sz w:val="24"/>
                <w:szCs w:val="24"/>
              </w:rPr>
              <w:t>Nacionalinės darbotvarkės korupcijos prevencijos klausimais plan</w:t>
            </w:r>
            <w:r w:rsidR="006E02D7">
              <w:rPr>
                <w:rFonts w:ascii="Times New Roman" w:hAnsi="Times New Roman" w:cs="Times New Roman"/>
                <w:sz w:val="24"/>
                <w:szCs w:val="24"/>
              </w:rPr>
              <w:t xml:space="preserve">as įgyvendinimas per kitus planavimo dokumentus, tačiau pirma turėtų būti parengtas </w:t>
            </w:r>
            <w:r w:rsidR="0072437C">
              <w:rPr>
                <w:rFonts w:ascii="Times New Roman" w:hAnsi="Times New Roman" w:cs="Times New Roman"/>
                <w:sz w:val="24"/>
                <w:szCs w:val="24"/>
              </w:rPr>
              <w:t>nacionalinės darbotvarkės projektas</w:t>
            </w:r>
            <w:r w:rsidR="00E54C7F">
              <w:rPr>
                <w:rFonts w:ascii="Times New Roman" w:hAnsi="Times New Roman" w:cs="Times New Roman"/>
                <w:sz w:val="24"/>
                <w:szCs w:val="24"/>
              </w:rPr>
              <w:t>, taip pat apsvarstyta ir patvirtinta ši darbotvarkė. Akivaizdu, kad šio aukštesnės galios planavimo dokumento turinys gali nulemti atitinkamų priemonių turinį</w:t>
            </w:r>
            <w:r w:rsidR="0072437C">
              <w:rPr>
                <w:rFonts w:ascii="Times New Roman" w:hAnsi="Times New Roman" w:cs="Times New Roman"/>
                <w:sz w:val="24"/>
                <w:szCs w:val="24"/>
              </w:rPr>
              <w:t>.</w:t>
            </w:r>
          </w:p>
        </w:tc>
      </w:tr>
      <w:tr w:rsidR="000B5CEC" w14:paraId="15A60AAC" w14:textId="77777777" w:rsidTr="005550B9">
        <w:tc>
          <w:tcPr>
            <w:tcW w:w="14454" w:type="dxa"/>
            <w:gridSpan w:val="4"/>
          </w:tcPr>
          <w:p w14:paraId="40F621C8" w14:textId="77777777" w:rsidR="002A2F60" w:rsidRDefault="002A2F60" w:rsidP="00DE7AA9">
            <w:pPr>
              <w:jc w:val="center"/>
              <w:rPr>
                <w:rFonts w:ascii="Times New Roman" w:hAnsi="Times New Roman" w:cs="Times New Roman"/>
                <w:sz w:val="24"/>
                <w:szCs w:val="24"/>
              </w:rPr>
            </w:pPr>
          </w:p>
          <w:p w14:paraId="09D042F9" w14:textId="1730A9FE" w:rsidR="000B5CEC" w:rsidRDefault="00F52C84" w:rsidP="00DE7AA9">
            <w:pPr>
              <w:jc w:val="center"/>
              <w:rPr>
                <w:rFonts w:ascii="Times New Roman" w:hAnsi="Times New Roman" w:cs="Times New Roman"/>
                <w:sz w:val="24"/>
                <w:szCs w:val="24"/>
              </w:rPr>
            </w:pPr>
            <w:r>
              <w:rPr>
                <w:rFonts w:ascii="Times New Roman" w:hAnsi="Times New Roman" w:cs="Times New Roman"/>
                <w:sz w:val="24"/>
                <w:szCs w:val="24"/>
              </w:rPr>
              <w:t>Lietuvos Respublikos š</w:t>
            </w:r>
            <w:r w:rsidR="00460324">
              <w:rPr>
                <w:rFonts w:ascii="Times New Roman" w:hAnsi="Times New Roman" w:cs="Times New Roman"/>
                <w:sz w:val="24"/>
                <w:szCs w:val="24"/>
              </w:rPr>
              <w:t>vietimo, mokslo ir sporto ministerija</w:t>
            </w:r>
          </w:p>
        </w:tc>
      </w:tr>
      <w:tr w:rsidR="005550B9" w14:paraId="1A32CC8D" w14:textId="77777777" w:rsidTr="005550B9">
        <w:tc>
          <w:tcPr>
            <w:tcW w:w="601" w:type="dxa"/>
          </w:tcPr>
          <w:p w14:paraId="6781C0A7" w14:textId="102E37EC" w:rsidR="00DE7AA9" w:rsidRDefault="000E3C98" w:rsidP="00DE7AA9">
            <w:pPr>
              <w:jc w:val="center"/>
              <w:rPr>
                <w:rFonts w:ascii="Times New Roman" w:hAnsi="Times New Roman" w:cs="Times New Roman"/>
                <w:sz w:val="24"/>
                <w:szCs w:val="24"/>
              </w:rPr>
            </w:pPr>
            <w:r>
              <w:rPr>
                <w:rFonts w:ascii="Times New Roman" w:hAnsi="Times New Roman" w:cs="Times New Roman"/>
                <w:sz w:val="24"/>
                <w:szCs w:val="24"/>
              </w:rPr>
              <w:t>2.</w:t>
            </w:r>
          </w:p>
        </w:tc>
        <w:tc>
          <w:tcPr>
            <w:tcW w:w="1563" w:type="dxa"/>
          </w:tcPr>
          <w:p w14:paraId="1DF43583" w14:textId="6D4D7A7F" w:rsidR="00DE7AA9" w:rsidRDefault="00F52C84" w:rsidP="00DE7AA9">
            <w:pPr>
              <w:jc w:val="center"/>
              <w:rPr>
                <w:rFonts w:ascii="Times New Roman" w:hAnsi="Times New Roman" w:cs="Times New Roman"/>
                <w:sz w:val="24"/>
                <w:szCs w:val="24"/>
              </w:rPr>
            </w:pPr>
            <w:r>
              <w:rPr>
                <w:rFonts w:ascii="Times New Roman" w:hAnsi="Times New Roman" w:cs="Times New Roman"/>
                <w:sz w:val="24"/>
                <w:szCs w:val="24"/>
              </w:rPr>
              <w:t>Lietuvos Respublikos š</w:t>
            </w:r>
            <w:r w:rsidR="00EF4405">
              <w:rPr>
                <w:rFonts w:ascii="Times New Roman" w:hAnsi="Times New Roman" w:cs="Times New Roman"/>
                <w:sz w:val="24"/>
                <w:szCs w:val="24"/>
              </w:rPr>
              <w:t>vietimo, mokslo ir sporto ministerija</w:t>
            </w:r>
          </w:p>
        </w:tc>
        <w:tc>
          <w:tcPr>
            <w:tcW w:w="6053" w:type="dxa"/>
          </w:tcPr>
          <w:p w14:paraId="3CB5B1F0" w14:textId="564B5882" w:rsidR="00DE7AA9" w:rsidRDefault="00816B05" w:rsidP="005B5934">
            <w:pPr>
              <w:jc w:val="both"/>
              <w:rPr>
                <w:rFonts w:ascii="Times New Roman" w:hAnsi="Times New Roman" w:cs="Times New Roman"/>
                <w:sz w:val="24"/>
                <w:szCs w:val="24"/>
              </w:rPr>
            </w:pPr>
            <w:r w:rsidRPr="00816B05">
              <w:rPr>
                <w:rFonts w:ascii="Times New Roman" w:hAnsi="Times New Roman" w:cs="Times New Roman"/>
                <w:sz w:val="24"/>
                <w:szCs w:val="24"/>
              </w:rPr>
              <w:t>Su Plėtros programos projektu ir susijusiais dokumentais susipažinome ir siūlome  8 priemonę sieti ir su 3.1 uždaviniu „Pagerinti švietimo kokybę ir sumažinti ugdymosi rezultatų atotrūkį“, kuriame planuojamos priemonės, susijusios su formaliojo ugdymo turinio įgyvendinimu.</w:t>
            </w:r>
          </w:p>
        </w:tc>
        <w:tc>
          <w:tcPr>
            <w:tcW w:w="6237" w:type="dxa"/>
          </w:tcPr>
          <w:p w14:paraId="54C80C70" w14:textId="77777777" w:rsidR="00EC0AB1" w:rsidRDefault="005550B9" w:rsidP="005B5934">
            <w:pPr>
              <w:jc w:val="both"/>
              <w:rPr>
                <w:rFonts w:ascii="Times New Roman" w:hAnsi="Times New Roman" w:cs="Times New Roman"/>
                <w:sz w:val="24"/>
                <w:szCs w:val="24"/>
                <w:u w:val="single"/>
              </w:rPr>
            </w:pPr>
            <w:r w:rsidRPr="00FE4EEE">
              <w:rPr>
                <w:rFonts w:ascii="Times New Roman" w:hAnsi="Times New Roman" w:cs="Times New Roman"/>
                <w:sz w:val="24"/>
                <w:szCs w:val="24"/>
                <w:u w:val="single"/>
              </w:rPr>
              <w:t>Atsižvelgta</w:t>
            </w:r>
            <w:r w:rsidR="00EC0AB1">
              <w:rPr>
                <w:rFonts w:ascii="Times New Roman" w:hAnsi="Times New Roman" w:cs="Times New Roman"/>
                <w:sz w:val="24"/>
                <w:szCs w:val="24"/>
                <w:u w:val="single"/>
              </w:rPr>
              <w:t>.</w:t>
            </w:r>
          </w:p>
          <w:p w14:paraId="01EC7D8A" w14:textId="29C4EFB8" w:rsidR="005550B9" w:rsidRPr="00FE4EEE" w:rsidRDefault="005550B9" w:rsidP="005B5934">
            <w:pPr>
              <w:jc w:val="both"/>
              <w:rPr>
                <w:rFonts w:ascii="Times New Roman" w:hAnsi="Times New Roman" w:cs="Times New Roman"/>
                <w:sz w:val="24"/>
                <w:szCs w:val="24"/>
                <w:u w:val="single"/>
              </w:rPr>
            </w:pPr>
          </w:p>
          <w:p w14:paraId="21782BBE" w14:textId="1EDA889F" w:rsidR="005B5934" w:rsidRDefault="00D37289" w:rsidP="005B5934">
            <w:pPr>
              <w:jc w:val="both"/>
              <w:rPr>
                <w:rFonts w:ascii="Times New Roman" w:hAnsi="Times New Roman" w:cs="Times New Roman"/>
                <w:sz w:val="24"/>
                <w:szCs w:val="24"/>
              </w:rPr>
            </w:pPr>
            <w:r>
              <w:rPr>
                <w:rFonts w:ascii="Times New Roman" w:hAnsi="Times New Roman" w:cs="Times New Roman"/>
                <w:sz w:val="24"/>
                <w:szCs w:val="24"/>
              </w:rPr>
              <w:t>P</w:t>
            </w:r>
            <w:r w:rsidR="00FE4EEE">
              <w:rPr>
                <w:rFonts w:ascii="Times New Roman" w:hAnsi="Times New Roman" w:cs="Times New Roman"/>
                <w:sz w:val="24"/>
                <w:szCs w:val="24"/>
              </w:rPr>
              <w:t>rojektas papildytas nurodyt</w:t>
            </w:r>
            <w:r w:rsidR="00BD6C2E">
              <w:rPr>
                <w:rFonts w:ascii="Times New Roman" w:hAnsi="Times New Roman" w:cs="Times New Roman"/>
                <w:sz w:val="24"/>
                <w:szCs w:val="24"/>
              </w:rPr>
              <w:t>u NPP uždaviniu.</w:t>
            </w:r>
          </w:p>
        </w:tc>
      </w:tr>
      <w:tr w:rsidR="0052773E" w14:paraId="0078B95E" w14:textId="77777777" w:rsidTr="005550B9">
        <w:tc>
          <w:tcPr>
            <w:tcW w:w="14454" w:type="dxa"/>
            <w:gridSpan w:val="4"/>
          </w:tcPr>
          <w:p w14:paraId="2ADBD3CB" w14:textId="77777777" w:rsidR="002A2F60" w:rsidRDefault="002A2F60" w:rsidP="00DE7AA9">
            <w:pPr>
              <w:jc w:val="center"/>
              <w:rPr>
                <w:rFonts w:ascii="Times New Roman" w:hAnsi="Times New Roman" w:cs="Times New Roman"/>
                <w:sz w:val="24"/>
                <w:szCs w:val="24"/>
              </w:rPr>
            </w:pPr>
          </w:p>
          <w:p w14:paraId="70D397F0" w14:textId="3D7ACB73" w:rsidR="0052773E" w:rsidRDefault="002261D7" w:rsidP="00DE7AA9">
            <w:pPr>
              <w:jc w:val="center"/>
              <w:rPr>
                <w:rFonts w:ascii="Times New Roman" w:hAnsi="Times New Roman" w:cs="Times New Roman"/>
                <w:sz w:val="24"/>
                <w:szCs w:val="24"/>
              </w:rPr>
            </w:pPr>
            <w:r w:rsidRPr="002261D7">
              <w:rPr>
                <w:rFonts w:ascii="Times New Roman" w:hAnsi="Times New Roman" w:cs="Times New Roman"/>
                <w:sz w:val="24"/>
                <w:szCs w:val="24"/>
              </w:rPr>
              <w:t>Lietuvos Respublikos ryšių reguliavimo tarnyba</w:t>
            </w:r>
          </w:p>
        </w:tc>
      </w:tr>
      <w:tr w:rsidR="005550B9" w14:paraId="5D4ADD8E" w14:textId="77777777" w:rsidTr="005550B9">
        <w:tc>
          <w:tcPr>
            <w:tcW w:w="601" w:type="dxa"/>
          </w:tcPr>
          <w:p w14:paraId="6534DE8B" w14:textId="7BBE50B9" w:rsidR="00DE7AA9"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63" w:type="dxa"/>
          </w:tcPr>
          <w:p w14:paraId="326C0345" w14:textId="31967BC7" w:rsidR="00DE7AA9"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ryšių reguliavimo tarnyba</w:t>
            </w:r>
          </w:p>
        </w:tc>
        <w:tc>
          <w:tcPr>
            <w:tcW w:w="6053" w:type="dxa"/>
          </w:tcPr>
          <w:p w14:paraId="3A15F16B" w14:textId="77777777" w:rsidR="00561161" w:rsidRPr="00561161" w:rsidRDefault="00561161" w:rsidP="00561161">
            <w:pPr>
              <w:jc w:val="both"/>
              <w:rPr>
                <w:rFonts w:ascii="Times New Roman" w:hAnsi="Times New Roman" w:cs="Times New Roman"/>
                <w:sz w:val="24"/>
                <w:szCs w:val="24"/>
              </w:rPr>
            </w:pPr>
            <w:r w:rsidRPr="00561161">
              <w:rPr>
                <w:rFonts w:ascii="Times New Roman" w:hAnsi="Times New Roman" w:cs="Times New Roman"/>
                <w:sz w:val="24"/>
                <w:szCs w:val="24"/>
              </w:rPr>
              <w:t xml:space="preserve">Plėtros programos projekto I skyriuje „Plėtros programos paskirtis“ nurodytai 4 problemai „Nepakankamai veiksminga vartotojų teisių apsaugos sistema“ ir šios problemos 4.1-4.4 papunkčiuose nurodytoms priežastims  spręsti (pašalinti) yra nustatyta 8 priemonė – „Didinti vartotojų teisių apsaugos sistemos efektyvumą“. Plėtros programos projekto III skyriuje „Priemonių rinkinys“ lentelėje prie 8 priemonės kaip dalyvaujančios institucijos yra nurodytos: Lietuvos bankas (toliau – LB), Valstybinė energetikos reguliavimo tarnyba (toliau – VERT) ir Tarnyba. Pažymėtina, jog ankstesniame (2020 m. gruodžio mėn.) Plėtros programos projekte kaip dalyvaujančios buvo nurodytos kitos institucijos – Lietuvos Respublikos teisingumo ministerija ir Valstybinė vartotojų teisių apsaugos tarnyba (toliau – VVTAT). Lietuvos Respublikos vartotojų teisių apsaugos įstatymo (toliau – VTAĮ) 22 straipsnio 1 dalyje yra nurodytos vartojimo ginčus ne teismo tvarka nagrinėjančios institucijos, tarp kurių yra nurodyta ir VVTAT. </w:t>
            </w:r>
          </w:p>
          <w:p w14:paraId="74C649C7" w14:textId="76DB6E35" w:rsidR="00DE7AA9" w:rsidRDefault="00561161" w:rsidP="00561161">
            <w:pPr>
              <w:jc w:val="both"/>
              <w:rPr>
                <w:rFonts w:ascii="Times New Roman" w:hAnsi="Times New Roman" w:cs="Times New Roman"/>
                <w:sz w:val="24"/>
                <w:szCs w:val="24"/>
              </w:rPr>
            </w:pPr>
            <w:r w:rsidRPr="00561161">
              <w:rPr>
                <w:rFonts w:ascii="Times New Roman" w:hAnsi="Times New Roman" w:cs="Times New Roman"/>
                <w:sz w:val="24"/>
                <w:szCs w:val="24"/>
              </w:rPr>
              <w:t>VVTAT, vadovaujantis, VTAĮ 11 straipsnio 1 dalimi,  yra valstybės įstaiga prie Teisingumo ministerijos, įgyvendinanti valstybės politiką vartotojų teisių apsaugos srityje ir užtikrinanti vartotojų teisių apsaugą. Pagal VTAĮ 12 straipsnio 1 dalies 2 ir 5 punktus, VVTAT koordinuoja vartotojų teisių apsaugos institucijų, atsakingų už tam tikros vartojimo srities reguliavimą, veiklą vartotojų teisių apsaugos srityje (analizuoja sukauptą, periodiškai iš valstybės ir savivaldybių institucijų gaunamą informaciją apie vartotojų teisių apsaugą; teikia pasiūlymus dėl vartotojų teisių apsaugos tobulinimo) bei ne teismo tvarka sprendžia vartotojų ir pardavėjų, paslaugų teikėjų ginčus, todėl, Tarnybos nuomone, turi būti įtraukta į Plėtros programos projekto 8 priemonės uždavinius įgyvendinančių institucijų sąrašą</w:t>
            </w:r>
          </w:p>
        </w:tc>
        <w:tc>
          <w:tcPr>
            <w:tcW w:w="6237" w:type="dxa"/>
          </w:tcPr>
          <w:p w14:paraId="46E0729C" w14:textId="5128FEFF" w:rsidR="00DE7AA9" w:rsidRPr="009E3817" w:rsidRDefault="00E31C50" w:rsidP="00CD2D28">
            <w:pPr>
              <w:jc w:val="both"/>
              <w:rPr>
                <w:rFonts w:ascii="Times New Roman" w:hAnsi="Times New Roman" w:cs="Times New Roman"/>
                <w:sz w:val="24"/>
                <w:szCs w:val="24"/>
                <w:u w:val="single"/>
              </w:rPr>
            </w:pPr>
            <w:r>
              <w:rPr>
                <w:rFonts w:ascii="Times New Roman" w:hAnsi="Times New Roman" w:cs="Times New Roman"/>
                <w:sz w:val="24"/>
                <w:szCs w:val="24"/>
                <w:u w:val="single"/>
              </w:rPr>
              <w:t>Atsižvelgta iš dalies.</w:t>
            </w:r>
          </w:p>
          <w:p w14:paraId="41B8F6B5" w14:textId="7F5EBE38" w:rsidR="00CD2D28" w:rsidRDefault="00CD2D28" w:rsidP="00CD2D28">
            <w:pPr>
              <w:jc w:val="both"/>
              <w:rPr>
                <w:rFonts w:ascii="Times New Roman" w:hAnsi="Times New Roman" w:cs="Times New Roman"/>
                <w:sz w:val="24"/>
                <w:szCs w:val="24"/>
              </w:rPr>
            </w:pPr>
          </w:p>
          <w:p w14:paraId="70B45F61" w14:textId="7EB46CAE" w:rsidR="005E57D6" w:rsidRDefault="005E57D6" w:rsidP="00CD2D28">
            <w:pPr>
              <w:jc w:val="both"/>
              <w:rPr>
                <w:rFonts w:ascii="Times New Roman" w:hAnsi="Times New Roman" w:cs="Times New Roman"/>
                <w:sz w:val="24"/>
                <w:szCs w:val="24"/>
              </w:rPr>
            </w:pPr>
            <w:r>
              <w:rPr>
                <w:rFonts w:ascii="Times New Roman" w:hAnsi="Times New Roman" w:cs="Times New Roman"/>
                <w:sz w:val="24"/>
                <w:szCs w:val="24"/>
              </w:rPr>
              <w:t>N</w:t>
            </w:r>
            <w:r w:rsidRPr="005E57D6">
              <w:rPr>
                <w:rFonts w:ascii="Times New Roman" w:hAnsi="Times New Roman" w:cs="Times New Roman"/>
                <w:sz w:val="24"/>
                <w:szCs w:val="24"/>
              </w:rPr>
              <w:t xml:space="preserve">ebenurodomos kitos dalyvaujančios institucijos prie priemonės. Kadangi institucijos dalyvautų tik </w:t>
            </w:r>
            <w:r w:rsidR="000C46C7">
              <w:rPr>
                <w:rFonts w:ascii="Times New Roman" w:hAnsi="Times New Roman" w:cs="Times New Roman"/>
                <w:sz w:val="24"/>
                <w:szCs w:val="24"/>
              </w:rPr>
              <w:t xml:space="preserve">vienoje </w:t>
            </w:r>
            <w:r w:rsidR="0007561C">
              <w:rPr>
                <w:rFonts w:ascii="Times New Roman" w:hAnsi="Times New Roman" w:cs="Times New Roman"/>
                <w:sz w:val="24"/>
                <w:szCs w:val="24"/>
              </w:rPr>
              <w:t>(ar keliose)</w:t>
            </w:r>
            <w:r w:rsidRPr="005E57D6">
              <w:rPr>
                <w:rFonts w:ascii="Times New Roman" w:hAnsi="Times New Roman" w:cs="Times New Roman"/>
                <w:sz w:val="24"/>
                <w:szCs w:val="24"/>
              </w:rPr>
              <w:t xml:space="preserve"> </w:t>
            </w:r>
            <w:r w:rsidR="00E12291">
              <w:rPr>
                <w:rFonts w:ascii="Times New Roman" w:hAnsi="Times New Roman" w:cs="Times New Roman"/>
                <w:sz w:val="24"/>
                <w:szCs w:val="24"/>
              </w:rPr>
              <w:t xml:space="preserve">iš </w:t>
            </w:r>
            <w:r w:rsidRPr="005E57D6">
              <w:rPr>
                <w:rFonts w:ascii="Times New Roman" w:hAnsi="Times New Roman" w:cs="Times New Roman"/>
                <w:sz w:val="24"/>
                <w:szCs w:val="24"/>
              </w:rPr>
              <w:t>priemonės veikl</w:t>
            </w:r>
            <w:r w:rsidR="00E12291">
              <w:rPr>
                <w:rFonts w:ascii="Times New Roman" w:hAnsi="Times New Roman" w:cs="Times New Roman"/>
                <w:sz w:val="24"/>
                <w:szCs w:val="24"/>
              </w:rPr>
              <w:t>ų</w:t>
            </w:r>
            <w:r w:rsidRPr="005E57D6">
              <w:rPr>
                <w:rFonts w:ascii="Times New Roman" w:hAnsi="Times New Roman" w:cs="Times New Roman"/>
                <w:sz w:val="24"/>
                <w:szCs w:val="24"/>
              </w:rPr>
              <w:t>, konkrečios institucijos bus įtraukiamos priemonės rengimo etape.</w:t>
            </w:r>
          </w:p>
          <w:p w14:paraId="0F90719D" w14:textId="77777777" w:rsidR="0007561C" w:rsidRDefault="0007561C" w:rsidP="006D2DDC">
            <w:pPr>
              <w:jc w:val="both"/>
              <w:rPr>
                <w:rFonts w:ascii="Times New Roman" w:hAnsi="Times New Roman" w:cs="Times New Roman"/>
                <w:sz w:val="24"/>
                <w:szCs w:val="24"/>
              </w:rPr>
            </w:pPr>
          </w:p>
          <w:p w14:paraId="48B81152" w14:textId="4DD56BAC" w:rsidR="00CD2D28" w:rsidRDefault="00B32CC6" w:rsidP="006D2DDC">
            <w:pPr>
              <w:jc w:val="both"/>
              <w:rPr>
                <w:rFonts w:ascii="Times New Roman" w:eastAsia="Calibri" w:hAnsi="Times New Roman" w:cs="Times New Roman"/>
                <w:iCs/>
                <w:color w:val="000000" w:themeColor="text1"/>
                <w:sz w:val="24"/>
                <w:szCs w:val="24"/>
              </w:rPr>
            </w:pPr>
            <w:r>
              <w:rPr>
                <w:rFonts w:ascii="Times New Roman" w:hAnsi="Times New Roman" w:cs="Times New Roman"/>
                <w:sz w:val="24"/>
                <w:szCs w:val="24"/>
              </w:rPr>
              <w:t>Pastebėtina, kad p</w:t>
            </w:r>
            <w:r w:rsidR="003F5694">
              <w:rPr>
                <w:rFonts w:ascii="Times New Roman" w:hAnsi="Times New Roman" w:cs="Times New Roman"/>
                <w:sz w:val="24"/>
                <w:szCs w:val="24"/>
              </w:rPr>
              <w:t xml:space="preserve">lėtros programos forma </w:t>
            </w:r>
            <w:r w:rsidR="00E425F2">
              <w:rPr>
                <w:rFonts w:ascii="Times New Roman" w:hAnsi="Times New Roman" w:cs="Times New Roman"/>
                <w:sz w:val="24"/>
                <w:szCs w:val="24"/>
              </w:rPr>
              <w:t xml:space="preserve">yra </w:t>
            </w:r>
            <w:r w:rsidR="003F5694">
              <w:rPr>
                <w:rFonts w:ascii="Times New Roman" w:hAnsi="Times New Roman" w:cs="Times New Roman"/>
                <w:sz w:val="24"/>
                <w:szCs w:val="24"/>
              </w:rPr>
              <w:t>patvirtinta</w:t>
            </w:r>
            <w:r w:rsidR="00E425F2">
              <w:rPr>
                <w:rFonts w:ascii="Times New Roman" w:hAnsi="Times New Roman" w:cs="Times New Roman"/>
                <w:sz w:val="24"/>
                <w:szCs w:val="24"/>
              </w:rPr>
              <w:t xml:space="preserve"> kaip</w:t>
            </w:r>
            <w:r w:rsidR="003F5694">
              <w:rPr>
                <w:rFonts w:ascii="Times New Roman" w:hAnsi="Times New Roman" w:cs="Times New Roman"/>
                <w:sz w:val="24"/>
                <w:szCs w:val="24"/>
              </w:rPr>
              <w:t xml:space="preserve"> Strateginio val</w:t>
            </w:r>
            <w:r w:rsidR="002F70D1">
              <w:rPr>
                <w:rFonts w:ascii="Times New Roman" w:hAnsi="Times New Roman" w:cs="Times New Roman"/>
                <w:sz w:val="24"/>
                <w:szCs w:val="24"/>
              </w:rPr>
              <w:t>dymo</w:t>
            </w:r>
            <w:r w:rsidR="00E425F2">
              <w:rPr>
                <w:rFonts w:ascii="Times New Roman" w:hAnsi="Times New Roman" w:cs="Times New Roman"/>
                <w:sz w:val="24"/>
                <w:szCs w:val="24"/>
              </w:rPr>
              <w:t xml:space="preserve"> </w:t>
            </w:r>
            <w:r w:rsidR="002F70D1">
              <w:rPr>
                <w:rFonts w:ascii="Times New Roman" w:hAnsi="Times New Roman" w:cs="Times New Roman"/>
                <w:sz w:val="24"/>
                <w:szCs w:val="24"/>
              </w:rPr>
              <w:t xml:space="preserve">metodikos </w:t>
            </w:r>
            <w:r w:rsidR="005F2ACD">
              <w:rPr>
                <w:rFonts w:ascii="Times New Roman" w:hAnsi="Times New Roman" w:cs="Times New Roman"/>
                <w:sz w:val="24"/>
                <w:szCs w:val="24"/>
              </w:rPr>
              <w:t>3 priedas</w:t>
            </w:r>
            <w:r w:rsidR="00287429">
              <w:rPr>
                <w:rFonts w:ascii="Times New Roman" w:hAnsi="Times New Roman" w:cs="Times New Roman"/>
                <w:sz w:val="24"/>
                <w:szCs w:val="24"/>
              </w:rPr>
              <w:t xml:space="preserve"> ir joje nurodoma, kokia informacija turi būti įrašyta at</w:t>
            </w:r>
            <w:r w:rsidR="00871783">
              <w:rPr>
                <w:rFonts w:ascii="Times New Roman" w:hAnsi="Times New Roman" w:cs="Times New Roman"/>
                <w:sz w:val="24"/>
                <w:szCs w:val="24"/>
              </w:rPr>
              <w:t xml:space="preserve">itinkamose lentelės dalyse. Plėtros programos formos </w:t>
            </w:r>
            <w:r w:rsidR="00871783" w:rsidRPr="00871783">
              <w:rPr>
                <w:rFonts w:ascii="Times New Roman" w:hAnsi="Times New Roman" w:cs="Times New Roman"/>
                <w:sz w:val="24"/>
                <w:szCs w:val="24"/>
              </w:rPr>
              <w:t>III skyri</w:t>
            </w:r>
            <w:r w:rsidR="00871783">
              <w:rPr>
                <w:rFonts w:ascii="Times New Roman" w:hAnsi="Times New Roman" w:cs="Times New Roman"/>
                <w:sz w:val="24"/>
                <w:szCs w:val="24"/>
              </w:rPr>
              <w:t>aus</w:t>
            </w:r>
            <w:r w:rsidR="00871783" w:rsidRPr="00871783">
              <w:rPr>
                <w:rFonts w:ascii="Times New Roman" w:hAnsi="Times New Roman" w:cs="Times New Roman"/>
                <w:sz w:val="24"/>
                <w:szCs w:val="24"/>
              </w:rPr>
              <w:t xml:space="preserve"> „Priemonių rinkinys“ lentelė</w:t>
            </w:r>
            <w:r w:rsidR="00871783">
              <w:rPr>
                <w:rFonts w:ascii="Times New Roman" w:hAnsi="Times New Roman" w:cs="Times New Roman"/>
                <w:sz w:val="24"/>
                <w:szCs w:val="24"/>
              </w:rPr>
              <w:t xml:space="preserve">s stulpelyje dalyvaujančios institucijos </w:t>
            </w:r>
            <w:r w:rsidR="00497784" w:rsidRPr="004E0B65">
              <w:rPr>
                <w:rFonts w:ascii="Times New Roman" w:hAnsi="Times New Roman" w:cs="Times New Roman"/>
                <w:color w:val="000000" w:themeColor="text1"/>
                <w:sz w:val="24"/>
                <w:szCs w:val="24"/>
              </w:rPr>
              <w:t>„</w:t>
            </w:r>
            <w:r w:rsidR="004E0B65" w:rsidRPr="004E0B65">
              <w:rPr>
                <w:rFonts w:ascii="Times New Roman" w:hAnsi="Times New Roman" w:cs="Times New Roman"/>
                <w:color w:val="000000" w:themeColor="text1"/>
                <w:sz w:val="24"/>
                <w:szCs w:val="24"/>
              </w:rPr>
              <w:t>,</w:t>
            </w:r>
            <w:r w:rsidR="004E0B65" w:rsidRPr="004E0B65">
              <w:rPr>
                <w:rFonts w:ascii="Times New Roman" w:eastAsia="Calibri" w:hAnsi="Times New Roman" w:cs="Times New Roman"/>
                <w:i/>
                <w:color w:val="000000" w:themeColor="text1"/>
                <w:sz w:val="24"/>
                <w:szCs w:val="24"/>
              </w:rPr>
              <w:t>Nurodomos kitos ministerijos ir kiti asignavimų valdytojai, kurių dalyvavimas reikalingas planuojant ar įgyvendinant priemonę.&lt;...&gt;“</w:t>
            </w:r>
            <w:r w:rsidR="006D2DDC">
              <w:rPr>
                <w:rFonts w:ascii="Times New Roman" w:eastAsia="Calibri" w:hAnsi="Times New Roman" w:cs="Times New Roman"/>
                <w:i/>
                <w:color w:val="000000" w:themeColor="text1"/>
                <w:sz w:val="24"/>
                <w:szCs w:val="24"/>
              </w:rPr>
              <w:t xml:space="preserve">. </w:t>
            </w:r>
            <w:r w:rsidR="006D2DDC">
              <w:rPr>
                <w:rFonts w:ascii="Times New Roman" w:eastAsia="Calibri" w:hAnsi="Times New Roman" w:cs="Times New Roman"/>
                <w:iCs/>
                <w:color w:val="000000" w:themeColor="text1"/>
                <w:sz w:val="24"/>
                <w:szCs w:val="24"/>
              </w:rPr>
              <w:t>Teisingumo ministerija nenurodoma, nes yra plėtros programos valdytojas, VVTAT nenurodoma, nes nėra savarankiškas asignavimų valdytojas</w:t>
            </w:r>
            <w:r w:rsidR="005C1940">
              <w:rPr>
                <w:rFonts w:ascii="Times New Roman" w:eastAsia="Calibri" w:hAnsi="Times New Roman" w:cs="Times New Roman"/>
                <w:iCs/>
                <w:color w:val="000000" w:themeColor="text1"/>
                <w:sz w:val="24"/>
                <w:szCs w:val="24"/>
              </w:rPr>
              <w:t xml:space="preserve">. Tačiau VVTAT dalyvaus įgyvendinant konkrečius </w:t>
            </w:r>
            <w:r w:rsidR="00C319B3">
              <w:rPr>
                <w:rFonts w:ascii="Times New Roman" w:eastAsia="Calibri" w:hAnsi="Times New Roman" w:cs="Times New Roman"/>
                <w:iCs/>
                <w:color w:val="000000" w:themeColor="text1"/>
                <w:sz w:val="24"/>
                <w:szCs w:val="24"/>
              </w:rPr>
              <w:t>pažangos priemonės veiksmus.</w:t>
            </w:r>
          </w:p>
          <w:p w14:paraId="5BBA448D" w14:textId="77777777" w:rsidR="00082E83" w:rsidRDefault="00082E83" w:rsidP="006D2DDC">
            <w:pPr>
              <w:jc w:val="both"/>
              <w:rPr>
                <w:rFonts w:ascii="Times New Roman" w:eastAsia="Calibri" w:hAnsi="Times New Roman" w:cs="Times New Roman"/>
                <w:iCs/>
                <w:color w:val="000000" w:themeColor="text1"/>
                <w:sz w:val="24"/>
                <w:szCs w:val="24"/>
              </w:rPr>
            </w:pPr>
          </w:p>
          <w:p w14:paraId="76094938" w14:textId="6455ACBB" w:rsidR="00082E83" w:rsidRPr="006D2DDC" w:rsidRDefault="00082E83" w:rsidP="006D2DDC">
            <w:pPr>
              <w:jc w:val="both"/>
              <w:rPr>
                <w:rFonts w:ascii="Times New Roman" w:hAnsi="Times New Roman" w:cs="Times New Roman"/>
                <w:iCs/>
                <w:sz w:val="24"/>
                <w:szCs w:val="24"/>
              </w:rPr>
            </w:pPr>
          </w:p>
        </w:tc>
      </w:tr>
      <w:tr w:rsidR="005550B9" w14:paraId="4FB1EC22" w14:textId="77777777" w:rsidTr="005550B9">
        <w:tc>
          <w:tcPr>
            <w:tcW w:w="601" w:type="dxa"/>
          </w:tcPr>
          <w:p w14:paraId="6B032612" w14:textId="5D5378E5" w:rsidR="0052773E"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563" w:type="dxa"/>
          </w:tcPr>
          <w:p w14:paraId="72D8701B" w14:textId="6A0AEEF5" w:rsidR="0052773E"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ryšių reguliavimo tarnyba</w:t>
            </w:r>
          </w:p>
        </w:tc>
        <w:tc>
          <w:tcPr>
            <w:tcW w:w="6053" w:type="dxa"/>
          </w:tcPr>
          <w:p w14:paraId="013D9EB3" w14:textId="77777777" w:rsidR="00766B17" w:rsidRPr="00766B17" w:rsidRDefault="00766B17" w:rsidP="00766B17">
            <w:pPr>
              <w:jc w:val="both"/>
              <w:rPr>
                <w:rFonts w:ascii="Times New Roman" w:hAnsi="Times New Roman" w:cs="Times New Roman"/>
                <w:sz w:val="24"/>
                <w:szCs w:val="24"/>
              </w:rPr>
            </w:pPr>
            <w:r w:rsidRPr="00766B17">
              <w:rPr>
                <w:rFonts w:ascii="Times New Roman" w:hAnsi="Times New Roman" w:cs="Times New Roman"/>
                <w:sz w:val="24"/>
                <w:szCs w:val="24"/>
              </w:rPr>
              <w:t xml:space="preserve">Taip pat atkreiptinas dėmesys į tai, kad VTAĮ 22 straipsnio 1 dalies 1 punkte yra įtvirtinta, jog Tarnyba yra tik vartotojų ir elektroninių ryšių paslaugų teikėjų arba pašto paslaugos teikėjų ginčus dėl Lietuvos Respublikos elektroninių ryšių įstatymo (toliau – ERĮ) ir Lietuvos Respublikos pašto įstatymo (toliau – Pašto įstatymas) reglamentuojamų santykių ne teismo tvarka nagrinėjanti institucija. Vadovaujantis ERĮ 36 straipsnio, reglamentuojančio galutinių paslaugų gavėjų ir elektroninių ryšių paslaugų teikėjų ginčų sprendimą ne teismo tvarka, 1 dalimi, iškilus galutinio paslaugų gavėjo ir elektroninių ryšių paslaugų teikėjo ginčui, galutinis paslaugų gavėjas turi teisę kreiptis į Tarnybą, kad ši ne teismo tvarka išspręstų jo ginčą su elektroninių ryšių paslaugų teikėju. Analogiška nuostata yra įtvirtinta ir Pašto įstatymo 13 straipsnio 1 dalyje, pagal kurią, iškilus ginčui tarp naudotojų ir pašto paslaugos teikėjų, naudotojas turi teisę kreiptis į Tarnybą, kad ši ne teismo tvarka išspręstų jo ginčą su pašto paslaugos teikėju. Taigi pažymėtina, jog Tarnybos kompetencija ir konkrečios funkcijos vartotojų teisių apsaugos srityje yra aiškiai nustatytos aukščiau nurodytuose teisės aktuose, o Tarnybos įtraukimas į Plėtros programos projekto 8 priemonę aiškiai sietinas tik su VTAĮ 22 straipsnyje numatyta išankstine ne teismo tvarka ginčų nagrinėjimo kompetencija. </w:t>
            </w:r>
          </w:p>
          <w:p w14:paraId="2D399096" w14:textId="77777777" w:rsidR="0052773E" w:rsidRDefault="00766B17" w:rsidP="00766B17">
            <w:pPr>
              <w:jc w:val="both"/>
              <w:rPr>
                <w:rFonts w:ascii="Times New Roman" w:hAnsi="Times New Roman" w:cs="Times New Roman"/>
                <w:sz w:val="24"/>
                <w:szCs w:val="24"/>
              </w:rPr>
            </w:pPr>
            <w:r w:rsidRPr="00766B17">
              <w:rPr>
                <w:rFonts w:ascii="Times New Roman" w:hAnsi="Times New Roman" w:cs="Times New Roman"/>
                <w:sz w:val="24"/>
                <w:szCs w:val="24"/>
              </w:rPr>
              <w:t xml:space="preserve">Be to, Plėtros programos projekte įgyvendinti yra pateikti atitinkami uždaviniai: „3.2. Didinti švietimo </w:t>
            </w:r>
            <w:proofErr w:type="spellStart"/>
            <w:r w:rsidRPr="00766B17">
              <w:rPr>
                <w:rFonts w:ascii="Times New Roman" w:hAnsi="Times New Roman" w:cs="Times New Roman"/>
                <w:sz w:val="24"/>
                <w:szCs w:val="24"/>
              </w:rPr>
              <w:t>įtrauktį</w:t>
            </w:r>
            <w:proofErr w:type="spellEnd"/>
            <w:r w:rsidRPr="00766B17">
              <w:rPr>
                <w:rFonts w:ascii="Times New Roman" w:hAnsi="Times New Roman" w:cs="Times New Roman"/>
                <w:sz w:val="24"/>
                <w:szCs w:val="24"/>
              </w:rPr>
              <w:t xml:space="preserve"> ir prieinamumą, užtikrinti saugią aplinką kiekvienam asmeniui“; „3.5. Įdiegti efektyvią ir veiksmingą suaugusiųjų mokymosi visą gyvenimą sistemą, siekiant asmens gebėjimų ir kvalifikacijos darnos su asmens, darbo rinkos ir aplinkos poreikiais“ bei „8.7. Gerinti viešojo valdymo institucijų teikiamų paslaugų kokybę, didinti jų prieinamumą ir patrauklumą“. Tarnybos nuomone, aukščiau nurodyti uždaviniai nėra aiškūs ir konkretūs, taip pat jie nėra tiesiogiai </w:t>
            </w:r>
            <w:r w:rsidRPr="00766B17">
              <w:rPr>
                <w:rFonts w:ascii="Times New Roman" w:hAnsi="Times New Roman" w:cs="Times New Roman"/>
                <w:sz w:val="24"/>
                <w:szCs w:val="24"/>
              </w:rPr>
              <w:lastRenderedPageBreak/>
              <w:t xml:space="preserve">susiję su Plėtros programos projekte nurodyta 4 problema ir jos priežastimis. Atitinkamai šios problemos sprendimas bei 8 priemonės įgyvendinimo 3.5 uždavinys „Įdiegti efektyvią ir veiksmingą suaugusiųjų mokymosi visą gyvenimą sistemą, siekiant asmens gebėjimų ir kvalifikacijos darnos su asmens, darbo rinkos ir aplinkos poreikiais“  ir 3.2 uždavinys „Didinti švietimo </w:t>
            </w:r>
            <w:proofErr w:type="spellStart"/>
            <w:r w:rsidRPr="00766B17">
              <w:rPr>
                <w:rFonts w:ascii="Times New Roman" w:hAnsi="Times New Roman" w:cs="Times New Roman"/>
                <w:sz w:val="24"/>
                <w:szCs w:val="24"/>
              </w:rPr>
              <w:t>įtrauktį</w:t>
            </w:r>
            <w:proofErr w:type="spellEnd"/>
            <w:r w:rsidRPr="00766B17">
              <w:rPr>
                <w:rFonts w:ascii="Times New Roman" w:hAnsi="Times New Roman" w:cs="Times New Roman"/>
                <w:sz w:val="24"/>
                <w:szCs w:val="24"/>
              </w:rPr>
              <w:t xml:space="preserve"> ir prieinamumą, užtikrinti saugią aplinką kiekvienam asmeniui“ tiesiogiai nesusiję su Tarnybos funkcijomis ir veikla vartotojų teisių apsaugos elektroninių ryšių ir pašto srityse, todėl Tarnyba 8 priemonės įgyvendinime galėtų dalyvauti tik jai įstatymų suteiktos kompetencijos ribose informuodama elektroninių ryšių paslaugų ir pašto paslaugos vartotojus apie jų teises ir šių teisių gynimo būdus elektroninių ryšių ir pašto paslaugos srityse taip dalyvaudama vartotojų švietimo veikloje.</w:t>
            </w:r>
          </w:p>
          <w:p w14:paraId="7451A77A" w14:textId="1D112C91" w:rsidR="005A513E" w:rsidRDefault="005A513E" w:rsidP="00766B17">
            <w:pPr>
              <w:jc w:val="both"/>
              <w:rPr>
                <w:rFonts w:ascii="Times New Roman" w:hAnsi="Times New Roman" w:cs="Times New Roman"/>
                <w:sz w:val="24"/>
                <w:szCs w:val="24"/>
              </w:rPr>
            </w:pPr>
            <w:r w:rsidRPr="005A513E">
              <w:rPr>
                <w:rFonts w:ascii="Times New Roman" w:hAnsi="Times New Roman" w:cs="Times New Roman"/>
                <w:sz w:val="24"/>
                <w:szCs w:val="24"/>
              </w:rPr>
              <w:t>Atsižvelgiant į tai, kas aukščiau išdėstyta, manome, jog siekiant, kad Plėtros programos projekto 8 priemonės įgyvendinimo uždaviniai būtų priskirti prie šios priemonės nurodytoms institucijoms, jie turėtų būti tikslinami susiejant juos su Plėtros programos projekto nurodyta 4 problema ir jos priežastimis, t. y. aiškiai nurodant, kad jie sietini su vartotojų švietimu, patikslinant, kokia saugi aplinka turi būti užtikrinama, kokių konkrečiai paslaugų kokybė ir kokiose viešojo valdymo institucijose turi būti didinama. O tuo atveju, jeigu Plėtros programos projekte nurodyti 3.2, 3.5 ir 8.7 uždaviniai nebūtų tikslinami, Tarnybos nuomone, prie šių uždavinių įgyvendinimo dalyvaujančių institucijų turėtų būti įtrauktos ir institucijos, kurios buvo nurodytos ankstesniame 2020 m. gruodžio mėn. Plėtros programos projekte.</w:t>
            </w:r>
          </w:p>
        </w:tc>
        <w:tc>
          <w:tcPr>
            <w:tcW w:w="6237" w:type="dxa"/>
          </w:tcPr>
          <w:p w14:paraId="2D62A842" w14:textId="2F0183FA" w:rsidR="0052773E" w:rsidRDefault="00AB0FBB" w:rsidP="00095EEC">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Atsižvelgta iš dalies.</w:t>
            </w:r>
          </w:p>
          <w:p w14:paraId="6830C950" w14:textId="32A7E472" w:rsidR="00AB0FBB" w:rsidRDefault="00AB0FBB" w:rsidP="00095EEC">
            <w:pPr>
              <w:jc w:val="both"/>
              <w:rPr>
                <w:rFonts w:ascii="Times New Roman" w:hAnsi="Times New Roman" w:cs="Times New Roman"/>
                <w:sz w:val="24"/>
                <w:szCs w:val="24"/>
                <w:u w:val="single"/>
              </w:rPr>
            </w:pPr>
          </w:p>
          <w:p w14:paraId="7D870D00" w14:textId="2CEA2D2D" w:rsidR="002F5A82" w:rsidRDefault="0007561C" w:rsidP="00095EEC">
            <w:pPr>
              <w:jc w:val="both"/>
              <w:rPr>
                <w:rFonts w:ascii="Times New Roman" w:hAnsi="Times New Roman" w:cs="Times New Roman"/>
                <w:sz w:val="24"/>
                <w:szCs w:val="24"/>
              </w:rPr>
            </w:pPr>
            <w:r w:rsidRPr="0007561C">
              <w:rPr>
                <w:rFonts w:ascii="Times New Roman" w:hAnsi="Times New Roman" w:cs="Times New Roman"/>
                <w:sz w:val="24"/>
                <w:szCs w:val="24"/>
              </w:rPr>
              <w:t xml:space="preserve">Nebenurodomos kitos dalyvaujančios institucijos prie priemonės. Kadangi institucijos dalyvautų tik vienoje (ar keliose) </w:t>
            </w:r>
            <w:r w:rsidR="00E12291">
              <w:rPr>
                <w:rFonts w:ascii="Times New Roman" w:hAnsi="Times New Roman" w:cs="Times New Roman"/>
                <w:sz w:val="24"/>
                <w:szCs w:val="24"/>
              </w:rPr>
              <w:t xml:space="preserve">iš </w:t>
            </w:r>
            <w:r w:rsidRPr="0007561C">
              <w:rPr>
                <w:rFonts w:ascii="Times New Roman" w:hAnsi="Times New Roman" w:cs="Times New Roman"/>
                <w:sz w:val="24"/>
                <w:szCs w:val="24"/>
              </w:rPr>
              <w:t>priemonės veiklų, konkrečios institucijos bus įtraukiamos priemonės rengimo etape.</w:t>
            </w:r>
          </w:p>
          <w:p w14:paraId="5548F1EB" w14:textId="77777777" w:rsidR="0007561C" w:rsidRDefault="0007561C" w:rsidP="00095EEC">
            <w:pPr>
              <w:jc w:val="both"/>
              <w:rPr>
                <w:rFonts w:ascii="Times New Roman" w:hAnsi="Times New Roman" w:cs="Times New Roman"/>
                <w:sz w:val="24"/>
                <w:szCs w:val="24"/>
              </w:rPr>
            </w:pPr>
          </w:p>
          <w:p w14:paraId="6B3BE797" w14:textId="77777777" w:rsidR="002F5A82" w:rsidRDefault="002F5A82" w:rsidP="00095EEC">
            <w:pPr>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540AB3" w:rsidRPr="00540AB3">
              <w:rPr>
                <w:rFonts w:ascii="Times New Roman" w:hAnsi="Times New Roman" w:cs="Times New Roman"/>
                <w:sz w:val="24"/>
                <w:szCs w:val="24"/>
              </w:rPr>
              <w:t>Plėtros programos  III skyri</w:t>
            </w:r>
            <w:r w:rsidR="00540AB3">
              <w:rPr>
                <w:rFonts w:ascii="Times New Roman" w:hAnsi="Times New Roman" w:cs="Times New Roman"/>
                <w:sz w:val="24"/>
                <w:szCs w:val="24"/>
              </w:rPr>
              <w:t>aus</w:t>
            </w:r>
            <w:r w:rsidR="00540AB3" w:rsidRPr="00540AB3">
              <w:rPr>
                <w:rFonts w:ascii="Times New Roman" w:hAnsi="Times New Roman" w:cs="Times New Roman"/>
                <w:sz w:val="24"/>
                <w:szCs w:val="24"/>
              </w:rPr>
              <w:t xml:space="preserve"> „Priemonių rinkinys“</w:t>
            </w:r>
            <w:r w:rsidR="00540AB3">
              <w:rPr>
                <w:rFonts w:ascii="Times New Roman" w:hAnsi="Times New Roman" w:cs="Times New Roman"/>
                <w:sz w:val="24"/>
                <w:szCs w:val="24"/>
              </w:rPr>
              <w:t xml:space="preserve"> lentelės stulpelyje „Kiti NPP uždaviniai“ </w:t>
            </w:r>
            <w:r w:rsidR="004A35C3">
              <w:rPr>
                <w:rFonts w:ascii="Times New Roman" w:hAnsi="Times New Roman" w:cs="Times New Roman"/>
                <w:sz w:val="24"/>
                <w:szCs w:val="24"/>
              </w:rPr>
              <w:t xml:space="preserve">gali būti nurodomi kiti NPP uždaviniai, prie kurių įgyvendinimo bus netiesiogiai prisidedama įgyvendinant </w:t>
            </w:r>
            <w:r w:rsidR="003635FF">
              <w:rPr>
                <w:rFonts w:ascii="Times New Roman" w:hAnsi="Times New Roman" w:cs="Times New Roman"/>
                <w:sz w:val="24"/>
                <w:szCs w:val="24"/>
              </w:rPr>
              <w:t xml:space="preserve">konkrečias pažangos </w:t>
            </w:r>
            <w:r w:rsidR="004A35C3">
              <w:rPr>
                <w:rFonts w:ascii="Times New Roman" w:hAnsi="Times New Roman" w:cs="Times New Roman"/>
                <w:sz w:val="24"/>
                <w:szCs w:val="24"/>
              </w:rPr>
              <w:t>priemonės veiklas.</w:t>
            </w:r>
            <w:r w:rsidR="003635FF">
              <w:rPr>
                <w:rFonts w:ascii="Times New Roman" w:hAnsi="Times New Roman" w:cs="Times New Roman"/>
                <w:sz w:val="24"/>
                <w:szCs w:val="24"/>
              </w:rPr>
              <w:t xml:space="preserve"> </w:t>
            </w:r>
          </w:p>
          <w:p w14:paraId="04717919" w14:textId="77777777" w:rsidR="003635FF" w:rsidRDefault="003635FF" w:rsidP="00095EEC">
            <w:pPr>
              <w:jc w:val="both"/>
              <w:rPr>
                <w:rFonts w:ascii="Times New Roman" w:hAnsi="Times New Roman" w:cs="Times New Roman"/>
                <w:sz w:val="24"/>
                <w:szCs w:val="24"/>
              </w:rPr>
            </w:pPr>
          </w:p>
          <w:p w14:paraId="7B92F445" w14:textId="168AB9A8" w:rsidR="003635FF" w:rsidRDefault="003635FF" w:rsidP="00095EEC">
            <w:pPr>
              <w:jc w:val="both"/>
              <w:rPr>
                <w:rFonts w:ascii="Times New Roman" w:hAnsi="Times New Roman" w:cs="Times New Roman"/>
                <w:sz w:val="24"/>
                <w:szCs w:val="24"/>
              </w:rPr>
            </w:pPr>
            <w:r>
              <w:rPr>
                <w:rFonts w:ascii="Times New Roman" w:hAnsi="Times New Roman" w:cs="Times New Roman"/>
                <w:sz w:val="24"/>
                <w:szCs w:val="24"/>
              </w:rPr>
              <w:t>Pastebėtina, kad ŠM</w:t>
            </w:r>
            <w:r w:rsidR="00E54C7F">
              <w:rPr>
                <w:rFonts w:ascii="Times New Roman" w:hAnsi="Times New Roman" w:cs="Times New Roman"/>
                <w:sz w:val="24"/>
                <w:szCs w:val="24"/>
              </w:rPr>
              <w:t>S</w:t>
            </w:r>
            <w:r>
              <w:rPr>
                <w:rFonts w:ascii="Times New Roman" w:hAnsi="Times New Roman" w:cs="Times New Roman"/>
                <w:sz w:val="24"/>
                <w:szCs w:val="24"/>
              </w:rPr>
              <w:t>M neprieštaravo šių uždavinių įtraukimui į TSPP.</w:t>
            </w:r>
          </w:p>
        </w:tc>
      </w:tr>
      <w:tr w:rsidR="005550B9" w14:paraId="0672440D" w14:textId="77777777" w:rsidTr="005550B9">
        <w:tc>
          <w:tcPr>
            <w:tcW w:w="601" w:type="dxa"/>
          </w:tcPr>
          <w:p w14:paraId="68E347B9" w14:textId="69EA791E" w:rsidR="0052773E" w:rsidRDefault="000E3C98" w:rsidP="00DE7AA9">
            <w:pPr>
              <w:jc w:val="center"/>
              <w:rPr>
                <w:rFonts w:ascii="Times New Roman" w:hAnsi="Times New Roman" w:cs="Times New Roman"/>
                <w:sz w:val="24"/>
                <w:szCs w:val="24"/>
              </w:rPr>
            </w:pPr>
            <w:r>
              <w:rPr>
                <w:rFonts w:ascii="Times New Roman" w:hAnsi="Times New Roman" w:cs="Times New Roman"/>
                <w:sz w:val="24"/>
                <w:szCs w:val="24"/>
              </w:rPr>
              <w:t>5.</w:t>
            </w:r>
          </w:p>
        </w:tc>
        <w:tc>
          <w:tcPr>
            <w:tcW w:w="1563" w:type="dxa"/>
          </w:tcPr>
          <w:p w14:paraId="72438262" w14:textId="16C51BE7" w:rsidR="0052773E"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ryšių reguliavimo tarnyba</w:t>
            </w:r>
          </w:p>
        </w:tc>
        <w:tc>
          <w:tcPr>
            <w:tcW w:w="6053" w:type="dxa"/>
          </w:tcPr>
          <w:p w14:paraId="22EDE54F" w14:textId="757FA275" w:rsidR="0052773E" w:rsidRDefault="00CD681C" w:rsidP="00860139">
            <w:pPr>
              <w:jc w:val="both"/>
              <w:rPr>
                <w:rFonts w:ascii="Times New Roman" w:hAnsi="Times New Roman" w:cs="Times New Roman"/>
                <w:sz w:val="24"/>
                <w:szCs w:val="24"/>
              </w:rPr>
            </w:pPr>
            <w:r w:rsidRPr="00CD681C">
              <w:rPr>
                <w:rFonts w:ascii="Times New Roman" w:hAnsi="Times New Roman" w:cs="Times New Roman"/>
                <w:sz w:val="24"/>
                <w:szCs w:val="24"/>
              </w:rPr>
              <w:t xml:space="preserve">Papildomai pažymėtina, kad VVTAT 2021 m. kovo 4 d. raštu Nr. 4E-5758 Tarnybai pateiktame derinti Tarpinstitucinio vartotojų švietimo veiklos plano projekte už vartotojų švietimo priemonių įgyvendinimą yra nurodytos ne tik LB, VERT ir Tarnyba, bet ir VVTAT, Valstybinė maisto ir </w:t>
            </w:r>
            <w:r w:rsidRPr="00CD681C">
              <w:rPr>
                <w:rFonts w:ascii="Times New Roman" w:hAnsi="Times New Roman" w:cs="Times New Roman"/>
                <w:sz w:val="24"/>
                <w:szCs w:val="24"/>
              </w:rPr>
              <w:lastRenderedPageBreak/>
              <w:t xml:space="preserve">veterinarijos tarnyba, Narkotikų, tabako ir alkoholio kontrolės departamentas, Valstybinė vaistų kontrolės tarnyba prie Sveikatos apsaugos ministerijos, Informacinės visuomenės plėtros komitetas. Todėl, sistemiškai vertinant priemonių santykį, siūlytina apsvarstyti Plėtros programos projekte 8 priemonę „Didinti vartotojų teisių apsaugos sistemos efektyvumą“ </w:t>
            </w:r>
            <w:r w:rsidRPr="00953F22">
              <w:rPr>
                <w:rFonts w:ascii="Times New Roman" w:hAnsi="Times New Roman" w:cs="Times New Roman"/>
                <w:sz w:val="24"/>
                <w:szCs w:val="24"/>
              </w:rPr>
              <w:t>įgyvendinančių institucijų sąrašą papildyti ir aukščiau nurodytomis institucijomis.</w:t>
            </w:r>
          </w:p>
        </w:tc>
        <w:tc>
          <w:tcPr>
            <w:tcW w:w="6237" w:type="dxa"/>
          </w:tcPr>
          <w:p w14:paraId="2741C0A2" w14:textId="77777777" w:rsidR="00AB0FBB" w:rsidRPr="00AB0FBB" w:rsidRDefault="00AB0FBB" w:rsidP="004516E3">
            <w:pPr>
              <w:jc w:val="both"/>
              <w:rPr>
                <w:rFonts w:ascii="Times New Roman" w:eastAsia="Calibri" w:hAnsi="Times New Roman" w:cs="Times New Roman"/>
                <w:iCs/>
                <w:color w:val="000000" w:themeColor="text1"/>
                <w:sz w:val="24"/>
                <w:szCs w:val="24"/>
                <w:u w:val="single"/>
              </w:rPr>
            </w:pPr>
            <w:r w:rsidRPr="00AB0FBB">
              <w:rPr>
                <w:rFonts w:ascii="Times New Roman" w:eastAsia="Calibri" w:hAnsi="Times New Roman" w:cs="Times New Roman"/>
                <w:iCs/>
                <w:color w:val="000000" w:themeColor="text1"/>
                <w:sz w:val="24"/>
                <w:szCs w:val="24"/>
                <w:u w:val="single"/>
              </w:rPr>
              <w:lastRenderedPageBreak/>
              <w:t>Atsižvelgta iš dalies.</w:t>
            </w:r>
          </w:p>
          <w:p w14:paraId="16D692A5" w14:textId="77777777" w:rsidR="00AB0FBB" w:rsidRDefault="00AB0FBB" w:rsidP="004516E3">
            <w:pPr>
              <w:jc w:val="both"/>
              <w:rPr>
                <w:rFonts w:ascii="Times New Roman" w:eastAsia="Calibri" w:hAnsi="Times New Roman" w:cs="Times New Roman"/>
                <w:iCs/>
                <w:color w:val="000000" w:themeColor="text1"/>
                <w:sz w:val="24"/>
                <w:szCs w:val="24"/>
              </w:rPr>
            </w:pPr>
          </w:p>
          <w:p w14:paraId="1B82DD58" w14:textId="35847EE9" w:rsidR="002F1758" w:rsidRDefault="00953F22" w:rsidP="004516E3">
            <w:pPr>
              <w:jc w:val="both"/>
              <w:rPr>
                <w:rFonts w:ascii="Times New Roman" w:hAnsi="Times New Roman" w:cs="Times New Roman"/>
                <w:sz w:val="24"/>
                <w:szCs w:val="24"/>
              </w:rPr>
            </w:pPr>
            <w:r w:rsidRPr="00953F22">
              <w:rPr>
                <w:rFonts w:ascii="Times New Roman" w:eastAsia="Calibri" w:hAnsi="Times New Roman" w:cs="Times New Roman"/>
                <w:iCs/>
                <w:color w:val="000000" w:themeColor="text1"/>
                <w:sz w:val="24"/>
                <w:szCs w:val="24"/>
              </w:rPr>
              <w:t xml:space="preserve">Nebenurodomos kitos dalyvaujančios institucijos prie priemonės. Kadangi institucijos dalyvautų tik vienoje (ar </w:t>
            </w:r>
            <w:r w:rsidRPr="00953F22">
              <w:rPr>
                <w:rFonts w:ascii="Times New Roman" w:eastAsia="Calibri" w:hAnsi="Times New Roman" w:cs="Times New Roman"/>
                <w:iCs/>
                <w:color w:val="000000" w:themeColor="text1"/>
                <w:sz w:val="24"/>
                <w:szCs w:val="24"/>
              </w:rPr>
              <w:lastRenderedPageBreak/>
              <w:t xml:space="preserve">keliose) </w:t>
            </w:r>
            <w:r w:rsidR="00AC58F4">
              <w:rPr>
                <w:rFonts w:ascii="Times New Roman" w:eastAsia="Calibri" w:hAnsi="Times New Roman" w:cs="Times New Roman"/>
                <w:iCs/>
                <w:color w:val="000000" w:themeColor="text1"/>
                <w:sz w:val="24"/>
                <w:szCs w:val="24"/>
              </w:rPr>
              <w:t xml:space="preserve">iš </w:t>
            </w:r>
            <w:r w:rsidRPr="00953F22">
              <w:rPr>
                <w:rFonts w:ascii="Times New Roman" w:eastAsia="Calibri" w:hAnsi="Times New Roman" w:cs="Times New Roman"/>
                <w:iCs/>
                <w:color w:val="000000" w:themeColor="text1"/>
                <w:sz w:val="24"/>
                <w:szCs w:val="24"/>
              </w:rPr>
              <w:t>priemonės veiklų, konkrečios institucijos bus įtraukiamos priemonės rengimo etape.</w:t>
            </w:r>
          </w:p>
        </w:tc>
      </w:tr>
      <w:tr w:rsidR="00016E75" w14:paraId="291278B1" w14:textId="77777777" w:rsidTr="005550B9">
        <w:tc>
          <w:tcPr>
            <w:tcW w:w="14454" w:type="dxa"/>
            <w:gridSpan w:val="4"/>
          </w:tcPr>
          <w:p w14:paraId="43429622" w14:textId="77777777" w:rsidR="002A2F60" w:rsidRDefault="002A2F60" w:rsidP="00DE7AA9">
            <w:pPr>
              <w:jc w:val="center"/>
              <w:rPr>
                <w:rFonts w:ascii="Times New Roman" w:hAnsi="Times New Roman" w:cs="Times New Roman"/>
                <w:sz w:val="24"/>
                <w:szCs w:val="24"/>
              </w:rPr>
            </w:pPr>
          </w:p>
          <w:p w14:paraId="5D51E030" w14:textId="4E58E47E" w:rsidR="00016E75" w:rsidRDefault="00441463" w:rsidP="00DE7AA9">
            <w:pPr>
              <w:jc w:val="center"/>
              <w:rPr>
                <w:rFonts w:ascii="Times New Roman" w:hAnsi="Times New Roman" w:cs="Times New Roman"/>
                <w:sz w:val="24"/>
                <w:szCs w:val="24"/>
              </w:rPr>
            </w:pPr>
            <w:r w:rsidRPr="00441463">
              <w:rPr>
                <w:rFonts w:ascii="Times New Roman" w:hAnsi="Times New Roman" w:cs="Times New Roman"/>
                <w:sz w:val="24"/>
                <w:szCs w:val="24"/>
              </w:rPr>
              <w:t>Valstybinė energetikos reguliavimo taryba</w:t>
            </w:r>
          </w:p>
        </w:tc>
      </w:tr>
      <w:tr w:rsidR="005550B9" w14:paraId="0412EDF8" w14:textId="77777777" w:rsidTr="005550B9">
        <w:tc>
          <w:tcPr>
            <w:tcW w:w="601" w:type="dxa"/>
          </w:tcPr>
          <w:p w14:paraId="2B783E2C" w14:textId="14663E9D" w:rsidR="00016E75" w:rsidRDefault="000E3C98" w:rsidP="00DE7AA9">
            <w:pPr>
              <w:jc w:val="center"/>
              <w:rPr>
                <w:rFonts w:ascii="Times New Roman" w:hAnsi="Times New Roman" w:cs="Times New Roman"/>
                <w:sz w:val="24"/>
                <w:szCs w:val="24"/>
              </w:rPr>
            </w:pPr>
            <w:r>
              <w:rPr>
                <w:rFonts w:ascii="Times New Roman" w:hAnsi="Times New Roman" w:cs="Times New Roman"/>
                <w:sz w:val="24"/>
                <w:szCs w:val="24"/>
              </w:rPr>
              <w:t>6.</w:t>
            </w:r>
          </w:p>
        </w:tc>
        <w:tc>
          <w:tcPr>
            <w:tcW w:w="1563" w:type="dxa"/>
          </w:tcPr>
          <w:p w14:paraId="3EF5E158" w14:textId="47FC9B24" w:rsidR="00016E75" w:rsidRPr="002F7AC7"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Valstybinė energetikos reguliavimo taryba</w:t>
            </w:r>
          </w:p>
        </w:tc>
        <w:tc>
          <w:tcPr>
            <w:tcW w:w="6053" w:type="dxa"/>
          </w:tcPr>
          <w:p w14:paraId="24B6FE55" w14:textId="77777777" w:rsidR="00976098" w:rsidRPr="00976098" w:rsidRDefault="00976098" w:rsidP="00976098">
            <w:pPr>
              <w:jc w:val="both"/>
              <w:rPr>
                <w:rFonts w:ascii="Times New Roman" w:hAnsi="Times New Roman" w:cs="Times New Roman"/>
                <w:sz w:val="24"/>
                <w:szCs w:val="24"/>
              </w:rPr>
            </w:pPr>
            <w:r w:rsidRPr="00976098">
              <w:rPr>
                <w:rFonts w:ascii="Times New Roman" w:hAnsi="Times New Roman" w:cs="Times New Roman"/>
                <w:sz w:val="24"/>
                <w:szCs w:val="24"/>
              </w:rPr>
              <w:t xml:space="preserve">Plėtros programos projekte nurodytas uždavinys „3.5. Įdiegti efektyvią ir veiksmingą suaugusiųjų mokymosi visą gyvenimą sistemą, siekiant asmens gebėjimų ir kvalifikacijos darnos su asmens, darbo rinkos ir aplinkos poreikiais“ yra abstraktus, neaiškus jo turinys, nėra aišku, kaip ir kokia apimtimi Taryba dalyvaus įgyvendinant priemonę, kokiomis lėšomis priemonė būtų finansuojama. Todėl, neturėdami papildomos informacijos apie nurodytą uždavinį ir Tarybos vaidmenį jį vykdant, neturime galimybės pritarti Tarybos dalyvavimui įgyvendinant nurodytą priemonę. </w:t>
            </w:r>
          </w:p>
          <w:p w14:paraId="79D2D21E" w14:textId="1B47C711" w:rsidR="00016E75" w:rsidRDefault="00976098" w:rsidP="00976098">
            <w:pPr>
              <w:jc w:val="both"/>
              <w:rPr>
                <w:rFonts w:ascii="Times New Roman" w:hAnsi="Times New Roman" w:cs="Times New Roman"/>
                <w:sz w:val="24"/>
                <w:szCs w:val="24"/>
              </w:rPr>
            </w:pPr>
            <w:r w:rsidRPr="00976098">
              <w:rPr>
                <w:rFonts w:ascii="Times New Roman" w:hAnsi="Times New Roman" w:cs="Times New Roman"/>
                <w:sz w:val="24"/>
                <w:szCs w:val="24"/>
              </w:rPr>
              <w:t xml:space="preserve">Taip pat pažymime, kad Tarybos tiesioginė paskirtis yra vykdyti energetikos bei geriamojo vandens tiekimo ir nuotekų tvarkymo srityse veikiančių subjektų veiklos reguliavimą ir valstybinę energetikos bei geriamojo vandens tiekimo ir nuotekų tvarkymo priežiūrą. Tuo tikslu Taryba vykdo Lietuvos Respublikos energetikos įstatyme bei šakiniuose energetikos sektoriaus įstatymuose ir Lietuvos Respublikos geriamojo vandens tiekimo ir nuotekų tvarkymo įstatyme nustatytas funkcijas – tvirtina valstybės reguliuojamų kainų nustatymo metodikas, nustato valstybės reguliuojamas kainas ir kainų viršutines ribas, kontroliuoja, kaip taikomos valstybės reguliuojamos kainos ir tarifai, išduoda energetikos ir geriamojo vandens veiklos licencijas ir kontroliuoja minėtų įmonių licencijuojamą veiklą, atlieka </w:t>
            </w:r>
            <w:r w:rsidRPr="00976098">
              <w:rPr>
                <w:rFonts w:ascii="Times New Roman" w:hAnsi="Times New Roman" w:cs="Times New Roman"/>
                <w:sz w:val="24"/>
                <w:szCs w:val="24"/>
              </w:rPr>
              <w:lastRenderedPageBreak/>
              <w:t>energetikos objektų ir įrenginių valstybinę kontrolę visoje Lietuvos Respublikos teritorijoje bei kt. Atsižvelgiant į aukščiau nurodytas Tarybos funkcijas, manytina, kad aukščiau nurodyta priemonė galimai nesuderinta su Tarybos funkcijomis.</w:t>
            </w:r>
          </w:p>
        </w:tc>
        <w:tc>
          <w:tcPr>
            <w:tcW w:w="6237" w:type="dxa"/>
          </w:tcPr>
          <w:p w14:paraId="719693C5" w14:textId="77777777" w:rsidR="007E534C" w:rsidRPr="007E534C" w:rsidRDefault="007E534C" w:rsidP="007E534C">
            <w:pPr>
              <w:jc w:val="both"/>
              <w:rPr>
                <w:rFonts w:ascii="Times New Roman" w:hAnsi="Times New Roman" w:cs="Times New Roman"/>
                <w:sz w:val="24"/>
                <w:szCs w:val="24"/>
                <w:u w:val="single"/>
              </w:rPr>
            </w:pPr>
            <w:r w:rsidRPr="007E534C">
              <w:rPr>
                <w:rFonts w:ascii="Times New Roman" w:hAnsi="Times New Roman" w:cs="Times New Roman"/>
                <w:sz w:val="24"/>
                <w:szCs w:val="24"/>
                <w:u w:val="single"/>
              </w:rPr>
              <w:lastRenderedPageBreak/>
              <w:t>Atsižvelgta iš dalies.</w:t>
            </w:r>
          </w:p>
          <w:p w14:paraId="38AFE99F" w14:textId="77777777" w:rsidR="007E534C" w:rsidRPr="007E534C" w:rsidRDefault="007E534C" w:rsidP="007E534C">
            <w:pPr>
              <w:jc w:val="both"/>
              <w:rPr>
                <w:rFonts w:ascii="Times New Roman" w:hAnsi="Times New Roman" w:cs="Times New Roman"/>
                <w:sz w:val="24"/>
                <w:szCs w:val="24"/>
              </w:rPr>
            </w:pPr>
          </w:p>
          <w:p w14:paraId="0D2F9517" w14:textId="3C5E3134" w:rsidR="00C53A46" w:rsidRDefault="00953F22" w:rsidP="007E534C">
            <w:pPr>
              <w:jc w:val="both"/>
              <w:rPr>
                <w:rFonts w:ascii="Times New Roman" w:hAnsi="Times New Roman" w:cs="Times New Roman"/>
                <w:sz w:val="24"/>
                <w:szCs w:val="24"/>
              </w:rPr>
            </w:pPr>
            <w:r w:rsidRPr="00953F22">
              <w:rPr>
                <w:rFonts w:ascii="Times New Roman" w:hAnsi="Times New Roman" w:cs="Times New Roman"/>
                <w:sz w:val="24"/>
                <w:szCs w:val="24"/>
              </w:rPr>
              <w:t xml:space="preserve">Nebenurodomos kitos dalyvaujančios institucijos prie priemonės. Kadangi institucijos dalyvautų tik vienoje (ar keliose) </w:t>
            </w:r>
            <w:r w:rsidR="00AC58F4">
              <w:rPr>
                <w:rFonts w:ascii="Times New Roman" w:hAnsi="Times New Roman" w:cs="Times New Roman"/>
                <w:sz w:val="24"/>
                <w:szCs w:val="24"/>
              </w:rPr>
              <w:t xml:space="preserve">iš </w:t>
            </w:r>
            <w:r w:rsidRPr="00953F22">
              <w:rPr>
                <w:rFonts w:ascii="Times New Roman" w:hAnsi="Times New Roman" w:cs="Times New Roman"/>
                <w:sz w:val="24"/>
                <w:szCs w:val="24"/>
              </w:rPr>
              <w:t>priemonės veiklų, konkrečios institucijos bus įtraukiamos priemonės rengimo etape.</w:t>
            </w:r>
          </w:p>
          <w:p w14:paraId="3C6C24D9" w14:textId="1BCE5E4B" w:rsidR="00E54C7F" w:rsidRDefault="00E54C7F" w:rsidP="007E534C">
            <w:pPr>
              <w:jc w:val="both"/>
              <w:rPr>
                <w:rFonts w:ascii="Times New Roman" w:hAnsi="Times New Roman" w:cs="Times New Roman"/>
                <w:sz w:val="24"/>
                <w:szCs w:val="24"/>
              </w:rPr>
            </w:pPr>
          </w:p>
          <w:p w14:paraId="57042555" w14:textId="5C12D044" w:rsidR="00E54C7F" w:rsidRPr="00E54C7F" w:rsidRDefault="00E54C7F" w:rsidP="007E534C">
            <w:pPr>
              <w:jc w:val="both"/>
              <w:rPr>
                <w:rFonts w:ascii="Times New Roman" w:hAnsi="Times New Roman" w:cs="Times New Roman"/>
                <w:sz w:val="24"/>
                <w:szCs w:val="24"/>
              </w:rPr>
            </w:pPr>
            <w:r>
              <w:rPr>
                <w:rFonts w:ascii="Times New Roman" w:hAnsi="Times New Roman" w:cs="Times New Roman"/>
                <w:sz w:val="24"/>
                <w:szCs w:val="24"/>
              </w:rPr>
              <w:t xml:space="preserve">Papildomai pažymėtina, kad plėtros programos formos III skyriuje „Priemonių rinkinys“ prie konkrečios priemonės yra nurodomi </w:t>
            </w:r>
            <w:r>
              <w:rPr>
                <w:rFonts w:ascii="Times New Roman" w:hAnsi="Times New Roman" w:cs="Times New Roman"/>
                <w:b/>
                <w:bCs/>
                <w:sz w:val="24"/>
                <w:szCs w:val="24"/>
              </w:rPr>
              <w:t xml:space="preserve">kiti NPP uždaviniai </w:t>
            </w:r>
            <w:r>
              <w:rPr>
                <w:rFonts w:ascii="Times New Roman" w:hAnsi="Times New Roman" w:cs="Times New Roman"/>
                <w:sz w:val="24"/>
                <w:szCs w:val="24"/>
              </w:rPr>
              <w:t xml:space="preserve">prie kurių įgyvendinimo prisideda nurodyta priemonė. </w:t>
            </w:r>
          </w:p>
          <w:p w14:paraId="27D3D158" w14:textId="3AB8F3E7" w:rsidR="00F36446" w:rsidRPr="00F36446" w:rsidRDefault="00F36446" w:rsidP="00C53A46">
            <w:pPr>
              <w:jc w:val="both"/>
              <w:rPr>
                <w:rFonts w:ascii="Times New Roman" w:hAnsi="Times New Roman" w:cs="Times New Roman"/>
                <w:sz w:val="24"/>
                <w:szCs w:val="24"/>
              </w:rPr>
            </w:pPr>
          </w:p>
        </w:tc>
      </w:tr>
      <w:tr w:rsidR="00441463" w14:paraId="7D01448F" w14:textId="77777777" w:rsidTr="005550B9">
        <w:tc>
          <w:tcPr>
            <w:tcW w:w="14454" w:type="dxa"/>
            <w:gridSpan w:val="4"/>
          </w:tcPr>
          <w:p w14:paraId="3C96ACA9" w14:textId="77777777" w:rsidR="00EF4405" w:rsidRDefault="00EF4405" w:rsidP="00DE7AA9">
            <w:pPr>
              <w:jc w:val="center"/>
              <w:rPr>
                <w:rFonts w:ascii="Times New Roman" w:hAnsi="Times New Roman" w:cs="Times New Roman"/>
                <w:sz w:val="24"/>
                <w:szCs w:val="24"/>
              </w:rPr>
            </w:pPr>
          </w:p>
          <w:p w14:paraId="6F0DBC64" w14:textId="027AD053" w:rsidR="00441463" w:rsidRDefault="007B7424" w:rsidP="00DE7AA9">
            <w:pPr>
              <w:jc w:val="center"/>
              <w:rPr>
                <w:rFonts w:ascii="Times New Roman" w:hAnsi="Times New Roman" w:cs="Times New Roman"/>
                <w:sz w:val="24"/>
                <w:szCs w:val="24"/>
              </w:rPr>
            </w:pPr>
            <w:r w:rsidRPr="007B7424">
              <w:rPr>
                <w:rFonts w:ascii="Times New Roman" w:hAnsi="Times New Roman" w:cs="Times New Roman"/>
                <w:sz w:val="24"/>
                <w:szCs w:val="24"/>
              </w:rPr>
              <w:t>Lietuvos Respublikos socialinės apsaugos ir darbo ministerija</w:t>
            </w:r>
          </w:p>
        </w:tc>
      </w:tr>
      <w:tr w:rsidR="005550B9" w14:paraId="77B1192B" w14:textId="77777777" w:rsidTr="005550B9">
        <w:tc>
          <w:tcPr>
            <w:tcW w:w="601" w:type="dxa"/>
          </w:tcPr>
          <w:p w14:paraId="0185C28B" w14:textId="194E5AA3" w:rsidR="0060177A" w:rsidRDefault="000E3C98" w:rsidP="00DE7AA9">
            <w:pPr>
              <w:jc w:val="center"/>
              <w:rPr>
                <w:rFonts w:ascii="Times New Roman" w:hAnsi="Times New Roman" w:cs="Times New Roman"/>
                <w:sz w:val="24"/>
                <w:szCs w:val="24"/>
              </w:rPr>
            </w:pPr>
            <w:r>
              <w:rPr>
                <w:rFonts w:ascii="Times New Roman" w:hAnsi="Times New Roman" w:cs="Times New Roman"/>
                <w:sz w:val="24"/>
                <w:szCs w:val="24"/>
              </w:rPr>
              <w:t>7.</w:t>
            </w:r>
          </w:p>
        </w:tc>
        <w:tc>
          <w:tcPr>
            <w:tcW w:w="1563" w:type="dxa"/>
          </w:tcPr>
          <w:p w14:paraId="03850114" w14:textId="000E0CDC" w:rsidR="0060177A"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208700AF" w14:textId="554762F9" w:rsidR="0060177A" w:rsidRDefault="004D7143" w:rsidP="00860139">
            <w:pPr>
              <w:jc w:val="both"/>
              <w:rPr>
                <w:rFonts w:ascii="Times New Roman" w:hAnsi="Times New Roman" w:cs="Times New Roman"/>
                <w:sz w:val="24"/>
                <w:szCs w:val="24"/>
              </w:rPr>
            </w:pPr>
            <w:r w:rsidRPr="004D7143">
              <w:rPr>
                <w:rFonts w:ascii="Times New Roman" w:hAnsi="Times New Roman" w:cs="Times New Roman"/>
                <w:sz w:val="24"/>
                <w:szCs w:val="24"/>
              </w:rPr>
              <w:t>1.</w:t>
            </w:r>
            <w:r w:rsidRPr="004D7143">
              <w:rPr>
                <w:rFonts w:ascii="Times New Roman" w:hAnsi="Times New Roman" w:cs="Times New Roman"/>
                <w:sz w:val="24"/>
                <w:szCs w:val="24"/>
              </w:rPr>
              <w:tab/>
              <w:t>Nei viena iš A formoje nurodytų priemonių neprisideda prie horizontaliųjų principų, numatytų Nacionaliniame pažangos plane, todėl prašome numatyti priemones, kurios prisidėtų prie horizontaliojo principo „lygios galimybės visiems“, įskaitant ir lyčių lygybės priemones.</w:t>
            </w:r>
          </w:p>
        </w:tc>
        <w:tc>
          <w:tcPr>
            <w:tcW w:w="6237" w:type="dxa"/>
          </w:tcPr>
          <w:p w14:paraId="11447A07" w14:textId="282DB2E3" w:rsidR="0060177A" w:rsidRPr="00EC0AB1" w:rsidRDefault="00CE3F88" w:rsidP="00CE3F88">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Atsižvelgta iš dalies</w:t>
            </w:r>
            <w:r w:rsidR="00EC0AB1">
              <w:rPr>
                <w:rFonts w:ascii="Times New Roman" w:hAnsi="Times New Roman" w:cs="Times New Roman"/>
                <w:sz w:val="24"/>
                <w:szCs w:val="24"/>
                <w:u w:val="single"/>
              </w:rPr>
              <w:t>.</w:t>
            </w:r>
          </w:p>
          <w:p w14:paraId="4DB20A70" w14:textId="77777777" w:rsidR="00CE3F88" w:rsidRPr="00EC0AB1" w:rsidRDefault="00CE3F88" w:rsidP="00CE3F88">
            <w:pPr>
              <w:jc w:val="both"/>
              <w:rPr>
                <w:rFonts w:ascii="Times New Roman" w:hAnsi="Times New Roman" w:cs="Times New Roman"/>
                <w:sz w:val="24"/>
                <w:szCs w:val="24"/>
                <w:u w:val="single"/>
              </w:rPr>
            </w:pPr>
          </w:p>
          <w:p w14:paraId="7C6E4FD9" w14:textId="4AE6D9EB" w:rsidR="00CE3F88" w:rsidRPr="00EC0AB1" w:rsidRDefault="00263D8A" w:rsidP="00CE3F88">
            <w:pPr>
              <w:jc w:val="both"/>
              <w:rPr>
                <w:rFonts w:ascii="Times New Roman" w:hAnsi="Times New Roman" w:cs="Times New Roman"/>
                <w:sz w:val="24"/>
                <w:szCs w:val="24"/>
              </w:rPr>
            </w:pPr>
            <w:r w:rsidRPr="00EC0AB1">
              <w:rPr>
                <w:rFonts w:ascii="Times New Roman" w:hAnsi="Times New Roman" w:cs="Times New Roman"/>
                <w:sz w:val="24"/>
                <w:szCs w:val="24"/>
              </w:rPr>
              <w:t xml:space="preserve">Prie priemonių, kurios prisidės </w:t>
            </w:r>
            <w:r w:rsidR="006A3402" w:rsidRPr="00EC0AB1">
              <w:rPr>
                <w:rFonts w:ascii="Times New Roman" w:hAnsi="Times New Roman" w:cs="Times New Roman"/>
                <w:sz w:val="24"/>
                <w:szCs w:val="24"/>
              </w:rPr>
              <w:t xml:space="preserve">prie </w:t>
            </w:r>
            <w:r w:rsidR="00A244B0" w:rsidRPr="00EC0AB1">
              <w:rPr>
                <w:rFonts w:ascii="Times New Roman" w:hAnsi="Times New Roman" w:cs="Times New Roman"/>
                <w:sz w:val="24"/>
                <w:szCs w:val="24"/>
              </w:rPr>
              <w:t>horizontali</w:t>
            </w:r>
            <w:r w:rsidR="006A3402" w:rsidRPr="00EC0AB1">
              <w:rPr>
                <w:rFonts w:ascii="Times New Roman" w:hAnsi="Times New Roman" w:cs="Times New Roman"/>
                <w:sz w:val="24"/>
                <w:szCs w:val="24"/>
              </w:rPr>
              <w:t>ųjų</w:t>
            </w:r>
            <w:r w:rsidR="00A244B0" w:rsidRPr="00EC0AB1">
              <w:rPr>
                <w:rFonts w:ascii="Times New Roman" w:hAnsi="Times New Roman" w:cs="Times New Roman"/>
                <w:sz w:val="24"/>
                <w:szCs w:val="24"/>
              </w:rPr>
              <w:t xml:space="preserve"> princip</w:t>
            </w:r>
            <w:r w:rsidR="006A3402" w:rsidRPr="00EC0AB1">
              <w:rPr>
                <w:rFonts w:ascii="Times New Roman" w:hAnsi="Times New Roman" w:cs="Times New Roman"/>
                <w:sz w:val="24"/>
                <w:szCs w:val="24"/>
              </w:rPr>
              <w:t>ų</w:t>
            </w:r>
            <w:r w:rsidR="00A244B0" w:rsidRPr="00EC0AB1">
              <w:rPr>
                <w:rFonts w:ascii="Times New Roman" w:hAnsi="Times New Roman" w:cs="Times New Roman"/>
                <w:sz w:val="24"/>
                <w:szCs w:val="24"/>
              </w:rPr>
              <w:t xml:space="preserve"> įgyvendinimo, nurodytas HP požymis.</w:t>
            </w:r>
          </w:p>
          <w:p w14:paraId="31D82CE7" w14:textId="4D3F6512" w:rsidR="00CF069D" w:rsidRPr="00EC0AB1" w:rsidRDefault="00CF069D" w:rsidP="00CE3F88">
            <w:pPr>
              <w:jc w:val="both"/>
              <w:rPr>
                <w:rFonts w:ascii="Times New Roman" w:hAnsi="Times New Roman" w:cs="Times New Roman"/>
                <w:sz w:val="24"/>
                <w:szCs w:val="24"/>
              </w:rPr>
            </w:pPr>
          </w:p>
          <w:p w14:paraId="14154480" w14:textId="42DB090C" w:rsidR="00CF069D" w:rsidRPr="00EC0AB1" w:rsidRDefault="006A3402" w:rsidP="00CE3F88">
            <w:pPr>
              <w:jc w:val="both"/>
              <w:rPr>
                <w:rFonts w:ascii="Times New Roman" w:hAnsi="Times New Roman" w:cs="Times New Roman"/>
                <w:sz w:val="24"/>
                <w:szCs w:val="24"/>
              </w:rPr>
            </w:pPr>
            <w:r w:rsidRPr="00EC0AB1">
              <w:rPr>
                <w:rFonts w:ascii="Times New Roman" w:hAnsi="Times New Roman" w:cs="Times New Roman"/>
                <w:sz w:val="24"/>
                <w:szCs w:val="24"/>
              </w:rPr>
              <w:t xml:space="preserve">Papildomų priemonių, skirtų konkrečiai įgyvendinti </w:t>
            </w:r>
            <w:r w:rsidR="004235B2" w:rsidRPr="00EC0AB1">
              <w:rPr>
                <w:rFonts w:ascii="Times New Roman" w:hAnsi="Times New Roman" w:cs="Times New Roman"/>
                <w:sz w:val="24"/>
                <w:szCs w:val="24"/>
              </w:rPr>
              <w:t xml:space="preserve">horizontalųjį principą „lygios galimybės visiems“ kurti neplanuojama. Pastebėtina, kad </w:t>
            </w:r>
            <w:r w:rsidR="00F66E9A" w:rsidRPr="00EC0AB1">
              <w:rPr>
                <w:rFonts w:ascii="Times New Roman" w:hAnsi="Times New Roman" w:cs="Times New Roman"/>
                <w:sz w:val="24"/>
                <w:szCs w:val="24"/>
              </w:rPr>
              <w:t xml:space="preserve">pažangos priemonės turėtų būti stambios, rodyti tik </w:t>
            </w:r>
            <w:r w:rsidR="00834074" w:rsidRPr="00EC0AB1">
              <w:rPr>
                <w:rFonts w:ascii="Times New Roman" w:hAnsi="Times New Roman" w:cs="Times New Roman"/>
                <w:sz w:val="24"/>
                <w:szCs w:val="24"/>
              </w:rPr>
              <w:t xml:space="preserve">poveikio kryptį, o ne konkrečias veiklas. </w:t>
            </w:r>
            <w:r w:rsidR="00EF05DD" w:rsidRPr="00EC0AB1">
              <w:rPr>
                <w:rFonts w:ascii="Times New Roman" w:hAnsi="Times New Roman" w:cs="Times New Roman"/>
                <w:sz w:val="24"/>
                <w:szCs w:val="24"/>
              </w:rPr>
              <w:t>Numatoma, kad k</w:t>
            </w:r>
            <w:r w:rsidR="00834074" w:rsidRPr="00EC0AB1">
              <w:rPr>
                <w:rFonts w:ascii="Times New Roman" w:hAnsi="Times New Roman" w:cs="Times New Roman"/>
                <w:sz w:val="24"/>
                <w:szCs w:val="24"/>
              </w:rPr>
              <w:t>onkrečios priemonių veiklos prisidės prie HP įgyvendinimo</w:t>
            </w:r>
            <w:r w:rsidR="00500567" w:rsidRPr="00EC0AB1">
              <w:rPr>
                <w:rFonts w:ascii="Times New Roman" w:hAnsi="Times New Roman" w:cs="Times New Roman"/>
                <w:sz w:val="24"/>
                <w:szCs w:val="24"/>
              </w:rPr>
              <w:t xml:space="preserve">. </w:t>
            </w:r>
          </w:p>
          <w:p w14:paraId="419E8468" w14:textId="77777777" w:rsidR="00500567" w:rsidRPr="00EC0AB1" w:rsidRDefault="00500567" w:rsidP="00500567">
            <w:pPr>
              <w:jc w:val="both"/>
              <w:rPr>
                <w:rFonts w:ascii="Times New Roman" w:hAnsi="Times New Roman" w:cs="Times New Roman"/>
                <w:sz w:val="24"/>
                <w:szCs w:val="24"/>
              </w:rPr>
            </w:pPr>
            <w:r w:rsidRPr="00EC0AB1">
              <w:rPr>
                <w:rFonts w:ascii="Times New Roman" w:hAnsi="Times New Roman" w:cs="Times New Roman"/>
                <w:sz w:val="24"/>
                <w:szCs w:val="24"/>
              </w:rPr>
              <w:t>Kita vertus, pastebėtina, kad su principo „lygios galimybės visiems“ įgyvendinimu susijusios ir kai kurios jau šiuo metu plėtros programoje identifikuotos problemos. Pavyzdžiui, sprendžiant problemą „Nepakankamai panaudojamos informacinių technologijų galimybės nuotoliniam darbui, skaitmenizavimui ir saugumo stiprinimui“, be kita ko, bus prisidedama prie neįgaliųjų ar kitų asmenų, kuriems yra sudėtinga fiziškai dalyvauti teismo posėdžiuose, teisės į teisminę gynybą įgyvendinimo, sudarant sąlygas dalyvauti teismo posėdžiuose nuotoliniu būdu.</w:t>
            </w:r>
          </w:p>
          <w:p w14:paraId="7632032F" w14:textId="6A4AF291" w:rsidR="00A475F7" w:rsidRPr="00CE3F88" w:rsidRDefault="00A475F7" w:rsidP="009D463A">
            <w:pPr>
              <w:jc w:val="both"/>
              <w:rPr>
                <w:rFonts w:ascii="Times New Roman" w:hAnsi="Times New Roman" w:cs="Times New Roman"/>
                <w:sz w:val="24"/>
                <w:szCs w:val="24"/>
              </w:rPr>
            </w:pPr>
          </w:p>
        </w:tc>
      </w:tr>
      <w:tr w:rsidR="005550B9" w14:paraId="3EDACF7D" w14:textId="77777777" w:rsidTr="005550B9">
        <w:tc>
          <w:tcPr>
            <w:tcW w:w="601" w:type="dxa"/>
          </w:tcPr>
          <w:p w14:paraId="601F8F37" w14:textId="57FE7A9A" w:rsidR="0060177A" w:rsidRDefault="000E3C98" w:rsidP="00DE7AA9">
            <w:pPr>
              <w:jc w:val="center"/>
              <w:rPr>
                <w:rFonts w:ascii="Times New Roman" w:hAnsi="Times New Roman" w:cs="Times New Roman"/>
                <w:sz w:val="24"/>
                <w:szCs w:val="24"/>
              </w:rPr>
            </w:pPr>
            <w:r>
              <w:rPr>
                <w:rFonts w:ascii="Times New Roman" w:hAnsi="Times New Roman" w:cs="Times New Roman"/>
                <w:sz w:val="24"/>
                <w:szCs w:val="24"/>
              </w:rPr>
              <w:t>8.</w:t>
            </w:r>
          </w:p>
        </w:tc>
        <w:tc>
          <w:tcPr>
            <w:tcW w:w="1563" w:type="dxa"/>
          </w:tcPr>
          <w:p w14:paraId="35C60FEA" w14:textId="3DEED835" w:rsidR="0060177A"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 xml:space="preserve">Lietuvos Respublikos socialinės apsaugos ir </w:t>
            </w:r>
            <w:r w:rsidRPr="00432B26">
              <w:rPr>
                <w:rFonts w:ascii="Times New Roman" w:hAnsi="Times New Roman" w:cs="Times New Roman"/>
                <w:sz w:val="24"/>
                <w:szCs w:val="24"/>
              </w:rPr>
              <w:lastRenderedPageBreak/>
              <w:t>darbo ministerija</w:t>
            </w:r>
          </w:p>
        </w:tc>
        <w:tc>
          <w:tcPr>
            <w:tcW w:w="6053" w:type="dxa"/>
          </w:tcPr>
          <w:p w14:paraId="0A5D632C" w14:textId="3502E159" w:rsidR="0060177A" w:rsidRDefault="00286A77" w:rsidP="00860139">
            <w:pPr>
              <w:jc w:val="both"/>
              <w:rPr>
                <w:rFonts w:ascii="Times New Roman" w:hAnsi="Times New Roman" w:cs="Times New Roman"/>
                <w:sz w:val="24"/>
                <w:szCs w:val="24"/>
              </w:rPr>
            </w:pPr>
            <w:r w:rsidRPr="00286A77">
              <w:rPr>
                <w:rFonts w:ascii="Times New Roman" w:hAnsi="Times New Roman" w:cs="Times New Roman"/>
                <w:sz w:val="24"/>
                <w:szCs w:val="24"/>
              </w:rPr>
              <w:lastRenderedPageBreak/>
              <w:t>2.</w:t>
            </w:r>
            <w:r w:rsidRPr="00286A77">
              <w:rPr>
                <w:rFonts w:ascii="Times New Roman" w:hAnsi="Times New Roman" w:cs="Times New Roman"/>
                <w:sz w:val="24"/>
                <w:szCs w:val="24"/>
              </w:rPr>
              <w:tab/>
              <w:t xml:space="preserve">Atsižvelgiant į priežastį „6.2.3. Ribotas priklausomybių ligų gydymo prieinamumas nuteistiesiems.“ ir „6.2.4. Ribotos bausmę atliekančių nuteistųjų galimybės įgyti išsilavinimą“, svarstytina, ar A formoje šalia 11-13 priemonių neturėtų būti nurodytos papildomos </w:t>
            </w:r>
            <w:r w:rsidRPr="00286A77">
              <w:rPr>
                <w:rFonts w:ascii="Times New Roman" w:hAnsi="Times New Roman" w:cs="Times New Roman"/>
                <w:sz w:val="24"/>
                <w:szCs w:val="24"/>
              </w:rPr>
              <w:lastRenderedPageBreak/>
              <w:t>dalyvaujančios institucijos – Sveikatos apsaugos ministerija bei Švietimo, mokslo ir sporto ministerija.</w:t>
            </w:r>
          </w:p>
        </w:tc>
        <w:tc>
          <w:tcPr>
            <w:tcW w:w="6237" w:type="dxa"/>
          </w:tcPr>
          <w:p w14:paraId="749379AA" w14:textId="4C62898C" w:rsidR="0060177A" w:rsidRDefault="00CF513A" w:rsidP="004B5F87">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Neatsižvelgta</w:t>
            </w:r>
            <w:r w:rsidR="00EC0AB1">
              <w:rPr>
                <w:rFonts w:ascii="Times New Roman" w:hAnsi="Times New Roman" w:cs="Times New Roman"/>
                <w:sz w:val="24"/>
                <w:szCs w:val="24"/>
                <w:u w:val="single"/>
              </w:rPr>
              <w:t>.</w:t>
            </w:r>
          </w:p>
          <w:p w14:paraId="7B4395F3" w14:textId="77777777" w:rsidR="00EC0AB1" w:rsidRPr="00EC0AB1" w:rsidRDefault="00EC0AB1" w:rsidP="004B5F87">
            <w:pPr>
              <w:jc w:val="both"/>
              <w:rPr>
                <w:rFonts w:ascii="Times New Roman" w:hAnsi="Times New Roman" w:cs="Times New Roman"/>
                <w:sz w:val="24"/>
                <w:szCs w:val="24"/>
                <w:u w:val="single"/>
              </w:rPr>
            </w:pPr>
          </w:p>
          <w:p w14:paraId="266FC27D" w14:textId="3D38CE13" w:rsidR="00CF513A" w:rsidRPr="00EC0AB1" w:rsidRDefault="00CF513A" w:rsidP="004B5F87">
            <w:pPr>
              <w:jc w:val="both"/>
              <w:rPr>
                <w:rFonts w:ascii="Times New Roman" w:hAnsi="Times New Roman" w:cs="Times New Roman"/>
                <w:sz w:val="24"/>
                <w:szCs w:val="24"/>
              </w:rPr>
            </w:pPr>
            <w:r w:rsidRPr="00EC0AB1">
              <w:rPr>
                <w:rFonts w:ascii="Times New Roman" w:hAnsi="Times New Roman" w:cs="Times New Roman"/>
                <w:sz w:val="24"/>
                <w:szCs w:val="24"/>
              </w:rPr>
              <w:t xml:space="preserve">Plėtros programos projektas buvo pateiktas derinti tiek SAM, tiek </w:t>
            </w:r>
            <w:r w:rsidR="009D463A" w:rsidRPr="00EC0AB1">
              <w:rPr>
                <w:rFonts w:ascii="Times New Roman" w:hAnsi="Times New Roman" w:cs="Times New Roman"/>
                <w:sz w:val="24"/>
                <w:szCs w:val="24"/>
              </w:rPr>
              <w:t>Š</w:t>
            </w:r>
            <w:r w:rsidRPr="00EC0AB1">
              <w:rPr>
                <w:rFonts w:ascii="Times New Roman" w:hAnsi="Times New Roman" w:cs="Times New Roman"/>
                <w:sz w:val="24"/>
                <w:szCs w:val="24"/>
              </w:rPr>
              <w:t>M</w:t>
            </w:r>
            <w:r w:rsidR="00EF05DD" w:rsidRPr="00EC0AB1">
              <w:rPr>
                <w:rFonts w:ascii="Times New Roman" w:hAnsi="Times New Roman" w:cs="Times New Roman"/>
                <w:sz w:val="24"/>
                <w:szCs w:val="24"/>
              </w:rPr>
              <w:t>S</w:t>
            </w:r>
            <w:r w:rsidRPr="00EC0AB1">
              <w:rPr>
                <w:rFonts w:ascii="Times New Roman" w:hAnsi="Times New Roman" w:cs="Times New Roman"/>
                <w:sz w:val="24"/>
                <w:szCs w:val="24"/>
              </w:rPr>
              <w:t xml:space="preserve">M, </w:t>
            </w:r>
            <w:r w:rsidR="00E95E29">
              <w:rPr>
                <w:rFonts w:ascii="Times New Roman" w:hAnsi="Times New Roman" w:cs="Times New Roman"/>
                <w:sz w:val="24"/>
                <w:szCs w:val="24"/>
              </w:rPr>
              <w:t xml:space="preserve">tačiau </w:t>
            </w:r>
            <w:r w:rsidR="00B8196C">
              <w:rPr>
                <w:rFonts w:ascii="Times New Roman" w:hAnsi="Times New Roman" w:cs="Times New Roman"/>
                <w:sz w:val="24"/>
                <w:szCs w:val="24"/>
              </w:rPr>
              <w:t xml:space="preserve">nebuvo sulaukta jų prašymų įtraukti prie </w:t>
            </w:r>
            <w:r w:rsidR="00B8196C">
              <w:rPr>
                <w:rFonts w:ascii="Times New Roman" w:hAnsi="Times New Roman" w:cs="Times New Roman"/>
                <w:sz w:val="24"/>
                <w:szCs w:val="24"/>
              </w:rPr>
              <w:lastRenderedPageBreak/>
              <w:t>dalyvaujančių institucijų, tačiau šios institucijos galėtų, prireikus, būti pasitelkiamos priemonių rengimo etape.</w:t>
            </w:r>
          </w:p>
          <w:p w14:paraId="08099B4E" w14:textId="1FB90FF5" w:rsidR="00FB69F6" w:rsidRDefault="00FB69F6" w:rsidP="004B5F87">
            <w:pPr>
              <w:jc w:val="both"/>
              <w:rPr>
                <w:rFonts w:ascii="Times New Roman" w:hAnsi="Times New Roman" w:cs="Times New Roman"/>
                <w:sz w:val="24"/>
                <w:szCs w:val="24"/>
              </w:rPr>
            </w:pPr>
          </w:p>
          <w:p w14:paraId="19A5F6A9" w14:textId="3D7846A2" w:rsidR="00FB69F6" w:rsidRDefault="00FB69F6" w:rsidP="004B5F87">
            <w:pPr>
              <w:jc w:val="both"/>
              <w:rPr>
                <w:rFonts w:ascii="Times New Roman" w:hAnsi="Times New Roman" w:cs="Times New Roman"/>
                <w:sz w:val="24"/>
                <w:szCs w:val="24"/>
              </w:rPr>
            </w:pPr>
            <w:r w:rsidRPr="00FB69F6">
              <w:rPr>
                <w:rFonts w:ascii="Times New Roman" w:hAnsi="Times New Roman" w:cs="Times New Roman"/>
                <w:sz w:val="24"/>
                <w:szCs w:val="24"/>
              </w:rPr>
              <w:t>Pažymėtina, kad Plėtros programos  III skyriaus „Priemonių rinkinys“ lentelės stulpelyje „Kiti NPP uždaviniai“ gali būti nurodomi kiti NPP uždaviniai, prie kurių įgyvendinimo bus netiesiogiai prisidedama įgyvendinant konkrečias pažangos priemonės veiklas.</w:t>
            </w:r>
          </w:p>
          <w:p w14:paraId="65D8C4D9" w14:textId="77777777" w:rsidR="00FB69F6" w:rsidRDefault="00FB69F6" w:rsidP="004B5F87">
            <w:pPr>
              <w:jc w:val="both"/>
              <w:rPr>
                <w:rFonts w:ascii="Times New Roman" w:hAnsi="Times New Roman" w:cs="Times New Roman"/>
                <w:sz w:val="24"/>
                <w:szCs w:val="24"/>
              </w:rPr>
            </w:pPr>
          </w:p>
          <w:p w14:paraId="3BB23653" w14:textId="3CF924B4" w:rsidR="00D222E1" w:rsidRDefault="00D222E1" w:rsidP="004B5F87">
            <w:pPr>
              <w:jc w:val="both"/>
              <w:rPr>
                <w:rFonts w:ascii="Times New Roman" w:hAnsi="Times New Roman" w:cs="Times New Roman"/>
                <w:sz w:val="24"/>
                <w:szCs w:val="24"/>
              </w:rPr>
            </w:pPr>
          </w:p>
        </w:tc>
      </w:tr>
      <w:tr w:rsidR="005550B9" w14:paraId="06090BC2" w14:textId="77777777" w:rsidTr="005550B9">
        <w:tc>
          <w:tcPr>
            <w:tcW w:w="601" w:type="dxa"/>
          </w:tcPr>
          <w:p w14:paraId="1276611B" w14:textId="48825C7C"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563" w:type="dxa"/>
          </w:tcPr>
          <w:p w14:paraId="6277FA56" w14:textId="31AD165A"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2FCB918E" w14:textId="17E95161" w:rsidR="00696A9F" w:rsidRDefault="002D3CB5" w:rsidP="00860139">
            <w:pPr>
              <w:jc w:val="both"/>
              <w:rPr>
                <w:rFonts w:ascii="Times New Roman" w:hAnsi="Times New Roman" w:cs="Times New Roman"/>
                <w:sz w:val="24"/>
                <w:szCs w:val="24"/>
              </w:rPr>
            </w:pPr>
            <w:r w:rsidRPr="002D3CB5">
              <w:rPr>
                <w:rFonts w:ascii="Times New Roman" w:hAnsi="Times New Roman" w:cs="Times New Roman"/>
                <w:sz w:val="24"/>
                <w:szCs w:val="24"/>
              </w:rPr>
              <w:t>3.</w:t>
            </w:r>
            <w:r w:rsidRPr="002D3CB5">
              <w:rPr>
                <w:rFonts w:ascii="Times New Roman" w:hAnsi="Times New Roman" w:cs="Times New Roman"/>
                <w:sz w:val="24"/>
                <w:szCs w:val="24"/>
              </w:rPr>
              <w:tab/>
              <w:t>Plėtros programos pagrindimo pirmos problemos priežastyje 1.4.  „Didelis teismų gaunamų bylų skaičius:”, papunktyje 1.4.4. „Teisinių žinių stoka” nurodoma „&lt;...&gt; kad piliečiams teisingumo sistema naudotis būtų patogu, informacija apie teismų sistemą turi būti ne tik lengvai prieinama, bet ir teikiama atsižvelgiant į konkrečių visuomenės grupių, kurioms kitu atveju informaciją gauti būtų sudėtinga, aplinkybes.” Siūlytina tikslinti teiginį įterpiant: „&lt;...&gt; informacija apie teismų sistemą turi būti ne tik lengvai prieinama ir pateikiama suprantama forma bei kalba, bet ir teikiama &lt;...&gt;”, taip užtikrinant reikalingumą informaciją suprantamai pateikti asmenims su negalia ir vyresnio amžiaus asmenims.</w:t>
            </w:r>
          </w:p>
        </w:tc>
        <w:tc>
          <w:tcPr>
            <w:tcW w:w="6237" w:type="dxa"/>
          </w:tcPr>
          <w:p w14:paraId="53747030" w14:textId="7519CE0B" w:rsidR="00F5553B" w:rsidRDefault="00F5553B" w:rsidP="005873C2">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Atsižvelgta</w:t>
            </w:r>
            <w:r w:rsidR="00EC0AB1">
              <w:rPr>
                <w:rFonts w:ascii="Times New Roman" w:hAnsi="Times New Roman" w:cs="Times New Roman"/>
                <w:sz w:val="24"/>
                <w:szCs w:val="24"/>
                <w:u w:val="single"/>
              </w:rPr>
              <w:t>.</w:t>
            </w:r>
          </w:p>
          <w:p w14:paraId="7A027BE5" w14:textId="77777777" w:rsidR="00EC0AB1" w:rsidRPr="00EC0AB1" w:rsidRDefault="00EC0AB1" w:rsidP="005873C2">
            <w:pPr>
              <w:jc w:val="both"/>
              <w:rPr>
                <w:rFonts w:ascii="Times New Roman" w:hAnsi="Times New Roman" w:cs="Times New Roman"/>
                <w:sz w:val="24"/>
                <w:szCs w:val="24"/>
                <w:u w:val="single"/>
              </w:rPr>
            </w:pPr>
          </w:p>
          <w:p w14:paraId="03ED50F7" w14:textId="6F4156E5" w:rsidR="00F5553B" w:rsidRPr="00EC0AB1" w:rsidRDefault="00EE2C50" w:rsidP="005873C2">
            <w:pPr>
              <w:jc w:val="both"/>
              <w:rPr>
                <w:rFonts w:ascii="Times New Roman" w:hAnsi="Times New Roman" w:cs="Times New Roman"/>
                <w:sz w:val="24"/>
                <w:szCs w:val="24"/>
              </w:rPr>
            </w:pPr>
            <w:r w:rsidRPr="00EC0AB1">
              <w:rPr>
                <w:rFonts w:ascii="Times New Roman" w:hAnsi="Times New Roman" w:cs="Times New Roman"/>
                <w:sz w:val="24"/>
                <w:szCs w:val="24"/>
              </w:rPr>
              <w:t>P</w:t>
            </w:r>
            <w:r w:rsidR="00F5553B" w:rsidRPr="00EC0AB1">
              <w:rPr>
                <w:rFonts w:ascii="Times New Roman" w:hAnsi="Times New Roman" w:cs="Times New Roman"/>
                <w:sz w:val="24"/>
                <w:szCs w:val="24"/>
              </w:rPr>
              <w:t>a</w:t>
            </w:r>
            <w:r w:rsidR="00266F36">
              <w:rPr>
                <w:rFonts w:ascii="Times New Roman" w:hAnsi="Times New Roman" w:cs="Times New Roman"/>
                <w:sz w:val="24"/>
                <w:szCs w:val="24"/>
              </w:rPr>
              <w:t>grindimas papildytas:</w:t>
            </w:r>
          </w:p>
          <w:p w14:paraId="6AA6F85B" w14:textId="4240763D" w:rsidR="00CC7249" w:rsidRPr="00CC7249" w:rsidRDefault="00266F36" w:rsidP="00CC7249">
            <w:pPr>
              <w:jc w:val="both"/>
              <w:rPr>
                <w:rFonts w:ascii="Times New Roman" w:eastAsia="Times New Roman" w:hAnsi="Times New Roman" w:cs="Times New Roman"/>
                <w:b/>
                <w:bCs/>
                <w:iCs/>
                <w:sz w:val="24"/>
                <w:szCs w:val="24"/>
                <w:lang w:eastAsia="zh-CN" w:bidi="hi-IN"/>
              </w:rPr>
            </w:pPr>
            <w:r>
              <w:rPr>
                <w:rFonts w:ascii="Times New Roman" w:eastAsia="Times New Roman" w:hAnsi="Times New Roman" w:cs="Times New Roman"/>
                <w:b/>
                <w:bCs/>
                <w:iCs/>
                <w:sz w:val="24"/>
                <w:szCs w:val="24"/>
                <w:lang w:eastAsia="zh-CN" w:bidi="hi-IN"/>
              </w:rPr>
              <w:t>„</w:t>
            </w:r>
            <w:r w:rsidR="00CC7249" w:rsidRPr="00CC7249">
              <w:rPr>
                <w:rFonts w:ascii="Times New Roman" w:eastAsia="Times New Roman" w:hAnsi="Times New Roman" w:cs="Times New Roman"/>
                <w:b/>
                <w:bCs/>
                <w:iCs/>
                <w:sz w:val="24"/>
                <w:szCs w:val="24"/>
                <w:lang w:eastAsia="zh-CN" w:bidi="hi-IN"/>
              </w:rPr>
              <w:t>1.4.4. Teisinių žinių stoka.</w:t>
            </w:r>
          </w:p>
          <w:p w14:paraId="2F9BC609" w14:textId="7E5D3587" w:rsidR="005735AA" w:rsidRPr="00266F36" w:rsidRDefault="00CC7249" w:rsidP="00266F36">
            <w:pPr>
              <w:jc w:val="both"/>
              <w:rPr>
                <w:rFonts w:ascii="Times New Roman" w:eastAsia="Times New Roman" w:hAnsi="Times New Roman" w:cs="Times New Roman"/>
                <w:iCs/>
                <w:sz w:val="24"/>
                <w:szCs w:val="24"/>
                <w:lang w:eastAsia="zh-CN" w:bidi="hi-IN"/>
              </w:rPr>
            </w:pPr>
            <w:r w:rsidRPr="00CC7249">
              <w:rPr>
                <w:rFonts w:ascii="Times New Roman" w:eastAsia="Times New Roman" w:hAnsi="Times New Roman" w:cs="Times New Roman"/>
                <w:iCs/>
                <w:sz w:val="24"/>
                <w:szCs w:val="24"/>
                <w:lang w:eastAsia="zh-CN" w:bidi="hi-IN"/>
              </w:rPr>
              <w:t xml:space="preserve">Europos Komisijos paskelbtoje 2020 m. ES teisingumo rezultatų suvestinėje  nurodyta, jog prieinamumą būtina užtikrinti visoje teisingumo grandinėje, kad žmonės galėtų gauti reikiamą informaciją – apie teisingumo sistemą, apie tai, kaip pareikšti ieškinį, apie su tuo susijusius finansinius aspektus, apie bylos eigą iki pat proceso pabaigos – ir kad su teismo sprendimu galėtų greitai susipažinti internete. </w:t>
            </w:r>
            <w:r w:rsidRPr="00CC7249">
              <w:rPr>
                <w:rFonts w:ascii="Times New Roman" w:eastAsia="Times New Roman" w:hAnsi="Times New Roman" w:cs="Times New Roman"/>
                <w:i/>
                <w:sz w:val="24"/>
                <w:szCs w:val="24"/>
                <w:lang w:eastAsia="zh-CN" w:bidi="hi-IN"/>
              </w:rPr>
              <w:t>Kad piliečiams teisingumo sistema naudotis būtų patogu, informacija apie teismų sistemą turi būti ne tik lengvai prieinama, bet ir teikiama atsižvelgiant į konkrečių visuomenės grupių, kurioms kitu atveju informaciją gauti būtų sudėtinga, aplinkybes bei taip pat užtikrinant reikalingumą informaciją suprantamai pateikti asmenims su negalia ir vyresnio amžiaus asmenims.</w:t>
            </w:r>
            <w:r w:rsidR="00266F36">
              <w:rPr>
                <w:rFonts w:ascii="Times New Roman" w:eastAsia="Times New Roman" w:hAnsi="Times New Roman" w:cs="Times New Roman"/>
                <w:iCs/>
                <w:sz w:val="24"/>
                <w:szCs w:val="24"/>
                <w:lang w:eastAsia="zh-CN" w:bidi="hi-IN"/>
              </w:rPr>
              <w:t xml:space="preserve"> &lt;...&gt;“</w:t>
            </w:r>
          </w:p>
        </w:tc>
      </w:tr>
      <w:tr w:rsidR="005550B9" w14:paraId="2B4FAF98" w14:textId="77777777" w:rsidTr="005550B9">
        <w:tc>
          <w:tcPr>
            <w:tcW w:w="601" w:type="dxa"/>
          </w:tcPr>
          <w:p w14:paraId="2414C5B4" w14:textId="346B0BB4"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t>10.</w:t>
            </w:r>
          </w:p>
        </w:tc>
        <w:tc>
          <w:tcPr>
            <w:tcW w:w="1563" w:type="dxa"/>
          </w:tcPr>
          <w:p w14:paraId="4BF15505" w14:textId="6DEC4FF2"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0457775D" w14:textId="28C5DD3C" w:rsidR="00696A9F" w:rsidRDefault="0071374E" w:rsidP="00860139">
            <w:pPr>
              <w:jc w:val="both"/>
              <w:rPr>
                <w:rFonts w:ascii="Times New Roman" w:hAnsi="Times New Roman" w:cs="Times New Roman"/>
                <w:sz w:val="24"/>
                <w:szCs w:val="24"/>
              </w:rPr>
            </w:pPr>
            <w:r w:rsidRPr="0071374E">
              <w:rPr>
                <w:rFonts w:ascii="Times New Roman" w:hAnsi="Times New Roman" w:cs="Times New Roman"/>
                <w:sz w:val="24"/>
                <w:szCs w:val="24"/>
              </w:rPr>
              <w:t>4.</w:t>
            </w:r>
            <w:r w:rsidRPr="0071374E">
              <w:rPr>
                <w:rFonts w:ascii="Times New Roman" w:hAnsi="Times New Roman" w:cs="Times New Roman"/>
                <w:sz w:val="24"/>
                <w:szCs w:val="24"/>
              </w:rPr>
              <w:tab/>
              <w:t xml:space="preserve">Plėtros programos pagrindimo pirmos problemos priežastyje 1.5. „Nepakankamai išvystyta bei atnaujinama teismų infrastruktūra”, papunktyje 1.5.1. „Nepakankamai panaudojamos informacinių technologijų galimybės nuotoliniam darbui, skaitmenizavimui ir saugumo stiprinimui” išsamiai aptariama informacinių technologijų </w:t>
            </w:r>
            <w:r w:rsidRPr="0071374E">
              <w:rPr>
                <w:rFonts w:ascii="Times New Roman" w:hAnsi="Times New Roman" w:cs="Times New Roman"/>
                <w:sz w:val="24"/>
                <w:szCs w:val="24"/>
              </w:rPr>
              <w:lastRenderedPageBreak/>
              <w:t>tinkamo nepanaudojimo problematika. Tačiau siūlytina pabrėžti ir tai, jog nepakankamas skaitmenizavimas ir informacijos nepateikimas asmenims su negalia suprantama kalba neužtikrina visapusiškos jų teisės į teisingumą ir teisingą bei nediskriminuojantį teisinį procesą.</w:t>
            </w:r>
          </w:p>
        </w:tc>
        <w:tc>
          <w:tcPr>
            <w:tcW w:w="6237" w:type="dxa"/>
          </w:tcPr>
          <w:p w14:paraId="0F711326" w14:textId="0DAA3004" w:rsidR="00BD18EE" w:rsidRDefault="000867E6" w:rsidP="000867E6">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Atsižvelgta</w:t>
            </w:r>
            <w:r w:rsidR="00EC0AB1">
              <w:rPr>
                <w:rFonts w:ascii="Times New Roman" w:hAnsi="Times New Roman" w:cs="Times New Roman"/>
                <w:sz w:val="24"/>
                <w:szCs w:val="24"/>
                <w:u w:val="single"/>
              </w:rPr>
              <w:t>.</w:t>
            </w:r>
          </w:p>
          <w:p w14:paraId="5500CE89" w14:textId="77777777" w:rsidR="00EC0AB1" w:rsidRPr="00EC0AB1" w:rsidRDefault="00EC0AB1" w:rsidP="000867E6">
            <w:pPr>
              <w:jc w:val="both"/>
              <w:rPr>
                <w:rFonts w:ascii="Times New Roman" w:hAnsi="Times New Roman" w:cs="Times New Roman"/>
                <w:sz w:val="24"/>
                <w:szCs w:val="24"/>
                <w:u w:val="single"/>
              </w:rPr>
            </w:pPr>
          </w:p>
          <w:p w14:paraId="223A3465" w14:textId="57D61B60" w:rsidR="000867E6" w:rsidRPr="00EC0AB1" w:rsidRDefault="000867E6" w:rsidP="000867E6">
            <w:pPr>
              <w:jc w:val="both"/>
              <w:rPr>
                <w:rFonts w:ascii="Times New Roman" w:hAnsi="Times New Roman" w:cs="Times New Roman"/>
                <w:sz w:val="24"/>
                <w:szCs w:val="24"/>
              </w:rPr>
            </w:pPr>
            <w:r w:rsidRPr="00EC0AB1">
              <w:rPr>
                <w:rFonts w:ascii="Times New Roman" w:hAnsi="Times New Roman" w:cs="Times New Roman"/>
                <w:sz w:val="24"/>
                <w:szCs w:val="24"/>
              </w:rPr>
              <w:t>Pagrindimas papildytas</w:t>
            </w:r>
            <w:r w:rsidR="00BB3BD6" w:rsidRPr="00EC0AB1">
              <w:rPr>
                <w:rFonts w:ascii="Times New Roman" w:hAnsi="Times New Roman" w:cs="Times New Roman"/>
                <w:sz w:val="24"/>
                <w:szCs w:val="24"/>
              </w:rPr>
              <w:t>:</w:t>
            </w:r>
          </w:p>
          <w:p w14:paraId="2D8CCF30" w14:textId="7CA0AB46" w:rsidR="004F70C9" w:rsidRPr="004F70C9" w:rsidRDefault="004F70C9" w:rsidP="004F70C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4F70C9">
              <w:rPr>
                <w:rFonts w:ascii="Times New Roman" w:eastAsia="Times New Roman" w:hAnsi="Times New Roman" w:cs="Times New Roman"/>
                <w:b/>
                <w:bCs/>
                <w:sz w:val="24"/>
                <w:szCs w:val="24"/>
              </w:rPr>
              <w:t>1.5.1. Nepakankamai panaudojamos informacinių technologijų galimybės nuotoliniam darbui, skaitmenizavimui ir saugumo stiprinimui.</w:t>
            </w:r>
          </w:p>
          <w:p w14:paraId="0870CE30" w14:textId="77777777" w:rsidR="004F70C9" w:rsidRDefault="004F70C9" w:rsidP="002D67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&lt;...&gt;</w:t>
            </w:r>
          </w:p>
          <w:p w14:paraId="61C57194" w14:textId="5F2AC990" w:rsidR="002D6700" w:rsidRPr="002D6700" w:rsidRDefault="002D6700" w:rsidP="002D6700">
            <w:pPr>
              <w:jc w:val="both"/>
              <w:rPr>
                <w:rFonts w:ascii="Times New Roman" w:eastAsia="Times New Roman" w:hAnsi="Times New Roman" w:cs="Times New Roman"/>
                <w:i/>
                <w:iCs/>
                <w:sz w:val="24"/>
                <w:szCs w:val="24"/>
              </w:rPr>
            </w:pPr>
            <w:r w:rsidRPr="002D6700">
              <w:rPr>
                <w:rFonts w:ascii="Times New Roman" w:eastAsia="Times New Roman" w:hAnsi="Times New Roman" w:cs="Times New Roman"/>
                <w:sz w:val="24"/>
                <w:szCs w:val="24"/>
              </w:rPr>
              <w:t>Valstybės kontrolės valstybinio audito ataskaitoje „Teismų sistema“</w:t>
            </w:r>
            <w:r w:rsidRPr="002D6700">
              <w:rPr>
                <w:rFonts w:ascii="Calibri" w:eastAsia="Calibri" w:hAnsi="Calibri" w:cs="Times New Roman"/>
                <w:vertAlign w:val="superscript"/>
              </w:rPr>
              <w:footnoteReference w:id="1"/>
            </w:r>
            <w:r w:rsidRPr="002D6700">
              <w:rPr>
                <w:rFonts w:ascii="Times New Roman" w:eastAsia="Times New Roman" w:hAnsi="Times New Roman" w:cs="Times New Roman"/>
                <w:sz w:val="24"/>
                <w:szCs w:val="24"/>
              </w:rPr>
              <w:t xml:space="preserve"> nurodyta, kad didinant teisminio proceso operatyvumą ir prieinamumą asmenims, dėl tam tikrų priežasčių negalintiems atvykti į teismą, svarbu užtikrinti, kad kiekviename teisme (teismo rūmuose) būtų sudarytos sąlygos panaudoti vaizdo konferencijų įrangą organizuojant teisminius procesus nuotoliniu būdu. Nesant pakankamai vaizdo konferencijos įrangos, teismas yra mažiau prieinamas neįgaliesiems asmenims, kitoms pažeidžiamoms grupėms, ilgėja teismų proceso trukmė, valstybės lėšos skiriamos asmenų konvojavimui. </w:t>
            </w:r>
            <w:bookmarkStart w:id="1" w:name="_heading=h.17dp8vu"/>
            <w:bookmarkEnd w:id="1"/>
            <w:r w:rsidRPr="002D6700">
              <w:rPr>
                <w:rFonts w:ascii="Times New Roman" w:eastAsia="Times New Roman" w:hAnsi="Times New Roman" w:cs="Times New Roman"/>
                <w:sz w:val="24"/>
                <w:szCs w:val="24"/>
              </w:rPr>
              <w:t xml:space="preserve">Taip pat, siekiant užtikrinti nepilnamečių teisių ir interesų apsaugą, reikalinga užtikrinti tinkamą ir kokybišką nepilnamečių apklausos įrangos diegimą teismuose, užtikrinant, kad būtų daromi tinkami ir saugūs jų apklausų įrašai. </w:t>
            </w:r>
            <w:r w:rsidRPr="002D6700">
              <w:rPr>
                <w:rFonts w:ascii="Times New Roman" w:eastAsia="Times New Roman" w:hAnsi="Times New Roman" w:cs="Times New Roman"/>
                <w:i/>
                <w:iCs/>
                <w:sz w:val="24"/>
                <w:szCs w:val="24"/>
              </w:rPr>
              <w:t>Tinkamas teismų aprūpinimas šiuolaikinėmis informacinėmis technologijomis taip pat svarbus, užtikrinant teismų praktikos viešą prieigą visuomenei ir galimybę stebėti viešus teismo posėdžius nuotoliniu būdu. B</w:t>
            </w:r>
            <w:r w:rsidRPr="002D6700">
              <w:rPr>
                <w:rFonts w:ascii="Times New Roman" w:eastAsia="Times New Roman" w:hAnsi="Times New Roman" w:cs="Times New Roman"/>
                <w:i/>
                <w:iCs/>
                <w:sz w:val="24"/>
                <w:szCs w:val="24"/>
                <w:lang w:eastAsia="zh-CN" w:bidi="hi-IN"/>
              </w:rPr>
              <w:t>e kita ko, sąlygų dalyvauti teismo posėdžiuose nuotoliniu būdu sudarymas, prisidėtų prie neįgaliųjų ar kitų asmenų, kuriems yra sudėtinga fiziškai dalyvauti teismo posėdžiuose, teisės į teisminę gynybą įgyvendinimo.</w:t>
            </w:r>
            <w:r w:rsidR="004F70C9">
              <w:rPr>
                <w:rFonts w:ascii="Times New Roman" w:eastAsia="Times New Roman" w:hAnsi="Times New Roman" w:cs="Times New Roman"/>
                <w:i/>
                <w:iCs/>
                <w:sz w:val="24"/>
                <w:szCs w:val="24"/>
                <w:lang w:eastAsia="zh-CN" w:bidi="hi-IN"/>
              </w:rPr>
              <w:t>“</w:t>
            </w:r>
          </w:p>
          <w:p w14:paraId="2A8AD665" w14:textId="124B46AD" w:rsidR="00053B33" w:rsidRPr="00053B33" w:rsidRDefault="00053B33" w:rsidP="00BB3BD6">
            <w:pPr>
              <w:jc w:val="both"/>
              <w:rPr>
                <w:rFonts w:ascii="Times New Roman" w:hAnsi="Times New Roman" w:cs="Times New Roman"/>
                <w:sz w:val="24"/>
                <w:szCs w:val="24"/>
              </w:rPr>
            </w:pPr>
          </w:p>
        </w:tc>
      </w:tr>
      <w:tr w:rsidR="005550B9" w14:paraId="694A8BAC" w14:textId="77777777" w:rsidTr="005550B9">
        <w:tc>
          <w:tcPr>
            <w:tcW w:w="601" w:type="dxa"/>
          </w:tcPr>
          <w:p w14:paraId="09455C93" w14:textId="35DAEB04"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563" w:type="dxa"/>
          </w:tcPr>
          <w:p w14:paraId="44FD28FA" w14:textId="54651C3D"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3F19D3CA" w14:textId="7EAD0FA5" w:rsidR="00696A9F" w:rsidRDefault="00363ADE" w:rsidP="00860139">
            <w:pPr>
              <w:jc w:val="both"/>
              <w:rPr>
                <w:rFonts w:ascii="Times New Roman" w:hAnsi="Times New Roman" w:cs="Times New Roman"/>
                <w:sz w:val="24"/>
                <w:szCs w:val="24"/>
              </w:rPr>
            </w:pPr>
            <w:r w:rsidRPr="00363ADE">
              <w:rPr>
                <w:rFonts w:ascii="Times New Roman" w:hAnsi="Times New Roman" w:cs="Times New Roman"/>
                <w:sz w:val="24"/>
                <w:szCs w:val="24"/>
              </w:rPr>
              <w:t>5.</w:t>
            </w:r>
            <w:r w:rsidRPr="00363ADE">
              <w:rPr>
                <w:rFonts w:ascii="Times New Roman" w:hAnsi="Times New Roman" w:cs="Times New Roman"/>
                <w:sz w:val="24"/>
                <w:szCs w:val="24"/>
              </w:rPr>
              <w:tab/>
              <w:t xml:space="preserve">Plėtros programos pagrindimo pirmos problemos priežastyje 1.5. „Nepakankamai išvystyta bei atnaujinama teismų infrastruktūra”, papunktyje 1.5.2. „Dalis teismų patalpų nepritaikytos teismų poreikiams ir teisingumo vykdymo proceso reikalavimams” būtina pažymėti, kad nepritaikytos patalpos ne tik proceso dalyviams (liudytojų salės, nepilnamečių apklausos kambariai ir pan.), bet taip pat ir teismų infrastruktūra neprieinama asmenims su negalia. </w:t>
            </w:r>
            <w:r w:rsidRPr="00363ADE">
              <w:rPr>
                <w:rFonts w:ascii="Times New Roman" w:hAnsi="Times New Roman" w:cs="Times New Roman"/>
                <w:sz w:val="24"/>
                <w:szCs w:val="24"/>
              </w:rPr>
              <w:lastRenderedPageBreak/>
              <w:t>Siūlytina tikslinti informaciją pasinaudojant Neįgaliųjų reikalų departamento prie Socialinės apsaugos ir darbo ministerijos atlikto tyrimo  rezultatais ir aprašyti esamą situaciją.</w:t>
            </w:r>
          </w:p>
        </w:tc>
        <w:tc>
          <w:tcPr>
            <w:tcW w:w="6237" w:type="dxa"/>
          </w:tcPr>
          <w:p w14:paraId="753FB161" w14:textId="488A5740" w:rsidR="00E002E4" w:rsidRDefault="00E002E4" w:rsidP="00E002E4">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Atsižvelgta</w:t>
            </w:r>
            <w:r w:rsidR="00EC0AB1">
              <w:rPr>
                <w:rFonts w:ascii="Times New Roman" w:hAnsi="Times New Roman" w:cs="Times New Roman"/>
                <w:sz w:val="24"/>
                <w:szCs w:val="24"/>
                <w:u w:val="single"/>
              </w:rPr>
              <w:t>.</w:t>
            </w:r>
          </w:p>
          <w:p w14:paraId="7E41FFCC" w14:textId="77777777" w:rsidR="00EC0AB1" w:rsidRPr="00EC0AB1" w:rsidRDefault="00EC0AB1" w:rsidP="00E002E4">
            <w:pPr>
              <w:jc w:val="both"/>
              <w:rPr>
                <w:rFonts w:ascii="Times New Roman" w:hAnsi="Times New Roman" w:cs="Times New Roman"/>
                <w:sz w:val="24"/>
                <w:szCs w:val="24"/>
                <w:u w:val="single"/>
              </w:rPr>
            </w:pPr>
          </w:p>
          <w:p w14:paraId="034BA030" w14:textId="2E35AF30" w:rsidR="00E002E4" w:rsidRPr="00EC0AB1" w:rsidRDefault="00E002E4" w:rsidP="00E002E4">
            <w:pPr>
              <w:jc w:val="both"/>
              <w:rPr>
                <w:rFonts w:ascii="Times New Roman" w:hAnsi="Times New Roman" w:cs="Times New Roman"/>
                <w:sz w:val="24"/>
                <w:szCs w:val="24"/>
              </w:rPr>
            </w:pPr>
            <w:r w:rsidRPr="00EC0AB1">
              <w:rPr>
                <w:rFonts w:ascii="Times New Roman" w:hAnsi="Times New Roman" w:cs="Times New Roman"/>
                <w:sz w:val="24"/>
                <w:szCs w:val="24"/>
              </w:rPr>
              <w:t>Pagrindimas papildytas</w:t>
            </w:r>
            <w:r w:rsidR="00BB3BD6" w:rsidRPr="00EC0AB1">
              <w:rPr>
                <w:rFonts w:ascii="Times New Roman" w:hAnsi="Times New Roman" w:cs="Times New Roman"/>
                <w:sz w:val="24"/>
                <w:szCs w:val="24"/>
              </w:rPr>
              <w:t>:</w:t>
            </w:r>
          </w:p>
          <w:p w14:paraId="3017B872" w14:textId="5E7788D0" w:rsidR="0029430E" w:rsidRPr="0029430E" w:rsidRDefault="0029430E" w:rsidP="0029430E">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29430E">
              <w:rPr>
                <w:rFonts w:ascii="Times New Roman" w:eastAsia="Times New Roman" w:hAnsi="Times New Roman" w:cs="Times New Roman"/>
                <w:b/>
                <w:bCs/>
                <w:sz w:val="24"/>
                <w:szCs w:val="24"/>
              </w:rPr>
              <w:t>1.5.2. Dalis teismų patalpų nepritaikytos teismų poreikiams ir teisingumo vykdymo proceso reikalavimams.</w:t>
            </w:r>
          </w:p>
          <w:p w14:paraId="190BBD5E" w14:textId="0BA756D3" w:rsidR="0029430E" w:rsidRPr="0029430E" w:rsidRDefault="0029430E" w:rsidP="002943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&lt;..&gt;</w:t>
            </w:r>
          </w:p>
          <w:p w14:paraId="726C6B5A" w14:textId="77777777" w:rsidR="0029430E" w:rsidRPr="0029430E" w:rsidRDefault="0029430E" w:rsidP="0029430E">
            <w:pPr>
              <w:jc w:val="both"/>
              <w:rPr>
                <w:rFonts w:ascii="Times New Roman" w:eastAsia="Times New Roman" w:hAnsi="Times New Roman" w:cs="Times New Roman"/>
                <w:sz w:val="24"/>
                <w:szCs w:val="24"/>
                <w:lang w:eastAsia="lt-LT"/>
              </w:rPr>
            </w:pPr>
            <w:r w:rsidRPr="0029430E">
              <w:rPr>
                <w:rFonts w:ascii="Times New Roman" w:eastAsia="Times New Roman" w:hAnsi="Times New Roman" w:cs="Times New Roman"/>
                <w:sz w:val="24"/>
                <w:szCs w:val="24"/>
              </w:rPr>
              <w:t xml:space="preserve">Dalis teismų pastatų problemų tiesiogiai susijusios su tinkamu teisingumo vykdymo užtikrinimu (pvz., patalpos liudytojams), </w:t>
            </w:r>
            <w:r w:rsidRPr="0029430E">
              <w:rPr>
                <w:rFonts w:ascii="Times New Roman" w:eastAsia="Times New Roman" w:hAnsi="Times New Roman" w:cs="Times New Roman"/>
                <w:sz w:val="24"/>
                <w:szCs w:val="24"/>
              </w:rPr>
              <w:lastRenderedPageBreak/>
              <w:t xml:space="preserve">kitos – tiesiogiai susijusios su teismo galimybe apskritai vykdyti veiklą ir užtikrinti žmonių saugumą (pvz., byrantys fasadai), trečios – susijusios su klientų pasitenkinimu suteiktomis paslaugomis ir atsiliepimu apie teismus (pvz., apleisti sanitariniai mazgai, dalyje teismų nėra pritaikytų neįgaliųjų poreikiams ir pan.). Kita dalis teismų pastatų savo plotu neatitinka minimalių veiklos poreikių, todėl reikalingos naujos arba papildomos patalpos. Pavyzdžiui, </w:t>
            </w:r>
            <w:r w:rsidRPr="0029430E">
              <w:rPr>
                <w:rFonts w:ascii="Times New Roman" w:eastAsia="Times New Roman" w:hAnsi="Times New Roman" w:cs="Times New Roman"/>
                <w:sz w:val="24"/>
                <w:szCs w:val="24"/>
                <w:lang w:eastAsia="lt-LT"/>
              </w:rPr>
              <w:t xml:space="preserve">Panevėžio apylinkės teismo  Panevėžio rūmuose kokybiškai veiklai trūksta apie 400 kv. m patalpų ploto. Panevėžio rūmuose šiuo metu yra tik 6 teismo posėdžių salės, nors, vadovaujantis </w:t>
            </w:r>
            <w:r w:rsidRPr="0029430E">
              <w:rPr>
                <w:rFonts w:ascii="Times New Roman" w:eastAsia="Times New Roman" w:hAnsi="Times New Roman" w:cs="Times New Roman"/>
                <w:sz w:val="24"/>
                <w:szCs w:val="24"/>
              </w:rPr>
              <w:t>Teisėjų tarybos patvirtintu Pavyzdiniu pagrindinių teismų pastatų ir patalpų projektavimo ir įrengimo reikalavimų aprašu</w:t>
            </w:r>
            <w:r w:rsidRPr="0029430E">
              <w:rPr>
                <w:rFonts w:ascii="Calibri" w:eastAsia="Calibri" w:hAnsi="Calibri" w:cs="Times New Roman"/>
                <w:vertAlign w:val="superscript"/>
              </w:rPr>
              <w:footnoteReference w:id="2"/>
            </w:r>
            <w:r w:rsidRPr="0029430E">
              <w:rPr>
                <w:rFonts w:ascii="Times New Roman" w:eastAsia="Times New Roman" w:hAnsi="Times New Roman" w:cs="Times New Roman"/>
                <w:sz w:val="24"/>
                <w:szCs w:val="24"/>
              </w:rPr>
              <w:t>,</w:t>
            </w:r>
            <w:r w:rsidRPr="0029430E">
              <w:rPr>
                <w:rFonts w:ascii="Times New Roman" w:eastAsia="Times New Roman" w:hAnsi="Times New Roman" w:cs="Times New Roman"/>
                <w:sz w:val="24"/>
                <w:szCs w:val="24"/>
                <w:lang w:eastAsia="lt-LT"/>
              </w:rPr>
              <w:t xml:space="preserve"> 23 teisėjų teismo rūmuose turėtų būti 12-13 teismo posėdžių salių. Dėl patalpų trūkumo teismas neturi galimybės įsirengti ir kitų teismui būtinų patalpų – mediacijos kambario bei nukentėjusiųjų ir liudytojų laukimo patalpų.</w:t>
            </w:r>
          </w:p>
          <w:p w14:paraId="04520C35" w14:textId="77777777" w:rsidR="00B25B1C" w:rsidRDefault="0029430E" w:rsidP="0029430E">
            <w:pPr>
              <w:jc w:val="both"/>
              <w:rPr>
                <w:rFonts w:ascii="Times New Roman" w:eastAsia="Times New Roman" w:hAnsi="Times New Roman" w:cs="Times New Roman"/>
                <w:i/>
                <w:iCs/>
                <w:sz w:val="24"/>
                <w:szCs w:val="24"/>
                <w:lang w:eastAsia="zh-CN" w:bidi="hi-IN"/>
              </w:rPr>
            </w:pPr>
            <w:r w:rsidRPr="0029430E">
              <w:rPr>
                <w:rFonts w:ascii="Times New Roman" w:eastAsia="Times New Roman" w:hAnsi="Times New Roman" w:cs="Times New Roman"/>
                <w:i/>
                <w:iCs/>
                <w:sz w:val="24"/>
                <w:szCs w:val="24"/>
                <w:lang w:eastAsia="lt-LT"/>
              </w:rPr>
              <w:t>Pažymėtina, kad dalis</w:t>
            </w:r>
            <w:r w:rsidRPr="0029430E">
              <w:rPr>
                <w:rFonts w:ascii="Times New Roman" w:eastAsia="Times New Roman" w:hAnsi="Times New Roman" w:cs="Times New Roman"/>
                <w:i/>
                <w:iCs/>
                <w:sz w:val="24"/>
                <w:szCs w:val="24"/>
                <w:lang w:eastAsia="zh-CN" w:bidi="hi-IN"/>
              </w:rPr>
              <w:t xml:space="preserve"> teismų infrastruktūros neprieinama ir asmenims su negalia. Rekomendacijas dėl teismų pastatų pritaikymo neįgaliesiems yra pateikusios ir nevyriausybinės organizacijos. Pavyzdžiui, tokių pasiūlymų yra pateikta 2018 m. Lietuvos žmonių su negalia aplinkos pritaikymo asociacijos atlikto tyrimo „Policijos komisariatų ir teismų aplinkos prieinamumo apklausos, įvertinant Jungtinių Tautų Neįgaliųjų teisių konvencijos nuostatų įgyvendinimo efektyvumą Lietuvoje“ ataskaitoje.</w:t>
            </w:r>
          </w:p>
          <w:p w14:paraId="445F6257" w14:textId="355528D9" w:rsidR="0029430E" w:rsidRPr="0029430E" w:rsidRDefault="00B25B1C" w:rsidP="0029430E">
            <w:pPr>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zh-CN" w:bidi="hi-IN"/>
              </w:rPr>
              <w:t>&lt;...&gt;</w:t>
            </w:r>
            <w:r w:rsidR="0029430E">
              <w:rPr>
                <w:rFonts w:ascii="Times New Roman" w:eastAsia="Times New Roman" w:hAnsi="Times New Roman" w:cs="Times New Roman"/>
                <w:i/>
                <w:iCs/>
                <w:sz w:val="24"/>
                <w:szCs w:val="24"/>
                <w:lang w:eastAsia="zh-CN" w:bidi="hi-IN"/>
              </w:rPr>
              <w:t>“</w:t>
            </w:r>
          </w:p>
          <w:p w14:paraId="5CDEC579" w14:textId="59BECD5E" w:rsidR="00F61F26" w:rsidRPr="0037578D" w:rsidRDefault="00F61F26" w:rsidP="00BB255C">
            <w:pPr>
              <w:jc w:val="both"/>
              <w:rPr>
                <w:rFonts w:ascii="Times New Roman" w:hAnsi="Times New Roman" w:cs="Times New Roman"/>
                <w:sz w:val="24"/>
                <w:szCs w:val="24"/>
              </w:rPr>
            </w:pPr>
          </w:p>
        </w:tc>
      </w:tr>
      <w:tr w:rsidR="005550B9" w14:paraId="33FD060D" w14:textId="77777777" w:rsidTr="005550B9">
        <w:tc>
          <w:tcPr>
            <w:tcW w:w="601" w:type="dxa"/>
          </w:tcPr>
          <w:p w14:paraId="6BDD21B8" w14:textId="5D65DDC4"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563" w:type="dxa"/>
          </w:tcPr>
          <w:p w14:paraId="1D6380B0" w14:textId="3DA01A7D"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 xml:space="preserve">Lietuvos Respublikos socialinės apsaugos ir </w:t>
            </w:r>
            <w:r w:rsidRPr="00432B26">
              <w:rPr>
                <w:rFonts w:ascii="Times New Roman" w:hAnsi="Times New Roman" w:cs="Times New Roman"/>
                <w:sz w:val="24"/>
                <w:szCs w:val="24"/>
              </w:rPr>
              <w:lastRenderedPageBreak/>
              <w:t>darbo ministerija</w:t>
            </w:r>
          </w:p>
        </w:tc>
        <w:tc>
          <w:tcPr>
            <w:tcW w:w="6053" w:type="dxa"/>
          </w:tcPr>
          <w:p w14:paraId="0D4CA8B2" w14:textId="3B343C55" w:rsidR="00696A9F" w:rsidRDefault="00571C11" w:rsidP="00860139">
            <w:pPr>
              <w:jc w:val="both"/>
              <w:rPr>
                <w:rFonts w:ascii="Times New Roman" w:hAnsi="Times New Roman" w:cs="Times New Roman"/>
                <w:sz w:val="24"/>
                <w:szCs w:val="24"/>
              </w:rPr>
            </w:pPr>
            <w:r w:rsidRPr="00571C11">
              <w:rPr>
                <w:rFonts w:ascii="Times New Roman" w:hAnsi="Times New Roman" w:cs="Times New Roman"/>
                <w:sz w:val="24"/>
                <w:szCs w:val="24"/>
              </w:rPr>
              <w:lastRenderedPageBreak/>
              <w:t>6.</w:t>
            </w:r>
            <w:r w:rsidRPr="00571C11">
              <w:rPr>
                <w:rFonts w:ascii="Times New Roman" w:hAnsi="Times New Roman" w:cs="Times New Roman"/>
                <w:sz w:val="24"/>
                <w:szCs w:val="24"/>
              </w:rPr>
              <w:tab/>
              <w:t xml:space="preserve">Plėtros programos pagrindimo trečios problemos priežastyje 3.1. „Nepakankamai kokybiška ir efektyvi teisinė pagalba”, papunktyje 3.1.1. „Nepakankamas paslaugų prieinamumas” vertėtų atkreipti dėmesį, jog nors </w:t>
            </w:r>
            <w:r w:rsidRPr="00571C11">
              <w:rPr>
                <w:rFonts w:ascii="Times New Roman" w:hAnsi="Times New Roman" w:cs="Times New Roman"/>
                <w:sz w:val="24"/>
                <w:szCs w:val="24"/>
              </w:rPr>
              <w:lastRenderedPageBreak/>
              <w:t>pirminė ir antrinė teisinė pagalba asmenims su negalia ir jų atstovams teikiama nemokamai, dažnai šie asmenys dėl sudėtingo šios pagalbos gavimo mechanizmo negeba ja pasinaudoti (dėl informacijos stokos apie šias paslaugas nežino kur kreiptis, kokius veiksmus turi atlikti ir pan., informacijos pateikimas dažnai nepritaikytas jiems suprantama kalba arba ją sunku rasti).</w:t>
            </w:r>
          </w:p>
        </w:tc>
        <w:tc>
          <w:tcPr>
            <w:tcW w:w="6237" w:type="dxa"/>
          </w:tcPr>
          <w:p w14:paraId="38BA5FE9" w14:textId="4CEA5987" w:rsidR="00FB708B" w:rsidRPr="00EC0AB1" w:rsidRDefault="007115A6" w:rsidP="00FB708B">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Atsižvelgta</w:t>
            </w:r>
            <w:r w:rsidR="00EC0AB1">
              <w:rPr>
                <w:rFonts w:ascii="Times New Roman" w:hAnsi="Times New Roman" w:cs="Times New Roman"/>
                <w:sz w:val="24"/>
                <w:szCs w:val="24"/>
                <w:u w:val="single"/>
              </w:rPr>
              <w:t>.</w:t>
            </w:r>
          </w:p>
          <w:p w14:paraId="168D6BC6" w14:textId="77777777" w:rsidR="00FB708B" w:rsidRPr="00EC0AB1" w:rsidRDefault="00FB708B" w:rsidP="00FB708B">
            <w:pPr>
              <w:jc w:val="both"/>
              <w:rPr>
                <w:rFonts w:ascii="Times New Roman" w:hAnsi="Times New Roman" w:cs="Times New Roman"/>
                <w:sz w:val="24"/>
                <w:szCs w:val="24"/>
                <w:u w:val="single"/>
              </w:rPr>
            </w:pPr>
          </w:p>
          <w:p w14:paraId="4B78968C" w14:textId="77777777" w:rsidR="00FB708B" w:rsidRPr="00EC0AB1" w:rsidRDefault="004B79C4" w:rsidP="00FB708B">
            <w:pPr>
              <w:jc w:val="both"/>
              <w:rPr>
                <w:rFonts w:ascii="Times New Roman" w:hAnsi="Times New Roman" w:cs="Times New Roman"/>
                <w:sz w:val="24"/>
                <w:szCs w:val="24"/>
              </w:rPr>
            </w:pPr>
            <w:r w:rsidRPr="00EC0AB1">
              <w:rPr>
                <w:rFonts w:ascii="Times New Roman" w:hAnsi="Times New Roman" w:cs="Times New Roman"/>
                <w:sz w:val="24"/>
                <w:szCs w:val="24"/>
              </w:rPr>
              <w:t>Papildytas pagrindimas:</w:t>
            </w:r>
          </w:p>
          <w:p w14:paraId="308557AC" w14:textId="1B4E6618" w:rsidR="004B79C4" w:rsidRPr="00EC0AB1" w:rsidRDefault="00530F3D" w:rsidP="004B79C4">
            <w:pPr>
              <w:jc w:val="both"/>
              <w:rPr>
                <w:rFonts w:ascii="Times New Roman" w:hAnsi="Times New Roman" w:cs="Times New Roman"/>
                <w:bCs/>
                <w:sz w:val="24"/>
                <w:szCs w:val="24"/>
              </w:rPr>
            </w:pPr>
            <w:r>
              <w:rPr>
                <w:rFonts w:ascii="Times New Roman" w:hAnsi="Times New Roman" w:cs="Times New Roman"/>
                <w:b/>
                <w:i/>
                <w:iCs/>
                <w:sz w:val="24"/>
                <w:szCs w:val="24"/>
              </w:rPr>
              <w:lastRenderedPageBreak/>
              <w:t>„</w:t>
            </w:r>
            <w:r w:rsidR="004B79C4" w:rsidRPr="00EC0AB1">
              <w:rPr>
                <w:rFonts w:ascii="Times New Roman" w:hAnsi="Times New Roman" w:cs="Times New Roman"/>
                <w:b/>
                <w:i/>
                <w:iCs/>
                <w:sz w:val="24"/>
                <w:szCs w:val="24"/>
              </w:rPr>
              <w:t>3.1.4.1.</w:t>
            </w:r>
            <w:r w:rsidR="004B79C4" w:rsidRPr="00EC0AB1">
              <w:rPr>
                <w:rFonts w:ascii="Times New Roman" w:hAnsi="Times New Roman" w:cs="Times New Roman"/>
                <w:bCs/>
                <w:i/>
                <w:iCs/>
                <w:sz w:val="24"/>
                <w:szCs w:val="24"/>
              </w:rPr>
              <w:t xml:space="preserve"> </w:t>
            </w:r>
            <w:r w:rsidR="004B79C4" w:rsidRPr="00EC0AB1">
              <w:rPr>
                <w:rFonts w:ascii="Times New Roman" w:hAnsi="Times New Roman" w:cs="Times New Roman"/>
                <w:b/>
                <w:i/>
                <w:iCs/>
                <w:sz w:val="24"/>
                <w:szCs w:val="24"/>
              </w:rPr>
              <w:t>Teisinio raštingumo ir socialinių įgūdžių trūkumas.</w:t>
            </w:r>
            <w:r w:rsidR="004B79C4" w:rsidRPr="00EC0AB1">
              <w:rPr>
                <w:rFonts w:ascii="Times New Roman" w:hAnsi="Times New Roman" w:cs="Times New Roman"/>
                <w:bCs/>
                <w:sz w:val="24"/>
                <w:szCs w:val="24"/>
              </w:rPr>
              <w:t xml:space="preserve"> Socialiai labiau pažeidžiami asmenys savarankiškai neranda informacijos, kur kreiptis kilusiais klausimais, </w:t>
            </w:r>
            <w:r w:rsidR="004B79C4" w:rsidRPr="00EC0AB1">
              <w:rPr>
                <w:rFonts w:ascii="Times New Roman" w:hAnsi="Times New Roman" w:cs="Times New Roman"/>
                <w:bCs/>
                <w:i/>
                <w:iCs/>
                <w:sz w:val="24"/>
                <w:szCs w:val="24"/>
              </w:rPr>
              <w:t>arba gautos informacijos pilnai nesupranta, kadangi ji pateikiama ne jiems suprantama kalba, o naudojant sudėtingesnę teisinę terminologiją,</w:t>
            </w:r>
            <w:r w:rsidR="004B79C4" w:rsidRPr="00EC0AB1">
              <w:rPr>
                <w:rFonts w:ascii="Times New Roman" w:hAnsi="Times New Roman" w:cs="Times New Roman"/>
                <w:bCs/>
                <w:sz w:val="24"/>
                <w:szCs w:val="24"/>
              </w:rPr>
              <w:t xml:space="preserve">  asmenys bando inicijuoti pakartotinius teisminius procesus jau išspręstuose ginčuose, tikėdamiesi kitokio rezultato. Dėl socialinių, psichologinių priežasčių delsia kreiptis pagalbos ir jų klausimas tampa teisine problema, reikalaujančia ikiteisminės ar (ir) teisminės gynybos priemonių. Pavyzdžiui, vėluoja apmokėti komunalinius mokesčius, nesikreipia dėl jų išdėstymo dalimis, nesikreipia dėl galimos pagalbos (kompensacijos) į savivaldybę  ir tampa atsakovais bylose dėl komunalinių mokesčių priteisimo.</w:t>
            </w:r>
            <w:r w:rsidR="00F20628">
              <w:rPr>
                <w:rFonts w:ascii="Times New Roman" w:hAnsi="Times New Roman" w:cs="Times New Roman"/>
                <w:bCs/>
                <w:sz w:val="24"/>
                <w:szCs w:val="24"/>
              </w:rPr>
              <w:t>“</w:t>
            </w:r>
            <w:r w:rsidR="004B79C4" w:rsidRPr="00EC0AB1">
              <w:rPr>
                <w:rFonts w:ascii="Times New Roman" w:hAnsi="Times New Roman" w:cs="Times New Roman"/>
                <w:bCs/>
                <w:sz w:val="24"/>
                <w:szCs w:val="24"/>
              </w:rPr>
              <w:t xml:space="preserve">  </w:t>
            </w:r>
          </w:p>
          <w:p w14:paraId="50F07673" w14:textId="7F1E60E8" w:rsidR="004B79C4" w:rsidRPr="00EC0AB1" w:rsidRDefault="004B79C4" w:rsidP="00FB708B">
            <w:pPr>
              <w:jc w:val="both"/>
              <w:rPr>
                <w:rFonts w:ascii="Times New Roman" w:hAnsi="Times New Roman" w:cs="Times New Roman"/>
                <w:sz w:val="24"/>
                <w:szCs w:val="24"/>
              </w:rPr>
            </w:pPr>
          </w:p>
        </w:tc>
      </w:tr>
      <w:tr w:rsidR="005550B9" w14:paraId="12C795DA" w14:textId="77777777" w:rsidTr="005550B9">
        <w:tc>
          <w:tcPr>
            <w:tcW w:w="601" w:type="dxa"/>
          </w:tcPr>
          <w:p w14:paraId="0719D144" w14:textId="0F1B2A8D"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563" w:type="dxa"/>
          </w:tcPr>
          <w:p w14:paraId="047DD8AD" w14:textId="5B6540BA"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2EB4D900" w14:textId="77777777" w:rsidR="00DD4CE7" w:rsidRPr="00DD4CE7" w:rsidRDefault="00DD4CE7" w:rsidP="00DD4CE7">
            <w:pPr>
              <w:jc w:val="both"/>
              <w:rPr>
                <w:rFonts w:ascii="Times New Roman" w:hAnsi="Times New Roman" w:cs="Times New Roman"/>
                <w:sz w:val="24"/>
                <w:szCs w:val="24"/>
              </w:rPr>
            </w:pPr>
            <w:r w:rsidRPr="00DD4CE7">
              <w:rPr>
                <w:rFonts w:ascii="Times New Roman" w:hAnsi="Times New Roman" w:cs="Times New Roman"/>
                <w:sz w:val="24"/>
                <w:szCs w:val="24"/>
              </w:rPr>
              <w:t>7.</w:t>
            </w:r>
            <w:r w:rsidRPr="00DD4CE7">
              <w:rPr>
                <w:rFonts w:ascii="Times New Roman" w:hAnsi="Times New Roman" w:cs="Times New Roman"/>
                <w:sz w:val="24"/>
                <w:szCs w:val="24"/>
              </w:rPr>
              <w:tab/>
              <w:t xml:space="preserve">Atkreiptinas dėmesys, kad Ministerijos rengiamoje Socialinės </w:t>
            </w:r>
            <w:proofErr w:type="spellStart"/>
            <w:r w:rsidRPr="00DD4CE7">
              <w:rPr>
                <w:rFonts w:ascii="Times New Roman" w:hAnsi="Times New Roman" w:cs="Times New Roman"/>
                <w:sz w:val="24"/>
                <w:szCs w:val="24"/>
              </w:rPr>
              <w:t>sutelkties</w:t>
            </w:r>
            <w:proofErr w:type="spellEnd"/>
            <w:r w:rsidRPr="00DD4CE7">
              <w:rPr>
                <w:rFonts w:ascii="Times New Roman" w:hAnsi="Times New Roman" w:cs="Times New Roman"/>
                <w:sz w:val="24"/>
                <w:szCs w:val="24"/>
              </w:rPr>
              <w:t xml:space="preserve"> (solidarumo) plėtros programoje numatyta problemos priežastis „4.5.1.2. Neatliekamas išankstinis teisės aktų poveikio vertinimas skirtingoms socialinėms grupėms“, todėl siūlytina Teisingumo sistemos plėtros programos priežasties „2.2.1. Poveikio vertinimas dažnai atliekamas tik formaliai ir nesuteikia išsamios informacijos apie svarstytas alternatyvas, priežastis, nulėmusias konkrečios alternatyvos pasirinkimą ir siūlomo reguliavimo būsimą poveikį“ aprašymą papildyti šia problematika:</w:t>
            </w:r>
          </w:p>
          <w:p w14:paraId="6AEE1673" w14:textId="6AF59A15" w:rsidR="00696A9F" w:rsidRDefault="00DD4CE7" w:rsidP="00DD4CE7">
            <w:pPr>
              <w:jc w:val="both"/>
              <w:rPr>
                <w:rFonts w:ascii="Times New Roman" w:hAnsi="Times New Roman" w:cs="Times New Roman"/>
                <w:sz w:val="24"/>
                <w:szCs w:val="24"/>
              </w:rPr>
            </w:pPr>
            <w:r w:rsidRPr="00DD4CE7">
              <w:rPr>
                <w:rFonts w:ascii="Times New Roman" w:hAnsi="Times New Roman" w:cs="Times New Roman"/>
                <w:sz w:val="24"/>
                <w:szCs w:val="24"/>
              </w:rPr>
              <w:t>„Priimant teisės aktus nėra atliekamas išankstinis vertinimas, siekiant įvertinti kaip teisės akto priėmimas paveiks skirtingas visuomenės grupes, ypač koks bus poveikis pažeidžiamoms visuomenės grupėms. Dėl to pasitaiko atveju, kad priimtas teisės aktas negali pasiekti savo tikslų arba turi neigiamą poveikį atskiroms visuomenės grupėms.“</w:t>
            </w:r>
          </w:p>
        </w:tc>
        <w:tc>
          <w:tcPr>
            <w:tcW w:w="6237" w:type="dxa"/>
          </w:tcPr>
          <w:p w14:paraId="0BB2D63D" w14:textId="59335127" w:rsidR="00DB18AF" w:rsidRPr="00EC0AB1" w:rsidRDefault="00DB18AF" w:rsidP="00DB18AF">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Atsižvelgta</w:t>
            </w:r>
            <w:r w:rsidR="00EC0AB1" w:rsidRPr="00EC0AB1">
              <w:rPr>
                <w:rFonts w:ascii="Times New Roman" w:hAnsi="Times New Roman" w:cs="Times New Roman"/>
                <w:sz w:val="24"/>
                <w:szCs w:val="24"/>
                <w:u w:val="single"/>
              </w:rPr>
              <w:t>.</w:t>
            </w:r>
          </w:p>
          <w:p w14:paraId="0FC2B2C6" w14:textId="77777777" w:rsidR="00DB18AF" w:rsidRPr="00EC0AB1" w:rsidRDefault="00DB18AF" w:rsidP="00DB18AF">
            <w:pPr>
              <w:jc w:val="both"/>
              <w:rPr>
                <w:rFonts w:ascii="Times New Roman" w:hAnsi="Times New Roman" w:cs="Times New Roman"/>
                <w:sz w:val="24"/>
                <w:szCs w:val="24"/>
                <w:u w:val="single"/>
              </w:rPr>
            </w:pPr>
          </w:p>
          <w:p w14:paraId="643CE2B7" w14:textId="77777777" w:rsidR="00DB18AF" w:rsidRPr="00EC0AB1" w:rsidRDefault="00DB18AF" w:rsidP="00DB18AF">
            <w:pPr>
              <w:jc w:val="both"/>
              <w:rPr>
                <w:rFonts w:ascii="Times New Roman" w:hAnsi="Times New Roman" w:cs="Times New Roman"/>
                <w:sz w:val="24"/>
                <w:szCs w:val="24"/>
              </w:rPr>
            </w:pPr>
            <w:r w:rsidRPr="00EC0AB1">
              <w:rPr>
                <w:rFonts w:ascii="Times New Roman" w:hAnsi="Times New Roman" w:cs="Times New Roman"/>
                <w:sz w:val="24"/>
                <w:szCs w:val="24"/>
              </w:rPr>
              <w:t>Pagrindimas papildytas:</w:t>
            </w:r>
          </w:p>
          <w:p w14:paraId="4173343D" w14:textId="43CE2CB4" w:rsidR="00DB18AF" w:rsidRPr="00EC0AB1" w:rsidRDefault="00530F3D" w:rsidP="00DB18AF">
            <w:pPr>
              <w:jc w:val="both"/>
              <w:rPr>
                <w:rFonts w:ascii="Times New Roman" w:hAnsi="Times New Roman" w:cs="Times New Roman"/>
                <w:b/>
                <w:sz w:val="24"/>
                <w:szCs w:val="24"/>
              </w:rPr>
            </w:pPr>
            <w:r>
              <w:rPr>
                <w:rFonts w:ascii="Times New Roman" w:hAnsi="Times New Roman" w:cs="Times New Roman"/>
                <w:b/>
                <w:sz w:val="24"/>
                <w:szCs w:val="24"/>
              </w:rPr>
              <w:t>„</w:t>
            </w:r>
            <w:r w:rsidR="00DB18AF" w:rsidRPr="00EC0AB1">
              <w:rPr>
                <w:rFonts w:ascii="Times New Roman" w:hAnsi="Times New Roman" w:cs="Times New Roman"/>
                <w:b/>
                <w:sz w:val="24"/>
                <w:szCs w:val="24"/>
              </w:rPr>
              <w:t>2.2.1. Poveikio vertinimas dažnai atliekamas tik formaliai ir nesuteikia išsamios informacijos apie svarstytas alternatyvas, priežastis, nulėmusias konkrečios alternatyvos pasirinkimą ir siūlomo reguliavimo būsimą poveikį</w:t>
            </w:r>
          </w:p>
          <w:p w14:paraId="7BA7D75B" w14:textId="77777777" w:rsidR="00DB18AF" w:rsidRPr="00EC0AB1" w:rsidRDefault="00DB18AF" w:rsidP="00DB18AF">
            <w:pPr>
              <w:jc w:val="both"/>
              <w:rPr>
                <w:rFonts w:ascii="Times New Roman" w:hAnsi="Times New Roman" w:cs="Times New Roman"/>
                <w:bCs/>
                <w:sz w:val="24"/>
                <w:szCs w:val="24"/>
              </w:rPr>
            </w:pPr>
            <w:r w:rsidRPr="00EC0AB1">
              <w:rPr>
                <w:rFonts w:ascii="Times New Roman" w:hAnsi="Times New Roman" w:cs="Times New Roman"/>
                <w:bCs/>
                <w:sz w:val="24"/>
                <w:szCs w:val="24"/>
              </w:rPr>
              <w:t xml:space="preserve">Vienas svarbiausių įrankių, ypač sprendžiant dėl naujo teisinio reguliavimo krypties, – numatomo teisinio reguliavimo poveikio vertinimas. Iš esmės tik atliekant numatomo teisinio reguliavimo vertinimą ir įvertinus galimą poveikį ir pasekmes, galimas pagrįstų ir racionalių atsakingo valdymo principus atitinkančių sprendimų priėmimas ir priešingai – dėl tokio vertinimo neatlikimo ar netinkamo atlikimo gali būti kvestionuojamas priimtų sprendimų pagrįstumas, proporcingumas ir paties teisėkūros proceso teisėtumas. Nors Teisėkūros pagrindų įstatymo nustatytais atvejais numatomą poveikį vertinti yra privalu, visgi galima konstatuoti, kad kol </w:t>
            </w:r>
            <w:r w:rsidRPr="00EC0AB1">
              <w:rPr>
                <w:rFonts w:ascii="Times New Roman" w:hAnsi="Times New Roman" w:cs="Times New Roman"/>
                <w:bCs/>
                <w:sz w:val="24"/>
                <w:szCs w:val="24"/>
              </w:rPr>
              <w:lastRenderedPageBreak/>
              <w:t xml:space="preserve">kas veiksmingos numatomo teisinio reguliavimo poveikio vertinimo sistemos nėra. Ministerijų darbuotojams, rengiantiems teisės aktų projektus, trūksta analitinių gebėjimų, mokymų ir žinių poveikio vertinimo srityje, specialiai šiam tikslui žmogiškieji resursai nėra skiriami, dažnu atveju nesuteikiama laiko ar galimybių panagrinėti galimas teisinio reguliavimo alternatyvas, visa tai lemia formalų požiūrį į pareigą atlikti numatomo teisinio reguliavimo poveikio vertinimą ir atitinkamą rezultatą. Stokojant išankstinio poveikio vertinimo ir geriausios alternatyvos paieškos bei pagrindimo, neretai tik priėmus įstatymą išryškėja teisės aktų spragos ir teisinio reguliavimo neigiamos pasekmės. </w:t>
            </w:r>
          </w:p>
          <w:p w14:paraId="70FDBE09" w14:textId="75918E28" w:rsidR="00DB18AF" w:rsidRPr="00EC0AB1" w:rsidRDefault="00DB18AF" w:rsidP="00DB18AF">
            <w:pPr>
              <w:jc w:val="both"/>
              <w:rPr>
                <w:rFonts w:ascii="Times New Roman" w:hAnsi="Times New Roman" w:cs="Times New Roman"/>
                <w:bCs/>
                <w:i/>
                <w:iCs/>
                <w:sz w:val="24"/>
                <w:szCs w:val="24"/>
              </w:rPr>
            </w:pPr>
            <w:r w:rsidRPr="00EC0AB1">
              <w:rPr>
                <w:rFonts w:ascii="Times New Roman" w:hAnsi="Times New Roman" w:cs="Times New Roman"/>
                <w:bCs/>
                <w:i/>
                <w:iCs/>
                <w:sz w:val="24"/>
                <w:szCs w:val="24"/>
              </w:rPr>
              <w:t>Taip pat priimant teisės aktus nėra atliekamas išankstinis vertinimas, siekiant įvertinti kaip teisės akto priėmimas paveiks skirtingas visuomenės grupes, ypač koks bus poveikis pažeidžiamoms visuomenės grupėms. Dėl to pasitaiko atvejų, kad priimtas teisės aktas negali pasiekti savo tikslų arba turi neigiamą poveikį atskiroms visuomenės grupėms.</w:t>
            </w:r>
            <w:r w:rsidR="00530F3D">
              <w:rPr>
                <w:rFonts w:ascii="Times New Roman" w:hAnsi="Times New Roman" w:cs="Times New Roman"/>
                <w:bCs/>
                <w:i/>
                <w:iCs/>
                <w:sz w:val="24"/>
                <w:szCs w:val="24"/>
              </w:rPr>
              <w:t>“</w:t>
            </w:r>
          </w:p>
          <w:p w14:paraId="4AE01D0F" w14:textId="78FEDBA3" w:rsidR="00DB18AF" w:rsidRPr="00EC0AB1" w:rsidRDefault="00DB18AF" w:rsidP="00DB18AF">
            <w:pPr>
              <w:jc w:val="both"/>
              <w:rPr>
                <w:rFonts w:ascii="Times New Roman" w:hAnsi="Times New Roman" w:cs="Times New Roman"/>
                <w:sz w:val="24"/>
                <w:szCs w:val="24"/>
              </w:rPr>
            </w:pPr>
          </w:p>
        </w:tc>
      </w:tr>
      <w:tr w:rsidR="005550B9" w14:paraId="015DE8CA" w14:textId="77777777" w:rsidTr="005550B9">
        <w:tc>
          <w:tcPr>
            <w:tcW w:w="601" w:type="dxa"/>
          </w:tcPr>
          <w:p w14:paraId="0DCC9807" w14:textId="13A59588"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563" w:type="dxa"/>
          </w:tcPr>
          <w:p w14:paraId="7CF0F11F" w14:textId="4ECC89C5"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425F3563" w14:textId="62096A69" w:rsidR="00696A9F" w:rsidRDefault="00357CDF" w:rsidP="00860139">
            <w:pPr>
              <w:jc w:val="both"/>
              <w:rPr>
                <w:rFonts w:ascii="Times New Roman" w:hAnsi="Times New Roman" w:cs="Times New Roman"/>
                <w:sz w:val="24"/>
                <w:szCs w:val="24"/>
              </w:rPr>
            </w:pPr>
            <w:r w:rsidRPr="00357CDF">
              <w:rPr>
                <w:rFonts w:ascii="Times New Roman" w:hAnsi="Times New Roman" w:cs="Times New Roman"/>
                <w:sz w:val="24"/>
                <w:szCs w:val="24"/>
              </w:rPr>
              <w:t>8.</w:t>
            </w:r>
            <w:r w:rsidRPr="00357CDF">
              <w:rPr>
                <w:rFonts w:ascii="Times New Roman" w:hAnsi="Times New Roman" w:cs="Times New Roman"/>
                <w:sz w:val="24"/>
                <w:szCs w:val="24"/>
              </w:rPr>
              <w:tab/>
              <w:t>Atkreiptinas dėmesys, kad tiek duomenų valdytojų nepakankamai atsakingai vykdomą asmens duomenų tvarkymą, tiek duomenų subjektų žinių apie savo teises ir jų gynimo būdus trūkumą lemia kita priežastis - nepakankamos asmens duomenų apsaugos žinios. Dėl šios priežasties siūlytina svarstyti papildyti programą vienu papunkčiu: „3.2.3.4. asmens duomenų apsaugos žinių stoka.” Jeigu tokiam siūlymui būtų pritarta, atitinkamai reiktų papildyti ir pagrindimą bei priežasčių medį.</w:t>
            </w:r>
          </w:p>
        </w:tc>
        <w:tc>
          <w:tcPr>
            <w:tcW w:w="6237" w:type="dxa"/>
          </w:tcPr>
          <w:p w14:paraId="7DBC6B75" w14:textId="583DE2D1" w:rsidR="00E36B09" w:rsidRPr="00EC0AB1" w:rsidRDefault="00E36B09" w:rsidP="00E36B09">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Neatsižvelgta</w:t>
            </w:r>
            <w:r w:rsidR="00EC0AB1">
              <w:rPr>
                <w:rFonts w:ascii="Times New Roman" w:hAnsi="Times New Roman" w:cs="Times New Roman"/>
                <w:sz w:val="24"/>
                <w:szCs w:val="24"/>
                <w:u w:val="single"/>
              </w:rPr>
              <w:t>.</w:t>
            </w:r>
          </w:p>
          <w:p w14:paraId="70B4DA2A" w14:textId="77777777" w:rsidR="00F7480D" w:rsidRDefault="00F7480D" w:rsidP="007F4A2F">
            <w:pPr>
              <w:jc w:val="both"/>
              <w:rPr>
                <w:rFonts w:ascii="Times New Roman" w:hAnsi="Times New Roman" w:cs="Times New Roman"/>
                <w:sz w:val="24"/>
                <w:szCs w:val="24"/>
              </w:rPr>
            </w:pPr>
          </w:p>
          <w:p w14:paraId="18754ACA" w14:textId="164503F0" w:rsidR="007F4A2F" w:rsidRPr="007F4A2F" w:rsidRDefault="00067339" w:rsidP="007F4A2F">
            <w:pPr>
              <w:jc w:val="both"/>
              <w:rPr>
                <w:rFonts w:ascii="Times New Roman" w:hAnsi="Times New Roman" w:cs="Times New Roman"/>
                <w:b/>
                <w:iCs/>
                <w:sz w:val="24"/>
                <w:szCs w:val="24"/>
              </w:rPr>
            </w:pPr>
            <w:r>
              <w:rPr>
                <w:rFonts w:ascii="Times New Roman" w:hAnsi="Times New Roman" w:cs="Times New Roman"/>
                <w:sz w:val="24"/>
                <w:szCs w:val="24"/>
              </w:rPr>
              <w:t xml:space="preserve">Pastebėtina, kad Plėtros programoje jau yra išskirta atskira </w:t>
            </w:r>
            <w:r w:rsidR="00D5473B">
              <w:rPr>
                <w:rFonts w:ascii="Times New Roman" w:hAnsi="Times New Roman" w:cs="Times New Roman"/>
                <w:sz w:val="24"/>
                <w:szCs w:val="24"/>
              </w:rPr>
              <w:t>priežastis, susijusi su žinių trūkumu:</w:t>
            </w:r>
            <w:r w:rsidR="007F4A2F">
              <w:rPr>
                <w:rFonts w:ascii="Times New Roman" w:hAnsi="Times New Roman" w:cs="Times New Roman"/>
                <w:sz w:val="24"/>
                <w:szCs w:val="24"/>
              </w:rPr>
              <w:t xml:space="preserve"> </w:t>
            </w:r>
            <w:r w:rsidR="007F4A2F" w:rsidRPr="007F4A2F">
              <w:rPr>
                <w:rFonts w:ascii="Times New Roman" w:hAnsi="Times New Roman" w:cs="Times New Roman"/>
                <w:b/>
                <w:iCs/>
                <w:sz w:val="24"/>
                <w:szCs w:val="24"/>
              </w:rPr>
              <w:t>3.2.2. Asmenys nepakankamai žino apie savo teises ir jų gynimo būdus.</w:t>
            </w:r>
          </w:p>
          <w:p w14:paraId="1891C327" w14:textId="77777777" w:rsidR="00E36B09" w:rsidRDefault="00E36B09" w:rsidP="00E36B09">
            <w:pPr>
              <w:jc w:val="both"/>
              <w:rPr>
                <w:rFonts w:ascii="Times New Roman" w:hAnsi="Times New Roman" w:cs="Times New Roman"/>
                <w:sz w:val="24"/>
                <w:szCs w:val="24"/>
              </w:rPr>
            </w:pPr>
          </w:p>
          <w:p w14:paraId="598FEC02" w14:textId="03CFB60D" w:rsidR="007F4A2F" w:rsidRPr="00E36B09" w:rsidRDefault="00F60690" w:rsidP="00E36B09">
            <w:pPr>
              <w:jc w:val="both"/>
              <w:rPr>
                <w:rFonts w:ascii="Times New Roman" w:hAnsi="Times New Roman" w:cs="Times New Roman"/>
                <w:sz w:val="24"/>
                <w:szCs w:val="24"/>
              </w:rPr>
            </w:pPr>
            <w:r w:rsidRPr="00F60690">
              <w:rPr>
                <w:rFonts w:ascii="Times New Roman" w:hAnsi="Times New Roman" w:cs="Times New Roman"/>
                <w:sz w:val="24"/>
                <w:szCs w:val="24"/>
              </w:rPr>
              <w:t xml:space="preserve">Kalbant apie duomenų valdytojų nepakankamai atsakingai vykdomą asmens duomenų tvarkymą, viena iš tokio tvarkymo priežasčių yra asmens duomenų apsaugos žinių stoka. Tačiau tai nėra vienintelė priežastis - duomenų valdytojai galimai neįvertina pasekmių, kurios gali kilti netinkamai tvarkant asmens duomenis, taip pat neskiria/neturi reikiamų resursų įgyvendinti tinkamas asmens duomenų apsaugos priemones. TSPP 3.2.2 </w:t>
            </w:r>
            <w:r w:rsidR="00EF05DD">
              <w:rPr>
                <w:rFonts w:ascii="Times New Roman" w:hAnsi="Times New Roman" w:cs="Times New Roman"/>
                <w:sz w:val="24"/>
                <w:szCs w:val="24"/>
              </w:rPr>
              <w:t>priežastis</w:t>
            </w:r>
            <w:r w:rsidR="00EF05DD" w:rsidRPr="00F60690">
              <w:rPr>
                <w:rFonts w:ascii="Times New Roman" w:hAnsi="Times New Roman" w:cs="Times New Roman"/>
                <w:sz w:val="24"/>
                <w:szCs w:val="24"/>
              </w:rPr>
              <w:t xml:space="preserve"> </w:t>
            </w:r>
            <w:r w:rsidRPr="00F60690">
              <w:rPr>
                <w:rFonts w:ascii="Times New Roman" w:hAnsi="Times New Roman" w:cs="Times New Roman"/>
                <w:sz w:val="24"/>
                <w:szCs w:val="24"/>
              </w:rPr>
              <w:t xml:space="preserve">kaip tik nurodo, kad asmenys nepakankamai žino apie savo teises ir jų gynimo būdus - taip </w:t>
            </w:r>
            <w:r w:rsidRPr="00F60690">
              <w:rPr>
                <w:rFonts w:ascii="Times New Roman" w:hAnsi="Times New Roman" w:cs="Times New Roman"/>
                <w:sz w:val="24"/>
                <w:szCs w:val="24"/>
              </w:rPr>
              <w:lastRenderedPageBreak/>
              <w:t>yra įvardintas vienas iš Asmens duomenų ir privatumo apsaugos užtikrinimo trūkumų. Taigi pritariam</w:t>
            </w:r>
            <w:r w:rsidR="00EF05DD">
              <w:rPr>
                <w:rFonts w:ascii="Times New Roman" w:hAnsi="Times New Roman" w:cs="Times New Roman"/>
                <w:sz w:val="24"/>
                <w:szCs w:val="24"/>
              </w:rPr>
              <w:t>e</w:t>
            </w:r>
            <w:r w:rsidRPr="00F60690">
              <w:rPr>
                <w:rFonts w:ascii="Times New Roman" w:hAnsi="Times New Roman" w:cs="Times New Roman"/>
                <w:sz w:val="24"/>
                <w:szCs w:val="24"/>
              </w:rPr>
              <w:t>, kad asmens duomenų apsaugos žinių stoka yra svarbus elementas, kalbant apie tinkamą asmens duomenų apsaugą, tačiau nemanome, kad išskyrimas atskiru punktu būtų pagrįstas.</w:t>
            </w:r>
          </w:p>
        </w:tc>
      </w:tr>
      <w:tr w:rsidR="005550B9" w14:paraId="1ADEB21A" w14:textId="77777777" w:rsidTr="005550B9">
        <w:tc>
          <w:tcPr>
            <w:tcW w:w="601" w:type="dxa"/>
          </w:tcPr>
          <w:p w14:paraId="7B98D0A0" w14:textId="077CE3D4"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563" w:type="dxa"/>
          </w:tcPr>
          <w:p w14:paraId="3088914C" w14:textId="0658F466"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023ADE2A" w14:textId="26AED4DE" w:rsidR="00696A9F" w:rsidRDefault="00D0255E" w:rsidP="00860139">
            <w:pPr>
              <w:jc w:val="both"/>
              <w:rPr>
                <w:rFonts w:ascii="Times New Roman" w:hAnsi="Times New Roman" w:cs="Times New Roman"/>
                <w:sz w:val="24"/>
                <w:szCs w:val="24"/>
              </w:rPr>
            </w:pPr>
            <w:r w:rsidRPr="00D0255E">
              <w:rPr>
                <w:rFonts w:ascii="Times New Roman" w:hAnsi="Times New Roman" w:cs="Times New Roman"/>
                <w:sz w:val="24"/>
                <w:szCs w:val="24"/>
              </w:rPr>
              <w:t>9.</w:t>
            </w:r>
            <w:r w:rsidRPr="00D0255E">
              <w:rPr>
                <w:rFonts w:ascii="Times New Roman" w:hAnsi="Times New Roman" w:cs="Times New Roman"/>
                <w:sz w:val="24"/>
                <w:szCs w:val="24"/>
              </w:rPr>
              <w:tab/>
              <w:t>Teigiamai vertinamas priežasties „5.3. Nepakankamai efektyvus mokymų prokurorams procesas“ išskyrimas, tačiau aprašymas turėtų būti pildomas žmogaus teisių, neapykantos nusikaltimų bei neapykantos kalbos problematika. Analogiška problematika plėtros programoje turėtų būti aprašyta ir dėl kitų teisės profesijų kompetencijų. Tai atitinka Jungtinių Tautų Rasinės diskriminacijos panaikinimo komiteto, Ekonominių, kultūrinių ir socialinių teisių komiteto, Moterų diskriminacijos panaikinimo komiteto, Neįgaliųjų teisių komiteto, Žmogaus teisių komiteto rekomendacijas, Europos Sąjungos LGBTIQ lygybės strategiją 2020-2025 m., 2020–2025 m. kovos su rasizmu veiksmų planą.</w:t>
            </w:r>
          </w:p>
        </w:tc>
        <w:tc>
          <w:tcPr>
            <w:tcW w:w="6237" w:type="dxa"/>
          </w:tcPr>
          <w:p w14:paraId="482956D3" w14:textId="2CF01F06" w:rsidR="00696A9F" w:rsidRPr="00EC0AB1" w:rsidRDefault="00090C63" w:rsidP="00090C63">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Neatsižvelgta.</w:t>
            </w:r>
          </w:p>
          <w:p w14:paraId="69C5000F" w14:textId="77777777" w:rsidR="003A3FCB" w:rsidRPr="00EC0AB1" w:rsidRDefault="003A3FCB" w:rsidP="00DE7AA9">
            <w:pPr>
              <w:jc w:val="center"/>
              <w:rPr>
                <w:rFonts w:ascii="Times New Roman" w:hAnsi="Times New Roman" w:cs="Times New Roman"/>
                <w:sz w:val="24"/>
                <w:szCs w:val="24"/>
              </w:rPr>
            </w:pPr>
          </w:p>
          <w:p w14:paraId="3DCB540A" w14:textId="5287CEB0" w:rsidR="00F7480D" w:rsidRPr="00EC0AB1" w:rsidRDefault="00F67B0D" w:rsidP="003A3FCB">
            <w:pPr>
              <w:jc w:val="both"/>
              <w:rPr>
                <w:rFonts w:ascii="Times New Roman" w:hAnsi="Times New Roman" w:cs="Times New Roman"/>
                <w:sz w:val="24"/>
                <w:szCs w:val="24"/>
              </w:rPr>
            </w:pPr>
            <w:r w:rsidRPr="00EC0AB1">
              <w:rPr>
                <w:rFonts w:ascii="Times New Roman" w:hAnsi="Times New Roman" w:cs="Times New Roman"/>
                <w:sz w:val="24"/>
                <w:szCs w:val="24"/>
              </w:rPr>
              <w:t xml:space="preserve">5.3. </w:t>
            </w:r>
            <w:r w:rsidR="00315B86" w:rsidRPr="00EC0AB1">
              <w:rPr>
                <w:rFonts w:ascii="Times New Roman" w:hAnsi="Times New Roman" w:cs="Times New Roman"/>
                <w:sz w:val="24"/>
                <w:szCs w:val="24"/>
              </w:rPr>
              <w:t xml:space="preserve">Priežastis </w:t>
            </w:r>
            <w:r w:rsidR="00EF05DD" w:rsidRPr="00EC0AB1">
              <w:rPr>
                <w:rFonts w:ascii="Times New Roman" w:hAnsi="Times New Roman" w:cs="Times New Roman"/>
                <w:sz w:val="24"/>
                <w:szCs w:val="24"/>
              </w:rPr>
              <w:t xml:space="preserve">suformuluota </w:t>
            </w:r>
            <w:r w:rsidR="00315B86" w:rsidRPr="00EC0AB1">
              <w:rPr>
                <w:rFonts w:ascii="Times New Roman" w:hAnsi="Times New Roman" w:cs="Times New Roman"/>
                <w:sz w:val="24"/>
                <w:szCs w:val="24"/>
              </w:rPr>
              <w:t>dėl</w:t>
            </w:r>
            <w:r w:rsidRPr="00EC0AB1">
              <w:rPr>
                <w:rFonts w:ascii="Times New Roman" w:hAnsi="Times New Roman" w:cs="Times New Roman"/>
                <w:sz w:val="24"/>
                <w:szCs w:val="24"/>
              </w:rPr>
              <w:t xml:space="preserve"> didžiausią problematiką keliančių mokymų, t. y.,</w:t>
            </w:r>
            <w:r w:rsidR="00315B86" w:rsidRPr="00EC0AB1">
              <w:rPr>
                <w:rFonts w:ascii="Times New Roman" w:hAnsi="Times New Roman" w:cs="Times New Roman"/>
                <w:sz w:val="24"/>
                <w:szCs w:val="24"/>
              </w:rPr>
              <w:t xml:space="preserve"> </w:t>
            </w:r>
            <w:r w:rsidR="000002C2" w:rsidRPr="00EC0AB1">
              <w:rPr>
                <w:rFonts w:ascii="Times New Roman" w:hAnsi="Times New Roman" w:cs="Times New Roman"/>
                <w:sz w:val="24"/>
                <w:szCs w:val="24"/>
              </w:rPr>
              <w:t>mokymų</w:t>
            </w:r>
            <w:r w:rsidR="00315B86" w:rsidRPr="00EC0AB1">
              <w:rPr>
                <w:rFonts w:ascii="Times New Roman" w:hAnsi="Times New Roman" w:cs="Times New Roman"/>
                <w:sz w:val="24"/>
                <w:szCs w:val="24"/>
              </w:rPr>
              <w:t xml:space="preserve"> </w:t>
            </w:r>
            <w:r w:rsidR="00315B86" w:rsidRPr="00EC0AB1">
              <w:rPr>
                <w:rFonts w:ascii="Times New Roman" w:hAnsi="Times New Roman" w:cs="Times New Roman"/>
                <w:sz w:val="24"/>
                <w:szCs w:val="24"/>
                <w:u w:val="single"/>
              </w:rPr>
              <w:t>specializuotiems prokurorams dirbantiems su prioritetinėmis bylomis</w:t>
            </w:r>
            <w:r w:rsidR="00315B86" w:rsidRPr="00EC0AB1">
              <w:rPr>
                <w:rFonts w:ascii="Times New Roman" w:hAnsi="Times New Roman" w:cs="Times New Roman"/>
                <w:sz w:val="24"/>
                <w:szCs w:val="24"/>
              </w:rPr>
              <w:t xml:space="preserve"> (ekonominiais – finansiniais nusikaltimais, nusikaltimais elektroninėje erdvėje, nepilnamečių justicija</w:t>
            </w:r>
            <w:r w:rsidR="000002C2" w:rsidRPr="00EC0AB1">
              <w:rPr>
                <w:rFonts w:ascii="Times New Roman" w:hAnsi="Times New Roman" w:cs="Times New Roman"/>
                <w:sz w:val="24"/>
                <w:szCs w:val="24"/>
              </w:rPr>
              <w:t xml:space="preserve">). </w:t>
            </w:r>
          </w:p>
          <w:p w14:paraId="45C9B5B2" w14:textId="2D2F78BB" w:rsidR="003A3FCB" w:rsidRPr="003A3FCB" w:rsidRDefault="004C6A45" w:rsidP="003A3FCB">
            <w:pPr>
              <w:jc w:val="both"/>
              <w:rPr>
                <w:rFonts w:ascii="Times New Roman" w:hAnsi="Times New Roman" w:cs="Times New Roman"/>
                <w:sz w:val="24"/>
                <w:szCs w:val="24"/>
              </w:rPr>
            </w:pPr>
            <w:r w:rsidRPr="004C6A45">
              <w:rPr>
                <w:rFonts w:ascii="Times New Roman" w:hAnsi="Times New Roman" w:cs="Times New Roman"/>
                <w:sz w:val="24"/>
                <w:szCs w:val="24"/>
              </w:rPr>
              <w:t>Dėl teisėjų mokymų pastebėtina, kad</w:t>
            </w:r>
            <w:r w:rsidR="003A3FCB" w:rsidRPr="003A3FCB">
              <w:rPr>
                <w:rFonts w:ascii="Times New Roman" w:hAnsi="Times New Roman" w:cs="Times New Roman"/>
                <w:sz w:val="24"/>
                <w:szCs w:val="24"/>
              </w:rPr>
              <w:t xml:space="preserve"> vadovaujantis Teismų įstatymo 93 straipsnio 1 dalimi, teisėjų mokymo programas, suderinusi su Teisingumo ministerija, kiekvienais metais tvirtina Teisėjų taryba. Konkrečių teisėjų mokymo temų aktualumas identifikuojamas, atsižvelgiant į teisinio reguliavimo pokyčius, nagrinėjamų bylų specifiką, socialinius pokyčius ir pan.</w:t>
            </w:r>
          </w:p>
          <w:p w14:paraId="74311EF3" w14:textId="77777777" w:rsidR="003A3FCB" w:rsidRDefault="003A3FCB" w:rsidP="003A3FCB">
            <w:pPr>
              <w:jc w:val="both"/>
              <w:rPr>
                <w:rFonts w:ascii="Times New Roman" w:hAnsi="Times New Roman" w:cs="Times New Roman"/>
                <w:sz w:val="24"/>
                <w:szCs w:val="24"/>
              </w:rPr>
            </w:pPr>
            <w:r w:rsidRPr="003A3FCB">
              <w:rPr>
                <w:rFonts w:ascii="Times New Roman" w:hAnsi="Times New Roman" w:cs="Times New Roman"/>
                <w:sz w:val="24"/>
                <w:szCs w:val="24"/>
              </w:rPr>
              <w:t>Konkrečiai dėl mokymų neapykantos kalbos ir neapykantos nusikaltimų tema pastebėtina, kad šiuos mokymus Teisingumo ministerija pasiūlė įtraukti į teisėjų 2022 m. mokymo programas.</w:t>
            </w:r>
          </w:p>
          <w:p w14:paraId="2769A4A9" w14:textId="27176DD0" w:rsidR="007864D9" w:rsidRDefault="007864D9" w:rsidP="00945A83">
            <w:pPr>
              <w:jc w:val="both"/>
              <w:rPr>
                <w:rFonts w:ascii="Times New Roman" w:hAnsi="Times New Roman" w:cs="Times New Roman"/>
                <w:sz w:val="24"/>
                <w:szCs w:val="24"/>
              </w:rPr>
            </w:pPr>
          </w:p>
        </w:tc>
      </w:tr>
      <w:tr w:rsidR="005550B9" w14:paraId="15033884" w14:textId="77777777" w:rsidTr="005550B9">
        <w:tc>
          <w:tcPr>
            <w:tcW w:w="601" w:type="dxa"/>
          </w:tcPr>
          <w:p w14:paraId="6C635D98" w14:textId="7713A042"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t>16.</w:t>
            </w:r>
          </w:p>
        </w:tc>
        <w:tc>
          <w:tcPr>
            <w:tcW w:w="1563" w:type="dxa"/>
          </w:tcPr>
          <w:p w14:paraId="3B0A7B5E" w14:textId="496956B8"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1C2B9566" w14:textId="14AB455D" w:rsidR="00696A9F" w:rsidRDefault="002D17D8" w:rsidP="002D17D8">
            <w:pPr>
              <w:jc w:val="both"/>
              <w:rPr>
                <w:rFonts w:ascii="Times New Roman" w:hAnsi="Times New Roman" w:cs="Times New Roman"/>
                <w:sz w:val="24"/>
                <w:szCs w:val="24"/>
              </w:rPr>
            </w:pPr>
            <w:r w:rsidRPr="002D17D8">
              <w:rPr>
                <w:rFonts w:ascii="Times New Roman" w:hAnsi="Times New Roman" w:cs="Times New Roman"/>
                <w:sz w:val="24"/>
                <w:szCs w:val="24"/>
              </w:rPr>
              <w:t>10.</w:t>
            </w:r>
            <w:r w:rsidRPr="002D17D8">
              <w:rPr>
                <w:rFonts w:ascii="Times New Roman" w:hAnsi="Times New Roman" w:cs="Times New Roman"/>
                <w:sz w:val="24"/>
                <w:szCs w:val="24"/>
              </w:rPr>
              <w:tab/>
              <w:t>6 problemoje (6.2 dalyje) siūlytume išskirti ir nagrinėti įkalinimo įstaigose kalinčių nuteistųjų problematiką pagal lytį, atskirai nagrinėjant kalinčių moterų ir vyrų patiriamas problemas ir jų sprendimo būdus.</w:t>
            </w:r>
          </w:p>
        </w:tc>
        <w:tc>
          <w:tcPr>
            <w:tcW w:w="6237" w:type="dxa"/>
          </w:tcPr>
          <w:p w14:paraId="61F1115E" w14:textId="77777777" w:rsidR="005B39FE" w:rsidRPr="00F20628" w:rsidRDefault="005B39FE" w:rsidP="005B39FE">
            <w:pPr>
              <w:jc w:val="both"/>
              <w:rPr>
                <w:rFonts w:ascii="Times New Roman" w:hAnsi="Times New Roman" w:cs="Times New Roman"/>
                <w:sz w:val="24"/>
                <w:szCs w:val="24"/>
                <w:u w:val="single"/>
              </w:rPr>
            </w:pPr>
            <w:r w:rsidRPr="00F20628">
              <w:rPr>
                <w:rFonts w:ascii="Times New Roman" w:hAnsi="Times New Roman" w:cs="Times New Roman"/>
                <w:sz w:val="24"/>
                <w:szCs w:val="24"/>
                <w:u w:val="single"/>
              </w:rPr>
              <w:t>Iš dalies atsižvelgta.</w:t>
            </w:r>
          </w:p>
          <w:p w14:paraId="02C48206" w14:textId="77777777" w:rsidR="005B39FE" w:rsidRDefault="005B39FE" w:rsidP="005B39FE">
            <w:pPr>
              <w:jc w:val="both"/>
              <w:rPr>
                <w:rFonts w:ascii="Times New Roman" w:hAnsi="Times New Roman" w:cs="Times New Roman"/>
                <w:sz w:val="24"/>
                <w:szCs w:val="24"/>
              </w:rPr>
            </w:pPr>
          </w:p>
          <w:p w14:paraId="40BB33F8" w14:textId="77777777" w:rsidR="005B39FE" w:rsidRDefault="005B39FE" w:rsidP="005B39FE">
            <w:pPr>
              <w:jc w:val="both"/>
              <w:rPr>
                <w:rFonts w:ascii="Times New Roman" w:hAnsi="Times New Roman" w:cs="Times New Roman"/>
                <w:sz w:val="24"/>
                <w:szCs w:val="24"/>
              </w:rPr>
            </w:pPr>
            <w:r>
              <w:rPr>
                <w:rFonts w:ascii="Times New Roman" w:hAnsi="Times New Roman" w:cs="Times New Roman"/>
                <w:sz w:val="24"/>
                <w:szCs w:val="24"/>
              </w:rPr>
              <w:t>Pagrindimas papildytas informacija apie kalinčių moterų problematiką:</w:t>
            </w:r>
          </w:p>
          <w:p w14:paraId="59E8F726" w14:textId="47D3D951" w:rsidR="000F4137" w:rsidRPr="000F4137" w:rsidRDefault="00530F3D" w:rsidP="000F4137">
            <w:pPr>
              <w:jc w:val="both"/>
              <w:rPr>
                <w:rFonts w:ascii="Times New Roman" w:hAnsi="Times New Roman" w:cs="Times New Roman"/>
                <w:b/>
                <w:bCs/>
                <w:sz w:val="24"/>
                <w:szCs w:val="24"/>
              </w:rPr>
            </w:pPr>
            <w:r>
              <w:rPr>
                <w:rFonts w:ascii="Times New Roman" w:hAnsi="Times New Roman" w:cs="Times New Roman"/>
                <w:b/>
                <w:bCs/>
                <w:sz w:val="24"/>
                <w:szCs w:val="24"/>
              </w:rPr>
              <w:t>„</w:t>
            </w:r>
            <w:r w:rsidR="000F4137" w:rsidRPr="000F4137">
              <w:rPr>
                <w:rFonts w:ascii="Times New Roman" w:hAnsi="Times New Roman" w:cs="Times New Roman"/>
                <w:b/>
                <w:bCs/>
                <w:sz w:val="24"/>
                <w:szCs w:val="24"/>
              </w:rPr>
              <w:t xml:space="preserve">6.2.2. Didžioji dalis pataisos įstaigose vykdomų resocializacijos priemonių – moksliškai nepatikrintos, formalizuotas jų vykdymas. </w:t>
            </w:r>
          </w:p>
          <w:p w14:paraId="595E4BBD" w14:textId="09C67CE7" w:rsidR="000F4137" w:rsidRDefault="000F4137" w:rsidP="000F4137">
            <w:pPr>
              <w:jc w:val="both"/>
              <w:rPr>
                <w:rFonts w:ascii="Times New Roman" w:hAnsi="Times New Roman" w:cs="Times New Roman"/>
                <w:sz w:val="24"/>
                <w:szCs w:val="24"/>
              </w:rPr>
            </w:pPr>
            <w:r w:rsidRPr="000F4137">
              <w:rPr>
                <w:rFonts w:ascii="Times New Roman" w:hAnsi="Times New Roman" w:cs="Times New Roman"/>
                <w:sz w:val="24"/>
                <w:szCs w:val="24"/>
              </w:rPr>
              <w:t>2015 m. gruodžio 17 d. Jungtinių Tautų Generalinės Asamblėjos priimtose Tipinėse minimaliose elgesio su kaliniais (</w:t>
            </w:r>
            <w:proofErr w:type="spellStart"/>
            <w:r w:rsidRPr="000F4137">
              <w:rPr>
                <w:rFonts w:ascii="Times New Roman" w:hAnsi="Times New Roman" w:cs="Times New Roman"/>
                <w:sz w:val="24"/>
                <w:szCs w:val="24"/>
              </w:rPr>
              <w:t>Mandelos</w:t>
            </w:r>
            <w:proofErr w:type="spellEnd"/>
            <w:r w:rsidRPr="000F4137">
              <w:rPr>
                <w:rFonts w:ascii="Times New Roman" w:hAnsi="Times New Roman" w:cs="Times New Roman"/>
                <w:sz w:val="24"/>
                <w:szCs w:val="24"/>
              </w:rPr>
              <w:t xml:space="preserve">) taisyklėse teigiama, kad laisvės atėmimo </w:t>
            </w:r>
            <w:r w:rsidRPr="000F4137">
              <w:rPr>
                <w:rFonts w:ascii="Times New Roman" w:hAnsi="Times New Roman" w:cs="Times New Roman"/>
                <w:sz w:val="24"/>
                <w:szCs w:val="24"/>
              </w:rPr>
              <w:lastRenderedPageBreak/>
              <w:t>bausmės ir kitų panašių asmens laisvę apribojančių priemonių tikslas, visų pirma, yra apsaugoti visuomenę nuo nusikalstamų veikų ir mažinti pakartotinį nusikalstamą elgesį. Šis tikslas gali būti pasiektas tik tuomet, jei įkalinimo laikas, kiek tik įmanoma, išnaudojamas jų reintegracijai  į visuomenę po paleidimo (savarankiškumo ugdymui ir teisės/moralės normų laikymuisi).</w:t>
            </w:r>
          </w:p>
          <w:p w14:paraId="1EB272D3" w14:textId="2F95E2E7" w:rsidR="000F4137" w:rsidRPr="000F4137" w:rsidRDefault="000F4137" w:rsidP="000F4137">
            <w:pPr>
              <w:jc w:val="both"/>
              <w:rPr>
                <w:rFonts w:ascii="Times New Roman" w:hAnsi="Times New Roman" w:cs="Times New Roman"/>
                <w:sz w:val="24"/>
                <w:szCs w:val="24"/>
              </w:rPr>
            </w:pPr>
            <w:r>
              <w:rPr>
                <w:rFonts w:ascii="Times New Roman" w:hAnsi="Times New Roman" w:cs="Times New Roman"/>
                <w:sz w:val="24"/>
                <w:szCs w:val="24"/>
              </w:rPr>
              <w:t>&lt;...&gt;</w:t>
            </w:r>
          </w:p>
          <w:p w14:paraId="53D0F5FD" w14:textId="2D26C7B5" w:rsidR="000F4137" w:rsidRPr="000F4137" w:rsidRDefault="000F4137" w:rsidP="000F4137">
            <w:pPr>
              <w:jc w:val="both"/>
              <w:rPr>
                <w:rFonts w:ascii="Times New Roman" w:hAnsi="Times New Roman" w:cs="Times New Roman"/>
                <w:i/>
                <w:sz w:val="24"/>
                <w:szCs w:val="24"/>
              </w:rPr>
            </w:pPr>
            <w:r w:rsidRPr="000F4137">
              <w:rPr>
                <w:rFonts w:ascii="Times New Roman" w:hAnsi="Times New Roman" w:cs="Times New Roman"/>
                <w:i/>
                <w:sz w:val="24"/>
                <w:szCs w:val="24"/>
              </w:rPr>
              <w:t>Didžioji dalis visų įkalintų asmenų yra pilnamečiai vyrai, moterys sudaro tik 5 proc. įkalintų asmenų. Trūksta specializuotų elgesio pataisos programų, nukreiptų į nuteistų moterų nusikalstamo elgesio korekciją ir socialinių įgūdžių lavinimą.</w:t>
            </w:r>
            <w:r w:rsidR="00530F3D">
              <w:rPr>
                <w:rFonts w:ascii="Times New Roman" w:hAnsi="Times New Roman" w:cs="Times New Roman"/>
                <w:i/>
                <w:sz w:val="24"/>
                <w:szCs w:val="24"/>
              </w:rPr>
              <w:t>“</w:t>
            </w:r>
          </w:p>
          <w:p w14:paraId="4F0F3223" w14:textId="70EEF25A" w:rsidR="002F2931" w:rsidRPr="00A35F6A" w:rsidRDefault="002F2931" w:rsidP="00F10D98">
            <w:pPr>
              <w:jc w:val="both"/>
              <w:rPr>
                <w:rFonts w:ascii="Times New Roman" w:hAnsi="Times New Roman" w:cs="Times New Roman"/>
                <w:sz w:val="24"/>
                <w:szCs w:val="24"/>
              </w:rPr>
            </w:pPr>
          </w:p>
        </w:tc>
      </w:tr>
      <w:tr w:rsidR="005550B9" w14:paraId="1093A21F" w14:textId="77777777" w:rsidTr="005550B9">
        <w:tc>
          <w:tcPr>
            <w:tcW w:w="601" w:type="dxa"/>
          </w:tcPr>
          <w:p w14:paraId="1B4394BF" w14:textId="516DD714"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563" w:type="dxa"/>
          </w:tcPr>
          <w:p w14:paraId="0AAE2733" w14:textId="5E059C4D"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562291C3" w14:textId="6CAC33DA" w:rsidR="00696A9F" w:rsidRDefault="008F0AC3" w:rsidP="00860139">
            <w:pPr>
              <w:jc w:val="both"/>
              <w:rPr>
                <w:rFonts w:ascii="Times New Roman" w:hAnsi="Times New Roman" w:cs="Times New Roman"/>
                <w:sz w:val="24"/>
                <w:szCs w:val="24"/>
              </w:rPr>
            </w:pPr>
            <w:r w:rsidRPr="008F0AC3">
              <w:rPr>
                <w:rFonts w:ascii="Times New Roman" w:hAnsi="Times New Roman" w:cs="Times New Roman"/>
                <w:sz w:val="24"/>
                <w:szCs w:val="24"/>
              </w:rPr>
              <w:t>11.</w:t>
            </w:r>
            <w:r w:rsidRPr="008F0AC3">
              <w:rPr>
                <w:rFonts w:ascii="Times New Roman" w:hAnsi="Times New Roman" w:cs="Times New Roman"/>
                <w:sz w:val="24"/>
                <w:szCs w:val="24"/>
              </w:rPr>
              <w:tab/>
              <w:t>Plėtros programos pagrindime siūlytina išskirti problemą, jog laisvės atėmimo vietos taip pat nepritaikytos asmenims su negalia. Jei laisvės atėmimo įstaigas bandoma pritaikyti asmenims su negalia, tai neapima pakankamo ar visiško pritaikymo, o tik pvz., sanitarinių mazgų įrengimą ar panduso pastatymą. Tačiau tai neapima pritaikymo visiems asmenims pagal jų turimą negalią. Itin svarbu pritaikomumą atliepti per universalaus dizaino principų įdiegimą, kad visa fizinė aplinka ir informacija būtų sukurti laikantis universalaus dizaino principu ir būtų prieinama asmenims su negalia.</w:t>
            </w:r>
          </w:p>
        </w:tc>
        <w:tc>
          <w:tcPr>
            <w:tcW w:w="6237" w:type="dxa"/>
          </w:tcPr>
          <w:p w14:paraId="2D06A777" w14:textId="095687E5" w:rsidR="00A35F6A" w:rsidRPr="00F20628" w:rsidRDefault="00F20628" w:rsidP="00F20628">
            <w:pPr>
              <w:rPr>
                <w:rFonts w:ascii="Times New Roman" w:hAnsi="Times New Roman" w:cs="Times New Roman"/>
                <w:sz w:val="24"/>
                <w:szCs w:val="24"/>
                <w:u w:val="single"/>
              </w:rPr>
            </w:pPr>
            <w:r w:rsidRPr="00F20628">
              <w:rPr>
                <w:rFonts w:ascii="Times New Roman" w:hAnsi="Times New Roman" w:cs="Times New Roman"/>
                <w:sz w:val="24"/>
                <w:szCs w:val="24"/>
                <w:u w:val="single"/>
              </w:rPr>
              <w:t>Atsižvelgta.</w:t>
            </w:r>
          </w:p>
          <w:p w14:paraId="57A80ACC" w14:textId="64B30D32" w:rsidR="00F20628" w:rsidRDefault="00F20628" w:rsidP="00F20628">
            <w:pPr>
              <w:rPr>
                <w:rFonts w:ascii="Times New Roman" w:hAnsi="Times New Roman" w:cs="Times New Roman"/>
                <w:sz w:val="24"/>
                <w:szCs w:val="24"/>
              </w:rPr>
            </w:pPr>
          </w:p>
          <w:p w14:paraId="440E363E" w14:textId="107CD616" w:rsidR="00F20628" w:rsidRDefault="00F20628" w:rsidP="00F20628">
            <w:pPr>
              <w:rPr>
                <w:rFonts w:ascii="Times New Roman" w:hAnsi="Times New Roman" w:cs="Times New Roman"/>
                <w:sz w:val="24"/>
                <w:szCs w:val="24"/>
              </w:rPr>
            </w:pPr>
            <w:r>
              <w:rPr>
                <w:rFonts w:ascii="Times New Roman" w:hAnsi="Times New Roman" w:cs="Times New Roman"/>
                <w:sz w:val="24"/>
                <w:szCs w:val="24"/>
              </w:rPr>
              <w:t>Pagrindimas papildytas</w:t>
            </w:r>
            <w:r w:rsidR="00E47F6B">
              <w:rPr>
                <w:rFonts w:ascii="Times New Roman" w:hAnsi="Times New Roman" w:cs="Times New Roman"/>
                <w:sz w:val="24"/>
                <w:szCs w:val="24"/>
              </w:rPr>
              <w:t>:</w:t>
            </w:r>
          </w:p>
          <w:p w14:paraId="245EF6F8" w14:textId="5D822A4F" w:rsidR="0024548B" w:rsidRPr="0024548B" w:rsidRDefault="0024548B" w:rsidP="0024548B">
            <w:pPr>
              <w:rPr>
                <w:rFonts w:ascii="Times New Roman" w:hAnsi="Times New Roman" w:cs="Times New Roman"/>
                <w:b/>
                <w:sz w:val="24"/>
                <w:szCs w:val="24"/>
              </w:rPr>
            </w:pPr>
            <w:r>
              <w:rPr>
                <w:rFonts w:ascii="Times New Roman" w:hAnsi="Times New Roman" w:cs="Times New Roman"/>
                <w:b/>
                <w:sz w:val="24"/>
                <w:szCs w:val="24"/>
              </w:rPr>
              <w:t>„</w:t>
            </w:r>
            <w:r w:rsidRPr="0024548B">
              <w:rPr>
                <w:rFonts w:ascii="Times New Roman" w:hAnsi="Times New Roman" w:cs="Times New Roman"/>
                <w:b/>
                <w:sz w:val="24"/>
                <w:szCs w:val="24"/>
              </w:rPr>
              <w:t xml:space="preserve">6.1.1. Įkalintų asmenų gyvenimo sąlygos laisvės atėmimo vietų įstaigose neatitinka šiuolaikinių reikalavimų. </w:t>
            </w:r>
          </w:p>
          <w:p w14:paraId="6A355D49" w14:textId="77777777" w:rsidR="0024548B" w:rsidRPr="0024548B" w:rsidRDefault="0024548B" w:rsidP="0024548B">
            <w:pPr>
              <w:rPr>
                <w:rFonts w:ascii="Times New Roman" w:hAnsi="Times New Roman" w:cs="Times New Roman"/>
                <w:sz w:val="24"/>
                <w:szCs w:val="24"/>
              </w:rPr>
            </w:pPr>
            <w:r w:rsidRPr="0024548B">
              <w:rPr>
                <w:rFonts w:ascii="Times New Roman" w:hAnsi="Times New Roman" w:cs="Times New Roman"/>
                <w:sz w:val="24"/>
                <w:szCs w:val="24"/>
              </w:rPr>
              <w:t xml:space="preserve">Daugelis pastatų ir statinių pastatyti prieš 50 ir daugiau metų ir per visą eksploatavimo laikotarpį nerenovuoti, todėl pripažinti kritinės būklės, neatitinka šiuolaikinių statybos techninių reglamentų ir higienos normų reikalavimų (pvz., Šiaulių tardymo izoliatoriaus, Alytaus pataisos namų, Marijampolės pataisos namų, Vilniaus pataisos namų, Pravieniškių pataisos namų – atvirosios kolonijos). Įkalintų asmenų apgyvendinimas higienos reikalavimų neatitinkančiose patalpose daro žalą </w:t>
            </w:r>
            <w:proofErr w:type="spellStart"/>
            <w:r w:rsidRPr="0024548B">
              <w:rPr>
                <w:rFonts w:ascii="Times New Roman" w:hAnsi="Times New Roman" w:cs="Times New Roman"/>
                <w:i/>
                <w:iCs/>
                <w:sz w:val="24"/>
                <w:szCs w:val="24"/>
              </w:rPr>
              <w:t>inter</w:t>
            </w:r>
            <w:proofErr w:type="spellEnd"/>
            <w:r w:rsidRPr="0024548B">
              <w:rPr>
                <w:rFonts w:ascii="Times New Roman" w:hAnsi="Times New Roman" w:cs="Times New Roman"/>
                <w:i/>
                <w:iCs/>
                <w:sz w:val="24"/>
                <w:szCs w:val="24"/>
              </w:rPr>
              <w:t xml:space="preserve"> alia</w:t>
            </w:r>
            <w:r w:rsidRPr="0024548B">
              <w:rPr>
                <w:rFonts w:ascii="Times New Roman" w:hAnsi="Times New Roman" w:cs="Times New Roman"/>
                <w:sz w:val="24"/>
                <w:szCs w:val="24"/>
              </w:rPr>
              <w:t xml:space="preserve"> ir Lietuvos Respublikos valstybės biudžetui. Pavyzdžiui, 2015 m. dėl netinkamų kalinimo sąlygų Teisingumo ministerija tokiems asmenims išmokėjo 1 066 200 eurų, 2016 m. – 1 358 000 </w:t>
            </w:r>
            <w:r w:rsidRPr="0024548B">
              <w:rPr>
                <w:rFonts w:ascii="Times New Roman" w:hAnsi="Times New Roman" w:cs="Times New Roman"/>
                <w:sz w:val="24"/>
                <w:szCs w:val="24"/>
              </w:rPr>
              <w:lastRenderedPageBreak/>
              <w:t>eurų, 2017 m. – 849 300 eurų, 2018 m. – 750 000 eurų, 2019 m. – 466 400 eurų</w:t>
            </w:r>
            <w:r w:rsidRPr="0024548B">
              <w:rPr>
                <w:rFonts w:ascii="Times New Roman" w:hAnsi="Times New Roman" w:cs="Times New Roman"/>
                <w:sz w:val="24"/>
                <w:szCs w:val="24"/>
                <w:vertAlign w:val="superscript"/>
              </w:rPr>
              <w:footnoteReference w:id="3"/>
            </w:r>
            <w:r w:rsidRPr="0024548B">
              <w:rPr>
                <w:rFonts w:ascii="Times New Roman" w:hAnsi="Times New Roman" w:cs="Times New Roman"/>
                <w:sz w:val="24"/>
                <w:szCs w:val="24"/>
              </w:rPr>
              <w:t>.</w:t>
            </w:r>
          </w:p>
          <w:p w14:paraId="1C48A784" w14:textId="520EFB86" w:rsidR="0024548B" w:rsidRPr="0024548B" w:rsidRDefault="0024548B" w:rsidP="0024548B">
            <w:pPr>
              <w:rPr>
                <w:rFonts w:ascii="Times New Roman" w:hAnsi="Times New Roman" w:cs="Times New Roman"/>
                <w:bCs/>
                <w:i/>
                <w:iCs/>
                <w:sz w:val="24"/>
                <w:szCs w:val="24"/>
              </w:rPr>
            </w:pPr>
            <w:r w:rsidRPr="0024548B">
              <w:rPr>
                <w:rFonts w:ascii="Times New Roman" w:hAnsi="Times New Roman" w:cs="Times New Roman"/>
                <w:i/>
                <w:iCs/>
                <w:sz w:val="24"/>
                <w:szCs w:val="24"/>
              </w:rPr>
              <w:t>Laisvės atėmimo vietų įstaigose 2 proc. visų įkalintų asmenų turi negalią. Asmenys su negalia laikomi visose laisvės atėmimo vietų įstaigose, didžioji dalis jų infrastruktūros nepritaikyta asmenims su negalia arba neapima pakankamo pritaikymo visiems asmenims pagal jų turimą negalią.“</w:t>
            </w:r>
          </w:p>
          <w:p w14:paraId="202DCB84" w14:textId="77777777" w:rsidR="00E47F6B" w:rsidRPr="00F20628" w:rsidRDefault="00E47F6B" w:rsidP="00F20628">
            <w:pPr>
              <w:rPr>
                <w:rFonts w:ascii="Times New Roman" w:hAnsi="Times New Roman" w:cs="Times New Roman"/>
                <w:sz w:val="24"/>
                <w:szCs w:val="24"/>
              </w:rPr>
            </w:pPr>
          </w:p>
          <w:p w14:paraId="073ED590" w14:textId="0409937A" w:rsidR="00A35F6A" w:rsidRPr="00A35F6A" w:rsidRDefault="00A35F6A" w:rsidP="005550B9">
            <w:pPr>
              <w:jc w:val="both"/>
              <w:rPr>
                <w:rFonts w:ascii="Times New Roman" w:hAnsi="Times New Roman" w:cs="Times New Roman"/>
                <w:sz w:val="24"/>
                <w:szCs w:val="24"/>
              </w:rPr>
            </w:pPr>
          </w:p>
        </w:tc>
      </w:tr>
      <w:tr w:rsidR="005550B9" w14:paraId="7DC24D7C" w14:textId="77777777" w:rsidTr="005550B9">
        <w:tc>
          <w:tcPr>
            <w:tcW w:w="601" w:type="dxa"/>
          </w:tcPr>
          <w:p w14:paraId="0ABF4A91" w14:textId="2F21ED4C"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563" w:type="dxa"/>
          </w:tcPr>
          <w:p w14:paraId="679C6534" w14:textId="2C77AFF0"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75E3757F" w14:textId="11358C27" w:rsidR="00696A9F" w:rsidRDefault="00C37ECF" w:rsidP="00860139">
            <w:pPr>
              <w:jc w:val="both"/>
              <w:rPr>
                <w:rFonts w:ascii="Times New Roman" w:hAnsi="Times New Roman" w:cs="Times New Roman"/>
                <w:sz w:val="24"/>
                <w:szCs w:val="24"/>
              </w:rPr>
            </w:pPr>
            <w:r w:rsidRPr="00C37ECF">
              <w:rPr>
                <w:rFonts w:ascii="Times New Roman" w:hAnsi="Times New Roman" w:cs="Times New Roman"/>
                <w:sz w:val="24"/>
                <w:szCs w:val="24"/>
              </w:rPr>
              <w:t>12.</w:t>
            </w:r>
            <w:r w:rsidRPr="00C37ECF">
              <w:rPr>
                <w:rFonts w:ascii="Times New Roman" w:hAnsi="Times New Roman" w:cs="Times New Roman"/>
                <w:sz w:val="24"/>
                <w:szCs w:val="24"/>
              </w:rPr>
              <w:tab/>
              <w:t xml:space="preserve">Atsižvelgiant į gerąją praktiką dėl viešojo intereso gynimo aplinkos apsaugos srityje (pagal </w:t>
            </w:r>
            <w:proofErr w:type="spellStart"/>
            <w:r w:rsidRPr="00C37ECF">
              <w:rPr>
                <w:rFonts w:ascii="Times New Roman" w:hAnsi="Times New Roman" w:cs="Times New Roman"/>
                <w:sz w:val="24"/>
                <w:szCs w:val="24"/>
              </w:rPr>
              <w:t>Orhuso</w:t>
            </w:r>
            <w:proofErr w:type="spellEnd"/>
            <w:r w:rsidRPr="00C37ECF">
              <w:rPr>
                <w:rFonts w:ascii="Times New Roman" w:hAnsi="Times New Roman" w:cs="Times New Roman"/>
                <w:sz w:val="24"/>
                <w:szCs w:val="24"/>
              </w:rPr>
              <w:t xml:space="preserve"> konvenciją) bei vartotojų teisių apsaugos srityje (pagal Lietuvos Respublikos vartotojų teisių apsaugos įstatymą), 2000 m. birželio 29 d. Tarybos direktyvos 2000/43/EB, įgyvendinančios vienodo požiūrio principą asmenims nepriklausomai nuo jų rasės arba etninės priklausomybės 19 konstatuojamąją dalį bei 7 straipsnio 2 dalį bei pasiūlymą dėl Lygių galimybių įstatymo pakeitimo , siūlytina nusimatyti priemones Teisingumo plėtros programoje, skirtas plėsti viešąjį interesą galinčių ginti subjektų ratą, šią teisę numatant nevyriausybinėms organizacijoms, veikiančioms konkrečioje veiklos srityje.</w:t>
            </w:r>
          </w:p>
        </w:tc>
        <w:tc>
          <w:tcPr>
            <w:tcW w:w="6237" w:type="dxa"/>
          </w:tcPr>
          <w:p w14:paraId="0696B66B" w14:textId="7434FB49" w:rsidR="005477E9" w:rsidRPr="005477E9" w:rsidRDefault="005477E9" w:rsidP="001C49B2">
            <w:pPr>
              <w:jc w:val="both"/>
              <w:rPr>
                <w:rFonts w:ascii="Times New Roman" w:hAnsi="Times New Roman" w:cs="Times New Roman"/>
                <w:sz w:val="24"/>
                <w:szCs w:val="24"/>
                <w:u w:val="single"/>
              </w:rPr>
            </w:pPr>
            <w:r w:rsidRPr="005477E9">
              <w:rPr>
                <w:rFonts w:ascii="Times New Roman" w:hAnsi="Times New Roman" w:cs="Times New Roman"/>
                <w:sz w:val="24"/>
                <w:szCs w:val="24"/>
                <w:u w:val="single"/>
              </w:rPr>
              <w:t>Neatsižvelgta</w:t>
            </w:r>
          </w:p>
          <w:p w14:paraId="0D72EA15" w14:textId="78BDC64F" w:rsidR="003B02ED" w:rsidRDefault="003B02ED" w:rsidP="001C49B2">
            <w:pPr>
              <w:jc w:val="both"/>
              <w:rPr>
                <w:rFonts w:ascii="Times New Roman" w:hAnsi="Times New Roman" w:cs="Times New Roman"/>
                <w:sz w:val="24"/>
                <w:szCs w:val="24"/>
              </w:rPr>
            </w:pPr>
          </w:p>
          <w:p w14:paraId="6E5C980D" w14:textId="6FD93731" w:rsidR="003B02ED" w:rsidRPr="003B02ED" w:rsidRDefault="00E4591B" w:rsidP="003B02ED">
            <w:pPr>
              <w:jc w:val="both"/>
              <w:rPr>
                <w:rFonts w:ascii="Times New Roman" w:hAnsi="Times New Roman" w:cs="Times New Roman"/>
                <w:sz w:val="24"/>
                <w:szCs w:val="24"/>
              </w:rPr>
            </w:pPr>
            <w:r>
              <w:rPr>
                <w:rFonts w:ascii="Times New Roman" w:hAnsi="Times New Roman" w:cs="Times New Roman"/>
                <w:sz w:val="24"/>
                <w:szCs w:val="24"/>
              </w:rPr>
              <w:t>Pažangos priemonės turėtų b</w:t>
            </w:r>
            <w:r w:rsidR="00C34E6A">
              <w:rPr>
                <w:rFonts w:ascii="Times New Roman" w:hAnsi="Times New Roman" w:cs="Times New Roman"/>
                <w:sz w:val="24"/>
                <w:szCs w:val="24"/>
              </w:rPr>
              <w:t xml:space="preserve">ūti stambios, nurodančios poveikio kryptį. Manytina, kad </w:t>
            </w:r>
            <w:r w:rsidR="00B01201">
              <w:rPr>
                <w:rFonts w:ascii="Times New Roman" w:hAnsi="Times New Roman" w:cs="Times New Roman"/>
                <w:sz w:val="24"/>
                <w:szCs w:val="24"/>
              </w:rPr>
              <w:t>S</w:t>
            </w:r>
            <w:r w:rsidR="00955FC0">
              <w:rPr>
                <w:rFonts w:ascii="Times New Roman" w:hAnsi="Times New Roman" w:cs="Times New Roman"/>
                <w:sz w:val="24"/>
                <w:szCs w:val="24"/>
              </w:rPr>
              <w:t>ADM</w:t>
            </w:r>
            <w:r w:rsidR="00B01201">
              <w:rPr>
                <w:rFonts w:ascii="Times New Roman" w:hAnsi="Times New Roman" w:cs="Times New Roman"/>
                <w:sz w:val="24"/>
                <w:szCs w:val="24"/>
              </w:rPr>
              <w:t xml:space="preserve"> </w:t>
            </w:r>
            <w:r w:rsidR="00C34E6A">
              <w:rPr>
                <w:rFonts w:ascii="Times New Roman" w:hAnsi="Times New Roman" w:cs="Times New Roman"/>
                <w:sz w:val="24"/>
                <w:szCs w:val="24"/>
              </w:rPr>
              <w:t xml:space="preserve">siūlomos priemonės </w:t>
            </w:r>
            <w:r w:rsidR="00FD3451">
              <w:rPr>
                <w:rFonts w:ascii="Times New Roman" w:hAnsi="Times New Roman" w:cs="Times New Roman"/>
                <w:sz w:val="24"/>
                <w:szCs w:val="24"/>
              </w:rPr>
              <w:t>galėtų būti konkrečių pažangos priemonių veiklos</w:t>
            </w:r>
            <w:r w:rsidR="00944838">
              <w:rPr>
                <w:rFonts w:ascii="Times New Roman" w:hAnsi="Times New Roman" w:cs="Times New Roman"/>
                <w:sz w:val="24"/>
                <w:szCs w:val="24"/>
              </w:rPr>
              <w:t xml:space="preserve">. </w:t>
            </w:r>
            <w:r w:rsidR="003B02ED" w:rsidRPr="003B02ED">
              <w:rPr>
                <w:rFonts w:ascii="Times New Roman" w:hAnsi="Times New Roman" w:cs="Times New Roman"/>
                <w:sz w:val="24"/>
                <w:szCs w:val="24"/>
              </w:rPr>
              <w:t>Atitinkamai dėl tokių pasiūlymų tikslingumo ir jų įgyvendinimo bus sprendžiama priemonių rengimo etape.</w:t>
            </w:r>
          </w:p>
          <w:p w14:paraId="321F81C6" w14:textId="71421E56" w:rsidR="003B02ED" w:rsidRDefault="003B02ED" w:rsidP="003B02ED">
            <w:pPr>
              <w:jc w:val="both"/>
              <w:rPr>
                <w:rFonts w:ascii="Times New Roman" w:hAnsi="Times New Roman" w:cs="Times New Roman"/>
                <w:sz w:val="24"/>
                <w:szCs w:val="24"/>
              </w:rPr>
            </w:pPr>
            <w:r w:rsidRPr="003B02ED">
              <w:rPr>
                <w:rFonts w:ascii="Times New Roman" w:hAnsi="Times New Roman" w:cs="Times New Roman"/>
                <w:sz w:val="24"/>
                <w:szCs w:val="24"/>
              </w:rPr>
              <w:t>Papildomai pastebėtina, kad dėl teisės ginti viešąjį interesą suteikimo nevyriausybinėms organizacijoms turėtų būti sprendžiama atskirai pagal kiekvienos ministerijos kuruojamas veiklos sritis, įvertinant šių sričių specifiką ir poreikį plėsti šiose srityse veikiančių nevyriausybinių organizacijų įgaliojimus. Atitinkamai, pavyzdžiui, dėl lygių galimybių apsaugos srityje veikiančių nevyriausybinių organizacijų įgaliojimų plėtros pagal kompetenciją turėtų spręsti Socialinės apsaugos ir darbo ministerija.</w:t>
            </w:r>
          </w:p>
        </w:tc>
      </w:tr>
      <w:tr w:rsidR="005550B9" w14:paraId="7E2D09B2" w14:textId="77777777" w:rsidTr="005550B9">
        <w:tc>
          <w:tcPr>
            <w:tcW w:w="601" w:type="dxa"/>
          </w:tcPr>
          <w:p w14:paraId="66E6785C" w14:textId="7A78B715"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t>19.</w:t>
            </w:r>
          </w:p>
        </w:tc>
        <w:tc>
          <w:tcPr>
            <w:tcW w:w="1563" w:type="dxa"/>
          </w:tcPr>
          <w:p w14:paraId="32A4405B" w14:textId="24D00E4B"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6245C237" w14:textId="37FE3AB3" w:rsidR="00696A9F" w:rsidRPr="00EC0AB1" w:rsidRDefault="00237924" w:rsidP="00860139">
            <w:pPr>
              <w:jc w:val="both"/>
              <w:rPr>
                <w:rFonts w:ascii="Times New Roman" w:hAnsi="Times New Roman" w:cs="Times New Roman"/>
                <w:sz w:val="24"/>
                <w:szCs w:val="24"/>
              </w:rPr>
            </w:pPr>
            <w:r w:rsidRPr="00EC0AB1">
              <w:rPr>
                <w:rFonts w:ascii="Times New Roman" w:hAnsi="Times New Roman" w:cs="Times New Roman"/>
                <w:sz w:val="24"/>
                <w:szCs w:val="24"/>
              </w:rPr>
              <w:t>13.</w:t>
            </w:r>
            <w:r w:rsidRPr="00EC0AB1">
              <w:rPr>
                <w:rFonts w:ascii="Times New Roman" w:hAnsi="Times New Roman" w:cs="Times New Roman"/>
                <w:sz w:val="24"/>
                <w:szCs w:val="24"/>
              </w:rPr>
              <w:tab/>
              <w:t xml:space="preserve">Atsižvelgiant į tai, kad vaikai (nepilnamečiai) yra viena iš labiausiai pažeidžiamų visuomenės grupių, ypatingai kalbant apie vaikus, kurie dėl vienos ar kitos priežastis patenka į teisingumo sistemą, siūlytina kaip atskirą problemą nagrinėti būtent su nepilnamečiais susijusius iššūkius teisingumo sistemoje ir aspektus, dėl kurių šiuo metu nepavyksta užtikrinti vaikams draugiško teisingumo, bei </w:t>
            </w:r>
            <w:r w:rsidRPr="00EC0AB1">
              <w:rPr>
                <w:rFonts w:ascii="Times New Roman" w:hAnsi="Times New Roman" w:cs="Times New Roman"/>
                <w:sz w:val="24"/>
                <w:szCs w:val="24"/>
              </w:rPr>
              <w:lastRenderedPageBreak/>
              <w:t>numatyti priemones, kurios šiuos iššūkius spręstų. Manytina, kad šie klausimai turėtų būti išskirti Teisingumo sistemos plėtros programoje atskirai, turint omenyje, kad vaikų (nepilnamečių) poreikiai, raidos ypatumai yra skirtingi nei suaugusiųjų, didelė reikšmė, teikiama jų (</w:t>
            </w:r>
            <w:proofErr w:type="spellStart"/>
            <w:r w:rsidRPr="00EC0AB1">
              <w:rPr>
                <w:rFonts w:ascii="Times New Roman" w:hAnsi="Times New Roman" w:cs="Times New Roman"/>
                <w:sz w:val="24"/>
                <w:szCs w:val="24"/>
              </w:rPr>
              <w:t>re</w:t>
            </w:r>
            <w:proofErr w:type="spellEnd"/>
            <w:r w:rsidRPr="00EC0AB1">
              <w:rPr>
                <w:rFonts w:ascii="Times New Roman" w:hAnsi="Times New Roman" w:cs="Times New Roman"/>
                <w:sz w:val="24"/>
                <w:szCs w:val="24"/>
              </w:rPr>
              <w:t>)integracijai į visuomenę ir pan., ir todėl vaikams draugiškas teisingumas turėtų būti atskira svarbi sritis, su specifinėmis priemonėmis, kurios atitiktų geriausius vaikų interesus.</w:t>
            </w:r>
          </w:p>
        </w:tc>
        <w:tc>
          <w:tcPr>
            <w:tcW w:w="6237" w:type="dxa"/>
          </w:tcPr>
          <w:p w14:paraId="087D5911" w14:textId="77777777" w:rsidR="00E00DF3" w:rsidRPr="00EC0AB1" w:rsidRDefault="00E00DF3" w:rsidP="00611A0E">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Neatsižvelgta.</w:t>
            </w:r>
          </w:p>
          <w:p w14:paraId="519C4025" w14:textId="77777777" w:rsidR="00E00DF3" w:rsidRPr="00EC0AB1" w:rsidRDefault="00E00DF3" w:rsidP="00611A0E">
            <w:pPr>
              <w:jc w:val="both"/>
              <w:rPr>
                <w:rFonts w:ascii="Times New Roman" w:hAnsi="Times New Roman" w:cs="Times New Roman"/>
                <w:sz w:val="24"/>
                <w:szCs w:val="24"/>
              </w:rPr>
            </w:pPr>
          </w:p>
          <w:p w14:paraId="1503889B" w14:textId="1DFC3179" w:rsidR="00611A0E" w:rsidRPr="00EC0AB1" w:rsidRDefault="00E00DF3" w:rsidP="00611A0E">
            <w:pPr>
              <w:jc w:val="both"/>
              <w:rPr>
                <w:rFonts w:ascii="Times New Roman" w:hAnsi="Times New Roman" w:cs="Times New Roman"/>
                <w:sz w:val="24"/>
                <w:szCs w:val="24"/>
              </w:rPr>
            </w:pPr>
            <w:r w:rsidRPr="00EC0AB1">
              <w:rPr>
                <w:rFonts w:ascii="Times New Roman" w:hAnsi="Times New Roman" w:cs="Times New Roman"/>
                <w:sz w:val="24"/>
                <w:szCs w:val="24"/>
              </w:rPr>
              <w:t>T</w:t>
            </w:r>
            <w:r w:rsidR="00611A0E" w:rsidRPr="00EC0AB1">
              <w:rPr>
                <w:rFonts w:ascii="Times New Roman" w:hAnsi="Times New Roman" w:cs="Times New Roman"/>
                <w:sz w:val="24"/>
                <w:szCs w:val="24"/>
              </w:rPr>
              <w:t xml:space="preserve">eisinio reguliavimo srityje </w:t>
            </w:r>
            <w:r w:rsidR="00373B68" w:rsidRPr="00EC0AB1">
              <w:rPr>
                <w:rFonts w:ascii="Times New Roman" w:hAnsi="Times New Roman" w:cs="Times New Roman"/>
                <w:sz w:val="24"/>
                <w:szCs w:val="24"/>
              </w:rPr>
              <w:t>Teisingumo ministerija nėra i</w:t>
            </w:r>
            <w:r w:rsidR="00611A0E" w:rsidRPr="00EC0AB1">
              <w:rPr>
                <w:rFonts w:ascii="Times New Roman" w:hAnsi="Times New Roman" w:cs="Times New Roman"/>
                <w:sz w:val="24"/>
                <w:szCs w:val="24"/>
              </w:rPr>
              <w:t>dentifikav</w:t>
            </w:r>
            <w:r w:rsidR="00373B68" w:rsidRPr="00EC0AB1">
              <w:rPr>
                <w:rFonts w:ascii="Times New Roman" w:hAnsi="Times New Roman" w:cs="Times New Roman"/>
                <w:sz w:val="24"/>
                <w:szCs w:val="24"/>
              </w:rPr>
              <w:t>usi</w:t>
            </w:r>
            <w:r w:rsidR="00611A0E" w:rsidRPr="00EC0AB1">
              <w:rPr>
                <w:rFonts w:ascii="Times New Roman" w:hAnsi="Times New Roman" w:cs="Times New Roman"/>
                <w:sz w:val="24"/>
                <w:szCs w:val="24"/>
              </w:rPr>
              <w:t xml:space="preserve"> konkrečių problemų, susijusių su vaiko dalyvavimu teismo procese. Pastebėtina, kad galiojantys procesiniai įstatymai jau šiuo metu įtvirtina tam tikrus saugiklius, siekiant užtikrinti vaiko teises. Pavyzdžiui, </w:t>
            </w:r>
            <w:r w:rsidR="00611A0E" w:rsidRPr="00EC0AB1">
              <w:rPr>
                <w:rFonts w:ascii="Times New Roman" w:hAnsi="Times New Roman" w:cs="Times New Roman"/>
                <w:sz w:val="24"/>
                <w:szCs w:val="24"/>
              </w:rPr>
              <w:lastRenderedPageBreak/>
              <w:t>Civilinio proceso kodekso 38 straipsnis numato procesinį vaikų atstovavimą teismo procese. Nagrinėjant šeimos bylas, numatyta, kad tais atvejais, kai sprendžiamas bet kuris su vaiku susijęs klausimas, vaikas, sugebantis suformuluoti savo pažiūras, turi būti išklausytas tiesiogiai, o jei tai neįmanoma, – per atstovą. Priimant sprendimą turi būti atsižvelgta į vaiko nuomonę, jei tai neprieštarauja paties vaiko interesams (Civilinio proceso kodekso 380 straipsnis). Procesinis įstatymas taip pat atskirais atvejais numato valstybinės vaiko teisių apsaugos institucijos išvados pateikimą ar dalyvavimą bylose (pavyzdžiui, sprendžiant įvaikinimo klausimą).</w:t>
            </w:r>
          </w:p>
          <w:p w14:paraId="78CB3D01" w14:textId="12D133FF" w:rsidR="00611A0E" w:rsidRDefault="00611A0E" w:rsidP="00611A0E">
            <w:pPr>
              <w:jc w:val="both"/>
              <w:rPr>
                <w:rFonts w:ascii="Times New Roman" w:hAnsi="Times New Roman" w:cs="Times New Roman"/>
                <w:sz w:val="24"/>
                <w:szCs w:val="24"/>
              </w:rPr>
            </w:pPr>
            <w:r w:rsidRPr="00EC0AB1">
              <w:rPr>
                <w:rFonts w:ascii="Times New Roman" w:hAnsi="Times New Roman" w:cs="Times New Roman"/>
                <w:sz w:val="24"/>
                <w:szCs w:val="24"/>
              </w:rPr>
              <w:t>Kita vertus, pastebėtina, kad su vaiko interesų apsauga susijusios ir kai kurios jau šiuo metu plėtros programoje identifikuotos problemos. Pavyzdžiui, sprendžiant problemą „Alternatyvių ginčų sprendimo būdų nepakankamas naudojimas“, numatoma toliau skatinti mediacijos taikymą. Taikant šį alternatyvų ginčų sprendimo būdą, ginčai paprastai sprendžiami greičiau, pigiau, pasiekiama socialinė taika, o tai turi didelės įtakos ir vaiko interesų efektyviai apsaugai.</w:t>
            </w:r>
          </w:p>
          <w:p w14:paraId="495785CE" w14:textId="5D305E2E" w:rsidR="004D049C" w:rsidRDefault="0031258B" w:rsidP="00611A0E">
            <w:pPr>
              <w:jc w:val="both"/>
              <w:rPr>
                <w:rFonts w:ascii="Times New Roman" w:hAnsi="Times New Roman" w:cs="Times New Roman"/>
                <w:sz w:val="24"/>
                <w:szCs w:val="24"/>
              </w:rPr>
            </w:pPr>
            <w:r w:rsidRPr="00082C7E">
              <w:rPr>
                <w:rFonts w:ascii="Times New Roman" w:hAnsi="Times New Roman" w:cs="Times New Roman"/>
                <w:sz w:val="24"/>
                <w:szCs w:val="24"/>
              </w:rPr>
              <w:t>Papildomai pažymėtina,</w:t>
            </w:r>
            <w:r>
              <w:rPr>
                <w:rFonts w:ascii="Times New Roman" w:hAnsi="Times New Roman" w:cs="Times New Roman"/>
                <w:sz w:val="24"/>
                <w:szCs w:val="24"/>
              </w:rPr>
              <w:t xml:space="preserve"> kad </w:t>
            </w:r>
            <w:r w:rsidR="00642383">
              <w:rPr>
                <w:rFonts w:ascii="Times New Roman" w:hAnsi="Times New Roman" w:cs="Times New Roman"/>
                <w:sz w:val="24"/>
                <w:szCs w:val="24"/>
              </w:rPr>
              <w:t>dėl vaiko interesus atitinkančio teisingumo (vaikams palankaus teisingumo) yra diskutuojama ir Europos Sąjungos lygiu, šis klausimas apsvarstytas 2021 m. liepos 14-16 d. vykusioje neformalioje Teisingumo ir vidaus reikalų ministrų taryboje.</w:t>
            </w:r>
            <w:r w:rsidR="005B018E">
              <w:rPr>
                <w:rFonts w:ascii="Times New Roman" w:hAnsi="Times New Roman" w:cs="Times New Roman"/>
                <w:sz w:val="24"/>
                <w:szCs w:val="24"/>
              </w:rPr>
              <w:t xml:space="preserve"> 2021 m. kovo 24 d. </w:t>
            </w:r>
            <w:r w:rsidR="00412D04">
              <w:rPr>
                <w:rFonts w:ascii="Times New Roman" w:hAnsi="Times New Roman" w:cs="Times New Roman"/>
                <w:sz w:val="24"/>
                <w:szCs w:val="24"/>
              </w:rPr>
              <w:t xml:space="preserve">patvirtintoje </w:t>
            </w:r>
            <w:r w:rsidR="005B018E">
              <w:rPr>
                <w:rFonts w:ascii="Times New Roman" w:hAnsi="Times New Roman" w:cs="Times New Roman"/>
                <w:sz w:val="24"/>
                <w:szCs w:val="24"/>
              </w:rPr>
              <w:t xml:space="preserve">Europos Sąjungos Vaiko teisių strategijoje taip pat </w:t>
            </w:r>
            <w:r w:rsidR="009D7E72">
              <w:rPr>
                <w:rFonts w:ascii="Times New Roman" w:hAnsi="Times New Roman" w:cs="Times New Roman"/>
                <w:sz w:val="24"/>
                <w:szCs w:val="24"/>
              </w:rPr>
              <w:t xml:space="preserve">pateikiamas horizontalus sisteminis požiūris </w:t>
            </w:r>
            <w:r w:rsidR="005B018E">
              <w:rPr>
                <w:rFonts w:ascii="Times New Roman" w:hAnsi="Times New Roman" w:cs="Times New Roman"/>
                <w:sz w:val="24"/>
                <w:szCs w:val="24"/>
              </w:rPr>
              <w:t>vaiko interesus atitinkančio teisingumo tema</w:t>
            </w:r>
            <w:r w:rsidR="00412D04">
              <w:rPr>
                <w:rFonts w:ascii="Times New Roman" w:hAnsi="Times New Roman" w:cs="Times New Roman"/>
                <w:sz w:val="24"/>
                <w:szCs w:val="24"/>
              </w:rPr>
              <w:t>, tai yra viena iš prioritetinių minėtos strategijos krypčių</w:t>
            </w:r>
            <w:r w:rsidR="005B018E">
              <w:rPr>
                <w:rFonts w:ascii="Times New Roman" w:hAnsi="Times New Roman" w:cs="Times New Roman"/>
                <w:sz w:val="24"/>
                <w:szCs w:val="24"/>
              </w:rPr>
              <w:t xml:space="preserve">. </w:t>
            </w:r>
            <w:r w:rsidR="004D049C">
              <w:rPr>
                <w:rFonts w:ascii="Times New Roman" w:hAnsi="Times New Roman" w:cs="Times New Roman"/>
                <w:sz w:val="24"/>
                <w:szCs w:val="24"/>
              </w:rPr>
              <w:t>V</w:t>
            </w:r>
            <w:r w:rsidR="004D049C" w:rsidRPr="004D049C">
              <w:rPr>
                <w:rFonts w:ascii="Times New Roman" w:hAnsi="Times New Roman" w:cs="Times New Roman"/>
                <w:sz w:val="24"/>
                <w:szCs w:val="24"/>
              </w:rPr>
              <w:t xml:space="preserve">aikų teisės </w:t>
            </w:r>
            <w:r w:rsidR="001345E8">
              <w:rPr>
                <w:rFonts w:ascii="Times New Roman" w:hAnsi="Times New Roman" w:cs="Times New Roman"/>
                <w:sz w:val="24"/>
                <w:szCs w:val="24"/>
              </w:rPr>
              <w:t xml:space="preserve">taip pat </w:t>
            </w:r>
            <w:r w:rsidR="004D049C">
              <w:rPr>
                <w:rFonts w:ascii="Times New Roman" w:hAnsi="Times New Roman" w:cs="Times New Roman"/>
                <w:sz w:val="24"/>
                <w:szCs w:val="24"/>
              </w:rPr>
              <w:t>yra</w:t>
            </w:r>
            <w:r w:rsidR="004D049C" w:rsidRPr="004D049C">
              <w:rPr>
                <w:rFonts w:ascii="Times New Roman" w:hAnsi="Times New Roman" w:cs="Times New Roman"/>
                <w:sz w:val="24"/>
                <w:szCs w:val="24"/>
              </w:rPr>
              <w:t xml:space="preserve"> vienas iš </w:t>
            </w:r>
            <w:r w:rsidR="004D049C">
              <w:rPr>
                <w:rFonts w:ascii="Times New Roman" w:hAnsi="Times New Roman" w:cs="Times New Roman"/>
                <w:sz w:val="24"/>
                <w:szCs w:val="24"/>
              </w:rPr>
              <w:t>šiuo metu Europos Sąjungos Tarybai pirmininkaujančios Slovėnijos</w:t>
            </w:r>
            <w:r w:rsidR="004D049C" w:rsidRPr="004D049C">
              <w:rPr>
                <w:rFonts w:ascii="Times New Roman" w:hAnsi="Times New Roman" w:cs="Times New Roman"/>
                <w:sz w:val="24"/>
                <w:szCs w:val="24"/>
              </w:rPr>
              <w:t xml:space="preserve"> prioritetų, </w:t>
            </w:r>
            <w:r w:rsidR="004D049C">
              <w:rPr>
                <w:rFonts w:ascii="Times New Roman" w:hAnsi="Times New Roman" w:cs="Times New Roman"/>
                <w:sz w:val="24"/>
                <w:szCs w:val="24"/>
              </w:rPr>
              <w:t>šiuo metu Europos Sąjungos Tarybos darbo grupėse svarstomas</w:t>
            </w:r>
            <w:r w:rsidR="004D049C" w:rsidRPr="004D049C">
              <w:rPr>
                <w:rFonts w:ascii="Times New Roman" w:hAnsi="Times New Roman" w:cs="Times New Roman"/>
                <w:sz w:val="24"/>
                <w:szCs w:val="24"/>
              </w:rPr>
              <w:t xml:space="preserve"> Tarybos išvad</w:t>
            </w:r>
            <w:r w:rsidR="004D049C">
              <w:rPr>
                <w:rFonts w:ascii="Times New Roman" w:hAnsi="Times New Roman" w:cs="Times New Roman"/>
                <w:sz w:val="24"/>
                <w:szCs w:val="24"/>
              </w:rPr>
              <w:t>ų</w:t>
            </w:r>
            <w:r w:rsidR="004D049C" w:rsidRPr="004D049C">
              <w:rPr>
                <w:rFonts w:ascii="Times New Roman" w:hAnsi="Times New Roman" w:cs="Times New Roman"/>
                <w:sz w:val="24"/>
                <w:szCs w:val="24"/>
              </w:rPr>
              <w:t xml:space="preserve"> dėl Vaikų teisių strategijos</w:t>
            </w:r>
            <w:r w:rsidR="004D049C">
              <w:rPr>
                <w:rFonts w:ascii="Times New Roman" w:hAnsi="Times New Roman" w:cs="Times New Roman"/>
                <w:sz w:val="24"/>
                <w:szCs w:val="24"/>
              </w:rPr>
              <w:t xml:space="preserve"> projektas.</w:t>
            </w:r>
          </w:p>
          <w:p w14:paraId="7EC4699E" w14:textId="7CBBBD3B" w:rsidR="0031258B" w:rsidRPr="00EC0AB1" w:rsidRDefault="005B018E" w:rsidP="00611A0E">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nurodyti klausimai ir toliau bus svarstomi horizontaliai – Europos Sąjungos lygiu ir dėl jų bus </w:t>
            </w:r>
            <w:r>
              <w:rPr>
                <w:rFonts w:ascii="Times New Roman" w:hAnsi="Times New Roman" w:cs="Times New Roman"/>
                <w:sz w:val="24"/>
                <w:szCs w:val="24"/>
              </w:rPr>
              <w:lastRenderedPageBreak/>
              <w:t xml:space="preserve">priimami bendri sprendimai, atskiras šių klausimų išskyrimas TSPP </w:t>
            </w:r>
            <w:r w:rsidR="007A7B34">
              <w:rPr>
                <w:rFonts w:ascii="Times New Roman" w:hAnsi="Times New Roman" w:cs="Times New Roman"/>
                <w:sz w:val="24"/>
                <w:szCs w:val="24"/>
              </w:rPr>
              <w:t xml:space="preserve">šiuo metu </w:t>
            </w:r>
            <w:r>
              <w:rPr>
                <w:rFonts w:ascii="Times New Roman" w:hAnsi="Times New Roman" w:cs="Times New Roman"/>
                <w:sz w:val="24"/>
                <w:szCs w:val="24"/>
              </w:rPr>
              <w:t>nėra tikslingas.</w:t>
            </w:r>
          </w:p>
          <w:p w14:paraId="2938AC0C" w14:textId="41363D4B" w:rsidR="00244767" w:rsidRPr="00EC0AB1" w:rsidRDefault="00244767" w:rsidP="00DF309C">
            <w:pPr>
              <w:jc w:val="both"/>
              <w:rPr>
                <w:rFonts w:ascii="Times New Roman" w:hAnsi="Times New Roman" w:cs="Times New Roman"/>
                <w:sz w:val="24"/>
                <w:szCs w:val="24"/>
              </w:rPr>
            </w:pPr>
          </w:p>
        </w:tc>
      </w:tr>
      <w:tr w:rsidR="005550B9" w14:paraId="0C98EC18" w14:textId="77777777" w:rsidTr="005550B9">
        <w:tc>
          <w:tcPr>
            <w:tcW w:w="601" w:type="dxa"/>
          </w:tcPr>
          <w:p w14:paraId="20D9DA7E" w14:textId="49008E8D"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1563" w:type="dxa"/>
          </w:tcPr>
          <w:p w14:paraId="609FCBBE" w14:textId="50CF6700"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6D582C29" w14:textId="338939B6" w:rsidR="00696A9F" w:rsidRDefault="00BE4660" w:rsidP="00860139">
            <w:pPr>
              <w:jc w:val="both"/>
              <w:rPr>
                <w:rFonts w:ascii="Times New Roman" w:hAnsi="Times New Roman" w:cs="Times New Roman"/>
                <w:sz w:val="24"/>
                <w:szCs w:val="24"/>
              </w:rPr>
            </w:pPr>
            <w:r w:rsidRPr="00BE4660">
              <w:rPr>
                <w:rFonts w:ascii="Times New Roman" w:hAnsi="Times New Roman" w:cs="Times New Roman"/>
                <w:sz w:val="24"/>
                <w:szCs w:val="24"/>
              </w:rPr>
              <w:t>14.</w:t>
            </w:r>
            <w:r w:rsidRPr="00BE4660">
              <w:rPr>
                <w:rFonts w:ascii="Times New Roman" w:hAnsi="Times New Roman" w:cs="Times New Roman"/>
                <w:sz w:val="24"/>
                <w:szCs w:val="24"/>
              </w:rPr>
              <w:tab/>
              <w:t xml:space="preserve">Teisė į teisingą bylos nagrinėjimą yra vienas pamatinių demokratinės visuomenės principų. Vaikai, įtariami arba kaltinami padarę nusikalstamas veikas, turi teisę į teisingą bylos išnagrinėjimą bei galimybę naudotis tomis pačiomis garantijomis kaip ir kiti (suaugę / pilnamečiai) įstatymus pažeidę asmenys, tačiau šiuo atveju svarbu atsižvelgti ir į specifinius vaikų poreikius, kurie kyla dėl jų amžiaus, specialiųjų poreikių ir kt. Teisingo bylos nagrinėjimo garantijos turi būti taikomos nuo pat pirmosios vaiko apklausos ir viso teismo proceso metu. Teisingumo sistemoje siekiant nuo antrinės </w:t>
            </w:r>
            <w:proofErr w:type="spellStart"/>
            <w:r w:rsidRPr="00BE4660">
              <w:rPr>
                <w:rFonts w:ascii="Times New Roman" w:hAnsi="Times New Roman" w:cs="Times New Roman"/>
                <w:sz w:val="24"/>
                <w:szCs w:val="24"/>
              </w:rPr>
              <w:t>viktimizacijos</w:t>
            </w:r>
            <w:proofErr w:type="spellEnd"/>
            <w:r w:rsidRPr="00BE4660">
              <w:rPr>
                <w:rFonts w:ascii="Times New Roman" w:hAnsi="Times New Roman" w:cs="Times New Roman"/>
                <w:sz w:val="24"/>
                <w:szCs w:val="24"/>
              </w:rPr>
              <w:t xml:space="preserve"> apsaugoti nepilnametį, nepriklausomai nuo to, ar jis būtų nukentėjusysis, liudytojas, ar teisės pažeidėjas, svarbu taikyti holistinį požiūrį, pagrįstą </w:t>
            </w:r>
            <w:proofErr w:type="spellStart"/>
            <w:r w:rsidRPr="00BE4660">
              <w:rPr>
                <w:rFonts w:ascii="Times New Roman" w:hAnsi="Times New Roman" w:cs="Times New Roman"/>
                <w:sz w:val="24"/>
                <w:szCs w:val="24"/>
              </w:rPr>
              <w:t>tarpdalykinių</w:t>
            </w:r>
            <w:proofErr w:type="spellEnd"/>
            <w:r w:rsidRPr="00BE4660">
              <w:rPr>
                <w:rFonts w:ascii="Times New Roman" w:hAnsi="Times New Roman" w:cs="Times New Roman"/>
                <w:sz w:val="24"/>
                <w:szCs w:val="24"/>
              </w:rPr>
              <w:t xml:space="preserve"> darbo metodų derinimu. Tiek ikiteisminio tyrimo, tiek bylos nagrinėjimo teisme metu ar bausmės vykdymo procese, turi būti atsižvelgiama į specifinius vaikų poreikius, procesai / veiksmai / procedūros turi atitikti vaiko amžių, poreikius bei interesus, užtikrinama nepilnamečio apsauga, teisės ir galimybės pareikšti nuomonę, deramai į ją atsižvelgiant, garantuojama, jog į kiekvieną vaiko situaciją būtų žvelgiama individualiai, nesmerkiant, nekaltinant, </w:t>
            </w:r>
            <w:proofErr w:type="spellStart"/>
            <w:r w:rsidRPr="00BE4660">
              <w:rPr>
                <w:rFonts w:ascii="Times New Roman" w:hAnsi="Times New Roman" w:cs="Times New Roman"/>
                <w:sz w:val="24"/>
                <w:szCs w:val="24"/>
              </w:rPr>
              <w:t>nestigmatizuojant</w:t>
            </w:r>
            <w:proofErr w:type="spellEnd"/>
            <w:r w:rsidRPr="00BE4660">
              <w:rPr>
                <w:rFonts w:ascii="Times New Roman" w:hAnsi="Times New Roman" w:cs="Times New Roman"/>
                <w:sz w:val="24"/>
                <w:szCs w:val="24"/>
              </w:rPr>
              <w:t xml:space="preserve">. Pažymėtina, kad 2014 m. birželio mėn. Europos Tarybos Parlamentinė Asamblėja priėmė rezoliuciją dėl vaiko interesus atitinkančio nepilnamečių teisingumo, kurioje pabrėžė, jog su įstatymus pažeidusiais vaikais reikia elgtis taip, kad būtų paisoma jų teisių, ir vaikams tinkamu būdu. Atkreiptinas dėmesys, kad įstatymus pažeidę vaikai yra itin pažeidžiami, todėl jiems reikalinga papildoma apsauga. Teisingumo sistemoje svarbu užtikrinti tinkamą elgesį ne tik su nukentėjusiais, bet ir su teisės pažeidimus padariusiais </w:t>
            </w:r>
            <w:r w:rsidRPr="00BE4660">
              <w:rPr>
                <w:rFonts w:ascii="Times New Roman" w:hAnsi="Times New Roman" w:cs="Times New Roman"/>
                <w:sz w:val="24"/>
                <w:szCs w:val="24"/>
              </w:rPr>
              <w:lastRenderedPageBreak/>
              <w:t>vaikais, garantuoti jų privataus gyvenimo apsaugą, teisingą tyrimą, baudžiamąjį persekiojimą, sulaikymą iki teismo, teismo sprendimo priėmimą, bylos užbaigimą, o paskyrus laisvės atėmimo bausmę – tinkamą elgesį su nepilnamečiais ir sąlygas laisvės atėmimo bausmės vykdymo įstaigose, užtikrinant nepilnamečių nuteistųjų saugumą ir fizinę, protinę ir socialinę gerovę, taip pat numatyti efektyvius nepilnamečių reintegracijos į visuomenę mechanizmus.</w:t>
            </w:r>
          </w:p>
        </w:tc>
        <w:tc>
          <w:tcPr>
            <w:tcW w:w="6237" w:type="dxa"/>
          </w:tcPr>
          <w:p w14:paraId="258468FC" w14:textId="6267EEB9" w:rsidR="00DF309C" w:rsidRPr="00EC0AB1" w:rsidRDefault="00DF309C" w:rsidP="00743FB5">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Neatsižvelgta.</w:t>
            </w:r>
          </w:p>
          <w:p w14:paraId="483E21B3" w14:textId="77777777" w:rsidR="001E3595" w:rsidRPr="00EC0AB1" w:rsidRDefault="001E3595" w:rsidP="00743FB5">
            <w:pPr>
              <w:jc w:val="both"/>
              <w:rPr>
                <w:rFonts w:ascii="Times New Roman" w:hAnsi="Times New Roman" w:cs="Times New Roman"/>
                <w:sz w:val="24"/>
                <w:szCs w:val="24"/>
                <w:u w:val="single"/>
              </w:rPr>
            </w:pPr>
          </w:p>
          <w:p w14:paraId="0633F6D4" w14:textId="77777777" w:rsidR="00743FB5" w:rsidRPr="00743FB5" w:rsidRDefault="00743FB5" w:rsidP="00743FB5">
            <w:pPr>
              <w:jc w:val="both"/>
              <w:rPr>
                <w:rFonts w:ascii="Times New Roman" w:hAnsi="Times New Roman" w:cs="Times New Roman"/>
                <w:sz w:val="24"/>
                <w:szCs w:val="24"/>
              </w:rPr>
            </w:pPr>
            <w:r w:rsidRPr="00743FB5">
              <w:rPr>
                <w:rFonts w:ascii="Times New Roman" w:hAnsi="Times New Roman" w:cs="Times New Roman"/>
                <w:sz w:val="24"/>
                <w:szCs w:val="24"/>
              </w:rPr>
              <w:t xml:space="preserve">Visa tai, kas išdėstyta šioje pastaboje (vaiko teisių baudžiamajame procese užtikrinimo mechanizmas), jau šiuo metu yra teisiškai sureguliuota Baudžiamojo proceso kodekse (toliau – BPK), taip pat ir kituose teisės aktuose (pvz., generalinio prokuroro rekomendacijose ir pan.). </w:t>
            </w:r>
          </w:p>
          <w:p w14:paraId="1290E841" w14:textId="77777777" w:rsidR="00743FB5" w:rsidRPr="00743FB5" w:rsidRDefault="00743FB5" w:rsidP="00743FB5">
            <w:pPr>
              <w:jc w:val="both"/>
              <w:rPr>
                <w:rFonts w:ascii="Times New Roman" w:hAnsi="Times New Roman" w:cs="Times New Roman"/>
                <w:sz w:val="24"/>
                <w:szCs w:val="24"/>
              </w:rPr>
            </w:pPr>
            <w:r w:rsidRPr="00743FB5">
              <w:rPr>
                <w:rFonts w:ascii="Times New Roman" w:hAnsi="Times New Roman" w:cs="Times New Roman"/>
                <w:sz w:val="24"/>
                <w:szCs w:val="24"/>
              </w:rPr>
              <w:t>Galiojančiame BPK numatyta daugybė procesinių garantijų tiek tais atvejais, kai vienas iš proceso dalyvių yra vaikas – įtariamasis/kaltinamasis, tiek tais atvejais, kai vienas iš proceso dalyvių yra vaikas – nukentėjusysis: pvz., tais atvejais, kai apklausiamas vaikas, jo apklausoje sudarytos galimybės dalyvauti nepilnamečio atstovui pagal įstatymą, įgaliotam atstovui, valstybinės vaiko teisių apsaugos institucijos atstovui, psichologui (pvz., BPK labai detaliai reglamentuoja psichologo dalyvavimo vaiko apklausoje ypatumus, apklausas atliekant specialiai tam pritaikytose patalpose ir pan.); nagrinėjant bylas dėl veikų, kuriomis įtariamas ar kaltinamas nepilnametis, gynėjo dalyvavimas yra būtinas; susipažįstant su ikiteisminio tyrimo medžiaga draudžiama daryti ikiteisminio tyrimo medžiagos kopijas, kai duomenys yra apie nepilnamečius įtariamuosius ir nukentėjusiuosius, ir pan.</w:t>
            </w:r>
          </w:p>
          <w:p w14:paraId="5C2AB2CB" w14:textId="77777777" w:rsidR="00743FB5" w:rsidRPr="00743FB5" w:rsidRDefault="00743FB5" w:rsidP="00743FB5">
            <w:pPr>
              <w:jc w:val="both"/>
              <w:rPr>
                <w:rFonts w:ascii="Times New Roman" w:hAnsi="Times New Roman" w:cs="Times New Roman"/>
                <w:sz w:val="24"/>
                <w:szCs w:val="24"/>
              </w:rPr>
            </w:pPr>
            <w:r w:rsidRPr="00743FB5">
              <w:rPr>
                <w:rFonts w:ascii="Times New Roman" w:hAnsi="Times New Roman" w:cs="Times New Roman"/>
                <w:sz w:val="24"/>
                <w:szCs w:val="24"/>
              </w:rPr>
              <w:t xml:space="preserve">Pažymėtina ir tai, kad nepilnamečių atžvilgiu taip pat būtina atlikti nepilnamečio nukentėjusiojo specialių apsaugos poreikių vertinimą, kur turi būti pildoma savarankiška nepilnamečio nukentėjusiojo specialių apsaugos poreikių vertinimo pažyma, kurioje numatyti papildomi požymiai, išskiriant poreikį įvertinti tik nepilnamečiams nukentėjusiesiems būdingas aplinkybes. Atkreiptinas dėmesys į tai, kad vertinant nepilnamečio nukentėjusiojo specialius apsaugos poreikius privalu papildomai įvertinti amžiaus grupę, </w:t>
            </w:r>
            <w:r w:rsidRPr="00743FB5">
              <w:rPr>
                <w:rFonts w:ascii="Times New Roman" w:hAnsi="Times New Roman" w:cs="Times New Roman"/>
                <w:sz w:val="24"/>
                <w:szCs w:val="24"/>
              </w:rPr>
              <w:lastRenderedPageBreak/>
              <w:t xml:space="preserve">nustatyti, ar jis anksčiau yra nukentėjęs nuo nusikalstamos veikos. Nepriklausomai nuo nustatytos neigiamo poveikio rizikos, nuo nusikalstamos veikos nukentėjus nepilnamečiui, be visų bendrųjų specialių apsaugos priemonių (apimančių tiek apsaugą nuo pakartotinės </w:t>
            </w:r>
            <w:proofErr w:type="spellStart"/>
            <w:r w:rsidRPr="00743FB5">
              <w:rPr>
                <w:rFonts w:ascii="Times New Roman" w:hAnsi="Times New Roman" w:cs="Times New Roman"/>
                <w:sz w:val="24"/>
                <w:szCs w:val="24"/>
              </w:rPr>
              <w:t>viktimizacijos</w:t>
            </w:r>
            <w:proofErr w:type="spellEnd"/>
            <w:r w:rsidRPr="00743FB5">
              <w:rPr>
                <w:rFonts w:ascii="Times New Roman" w:hAnsi="Times New Roman" w:cs="Times New Roman"/>
                <w:sz w:val="24"/>
                <w:szCs w:val="24"/>
              </w:rPr>
              <w:t xml:space="preserve">, tiek fizinės apsaugos poreikius), papildomai ikiteisminio tyrimo metu privalomai taikomos šios specialios apsaugos priemonės: neviešas bylos nagrinėjimas teisme, apklausos metu daromas vaizdo ir garso įrašas. Šios specialios apsaugos priemonės, kartu su bendrosiomis nepilnamečių apsaugos nuostatomis, atskleidžia ypatingą nacionalinės teisės požiūrį į nepilnamečius nukentėjusiuosius. </w:t>
            </w:r>
          </w:p>
          <w:p w14:paraId="6D1A03E3" w14:textId="77777777" w:rsidR="00743FB5" w:rsidRPr="00743FB5" w:rsidRDefault="00743FB5" w:rsidP="00743FB5">
            <w:pPr>
              <w:jc w:val="both"/>
              <w:rPr>
                <w:rFonts w:ascii="Times New Roman" w:hAnsi="Times New Roman" w:cs="Times New Roman"/>
                <w:sz w:val="24"/>
                <w:szCs w:val="24"/>
              </w:rPr>
            </w:pPr>
            <w:r w:rsidRPr="00743FB5">
              <w:rPr>
                <w:rFonts w:ascii="Times New Roman" w:hAnsi="Times New Roman" w:cs="Times New Roman"/>
                <w:sz w:val="24"/>
                <w:szCs w:val="24"/>
              </w:rPr>
              <w:t>Svarbu ir tai, kad į BPK yra perkelta ir, pvz., 2012 m. spalio 25 d. Europos Parlamento ir Tarybos direktyva 2012/29/ES, kuria nustatomi būtiniausi nusikaltimų aukų teisių, paramos joms ir jų apsaugos standartai ir kuria pakeičiamas Tarybos pamatinis sprendimas 2001/220/TVR, 2016 m. gegužės 11 d. Europos Parlamento ir Tarybos direktyva (ES) 2016/800 dėl procesinių garantijų vaikams, kurie baudžiamajame procese yra įtariamieji ar kaltinamieji ir kt., kuriomis, be kita ko, užtikrinamas ir tarptautinių įsipareigojimų vaiko teisių apsaugos srityje vykdymas.</w:t>
            </w:r>
          </w:p>
          <w:p w14:paraId="6AA30F90" w14:textId="1A141C1F" w:rsidR="00F10D98" w:rsidRPr="00F10D98" w:rsidRDefault="00743FB5" w:rsidP="00743FB5">
            <w:pPr>
              <w:jc w:val="both"/>
              <w:rPr>
                <w:rFonts w:ascii="Times New Roman" w:hAnsi="Times New Roman" w:cs="Times New Roman"/>
                <w:sz w:val="24"/>
                <w:szCs w:val="24"/>
              </w:rPr>
            </w:pPr>
            <w:r w:rsidRPr="00743FB5">
              <w:rPr>
                <w:rFonts w:ascii="Times New Roman" w:hAnsi="Times New Roman" w:cs="Times New Roman"/>
                <w:sz w:val="24"/>
                <w:szCs w:val="24"/>
              </w:rPr>
              <w:t>Taigi, šioje pastaboje vardijama tai, kas jau ir dabar yra numatyta įstatymuose, taip pat kas išplaukia ir iš tarptautinių Lietuvos įsipareigojimų įgyvendinimo. Atsižvelgiant į tai, netikslinga visa tai papildomai atkartoti ir TSPP. Juk tam, kad būtų laikomasi nacionalinių teisės aktų ir tarptautinių reikalavimų vaiko teisių apsaugos srityje, nereikia tų reikalavimų papildomai įrašyti ir į TSPP. Be to, SADM keliami klausimai niekaip neatliepia NPP rodiklių ir jų nustatytų reikšmių.</w:t>
            </w:r>
          </w:p>
        </w:tc>
      </w:tr>
      <w:tr w:rsidR="005550B9" w14:paraId="46BB0A21" w14:textId="77777777" w:rsidTr="005550B9">
        <w:tc>
          <w:tcPr>
            <w:tcW w:w="601" w:type="dxa"/>
          </w:tcPr>
          <w:p w14:paraId="06113274" w14:textId="0BB29D38"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563" w:type="dxa"/>
          </w:tcPr>
          <w:p w14:paraId="5CC94B9A" w14:textId="5AEAD36E"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 xml:space="preserve">Lietuvos Respublikos socialinės </w:t>
            </w:r>
            <w:r w:rsidRPr="00432B26">
              <w:rPr>
                <w:rFonts w:ascii="Times New Roman" w:hAnsi="Times New Roman" w:cs="Times New Roman"/>
                <w:sz w:val="24"/>
                <w:szCs w:val="24"/>
              </w:rPr>
              <w:lastRenderedPageBreak/>
              <w:t>apsaugos ir darbo ministerija</w:t>
            </w:r>
          </w:p>
        </w:tc>
        <w:tc>
          <w:tcPr>
            <w:tcW w:w="6053" w:type="dxa"/>
          </w:tcPr>
          <w:p w14:paraId="31664D61" w14:textId="21A9D3B2" w:rsidR="00696A9F" w:rsidRDefault="00077C16" w:rsidP="00860139">
            <w:pPr>
              <w:jc w:val="both"/>
              <w:rPr>
                <w:rFonts w:ascii="Times New Roman" w:hAnsi="Times New Roman" w:cs="Times New Roman"/>
                <w:sz w:val="24"/>
                <w:szCs w:val="24"/>
              </w:rPr>
            </w:pPr>
            <w:r w:rsidRPr="00077C16">
              <w:rPr>
                <w:rFonts w:ascii="Times New Roman" w:hAnsi="Times New Roman" w:cs="Times New Roman"/>
                <w:sz w:val="24"/>
                <w:szCs w:val="24"/>
              </w:rPr>
              <w:lastRenderedPageBreak/>
              <w:t>15.</w:t>
            </w:r>
            <w:r w:rsidRPr="00077C16">
              <w:rPr>
                <w:rFonts w:ascii="Times New Roman" w:hAnsi="Times New Roman" w:cs="Times New Roman"/>
                <w:sz w:val="24"/>
                <w:szCs w:val="24"/>
              </w:rPr>
              <w:tab/>
              <w:t xml:space="preserve">Manytina, kad įgyvendinant Jungtinių Tautų vaiko teisių konvencijos 40 straipsnio bei kitų Jungtinių Tautų teisės aktų (Standartinių minimalių nepilnamečių </w:t>
            </w:r>
            <w:r w:rsidRPr="00077C16">
              <w:rPr>
                <w:rFonts w:ascii="Times New Roman" w:hAnsi="Times New Roman" w:cs="Times New Roman"/>
                <w:sz w:val="24"/>
                <w:szCs w:val="24"/>
              </w:rPr>
              <w:lastRenderedPageBreak/>
              <w:t xml:space="preserve">justicijos įgyvendinimo taisyklių (Pekino taisyklės, 1985 m.), Nepilnamečių, iš kurių atimta laisvė, apsaugos taisyklių (Havanos taisyklės, 1990 m.), Nepilnamečių nusikalstamumo prevencijos gairių (Rijado gairės, 1990 m.), nuostatas, atsižvelgiant į Jungtinių Tautų rekomendacijas dėl teisingumo nukentėjusiems vaikams ir nusikaltimų liudytojams (ECOSOC, Nr. </w:t>
            </w:r>
            <w:proofErr w:type="spellStart"/>
            <w:r w:rsidRPr="00077C16">
              <w:rPr>
                <w:rFonts w:ascii="Times New Roman" w:hAnsi="Times New Roman" w:cs="Times New Roman"/>
                <w:sz w:val="24"/>
                <w:szCs w:val="24"/>
              </w:rPr>
              <w:t>Rec</w:t>
            </w:r>
            <w:proofErr w:type="spellEnd"/>
            <w:r w:rsidRPr="00077C16">
              <w:rPr>
                <w:rFonts w:ascii="Times New Roman" w:hAnsi="Times New Roman" w:cs="Times New Roman"/>
                <w:sz w:val="24"/>
                <w:szCs w:val="24"/>
              </w:rPr>
              <w:t xml:space="preserve"> 2005/20, 2005 m.), Jungtinių Tautų generalinio sekretoriaus aiškinamąjį raštą dėl Jungtinių Tautų požiūrio į teisingumą vaikų atžvilgiu (2008 m.), atkreipiant dėmesį į įvairias Europos Tarybos Ministrų komiteto rekomendacijas valstybėms narėms vaiko teisių srityje (Rekomendaciją Nr. </w:t>
            </w:r>
            <w:proofErr w:type="spellStart"/>
            <w:r w:rsidRPr="00077C16">
              <w:rPr>
                <w:rFonts w:ascii="Times New Roman" w:hAnsi="Times New Roman" w:cs="Times New Roman"/>
                <w:sz w:val="24"/>
                <w:szCs w:val="24"/>
              </w:rPr>
              <w:t>Rec</w:t>
            </w:r>
            <w:proofErr w:type="spellEnd"/>
            <w:r w:rsidRPr="00077C16">
              <w:rPr>
                <w:rFonts w:ascii="Times New Roman" w:hAnsi="Times New Roman" w:cs="Times New Roman"/>
                <w:sz w:val="24"/>
                <w:szCs w:val="24"/>
              </w:rPr>
              <w:t>(2003)20 dėl naujų elgesio su nepilnamečiais pažeidėjais ypatybių ir nepilnamečių justicijos vaidmens, Rekomendaciją Nr. CM/</w:t>
            </w:r>
            <w:proofErr w:type="spellStart"/>
            <w:r w:rsidRPr="00077C16">
              <w:rPr>
                <w:rFonts w:ascii="Times New Roman" w:hAnsi="Times New Roman" w:cs="Times New Roman"/>
                <w:sz w:val="24"/>
                <w:szCs w:val="24"/>
              </w:rPr>
              <w:t>Rec</w:t>
            </w:r>
            <w:proofErr w:type="spellEnd"/>
            <w:r w:rsidRPr="00077C16">
              <w:rPr>
                <w:rFonts w:ascii="Times New Roman" w:hAnsi="Times New Roman" w:cs="Times New Roman"/>
                <w:sz w:val="24"/>
                <w:szCs w:val="24"/>
              </w:rPr>
              <w:t>(2008)11 dėl Europos nepilnamečių teisės pažeidėjų, kuriems paskirtos sankcijos arba poveikio priemonės, taisyklių ir Rekomendaciją Nr. CM/</w:t>
            </w:r>
            <w:proofErr w:type="spellStart"/>
            <w:r w:rsidRPr="00077C16">
              <w:rPr>
                <w:rFonts w:ascii="Times New Roman" w:hAnsi="Times New Roman" w:cs="Times New Roman"/>
                <w:sz w:val="24"/>
                <w:szCs w:val="24"/>
              </w:rPr>
              <w:t>Rec</w:t>
            </w:r>
            <w:proofErr w:type="spellEnd"/>
            <w:r w:rsidRPr="00077C16">
              <w:rPr>
                <w:rFonts w:ascii="Times New Roman" w:hAnsi="Times New Roman" w:cs="Times New Roman"/>
                <w:sz w:val="24"/>
                <w:szCs w:val="24"/>
              </w:rPr>
              <w:t>(2009)10 dėl integruotos nacionalinės vaikų apsaugos nuo smurto strategijos politikos gairių) bei Rezoliuciją Nr. 2 dėl vaiko interesus atitinkančio teisingumo, priimtą 28-ojoje Europos teisingumo ministrų konferencijoje (</w:t>
            </w:r>
            <w:proofErr w:type="spellStart"/>
            <w:r w:rsidRPr="00077C16">
              <w:rPr>
                <w:rFonts w:ascii="Times New Roman" w:hAnsi="Times New Roman" w:cs="Times New Roman"/>
                <w:sz w:val="24"/>
                <w:szCs w:val="24"/>
              </w:rPr>
              <w:t>Lansarotė</w:t>
            </w:r>
            <w:proofErr w:type="spellEnd"/>
            <w:r w:rsidRPr="00077C16">
              <w:rPr>
                <w:rFonts w:ascii="Times New Roman" w:hAnsi="Times New Roman" w:cs="Times New Roman"/>
                <w:sz w:val="24"/>
                <w:szCs w:val="24"/>
              </w:rPr>
              <w:t xml:space="preserve">, 2007 m. spalio mėn.) bei 2010 m. lapkričio 17 d. Gaires dėl vaiko interesus atitinkančio teisingumo, Teisingumo sistemos plėtros programą tikslinga papildyti nuostatomis / priemonėmis dėl nepilnamečių baudžiamosios atsakomybės, ikiteisminio ir baudžiamojo proceso bei bausmių vykdymo ypatumų (pavyzdžiui, prie 8.1 uždavinio „Didinti teisingumo sistemos efektyvumą ir veiksmingumą“ (1 problema, 1.1.3, 1.7. priežastys dėl  teismų sistemos, ekspertizių / specialistų tyrimų trukmės, 5 problema, 5.3. priežastis dėl prokurorų specializacijos / kvalifikacijos / tikslinių mokymų darbo / bendravimo su nepilnamečiais teisės pažeidėjais temomis), 8.2. uždavinio „Didinti bausmių vykdymo sistemos efektyvumą“ (6 problema, 6.1. – 6.2 priežastys dėl didžiosios dalies bausmių </w:t>
            </w:r>
            <w:r w:rsidRPr="00077C16">
              <w:rPr>
                <w:rFonts w:ascii="Times New Roman" w:hAnsi="Times New Roman" w:cs="Times New Roman"/>
                <w:sz w:val="24"/>
                <w:szCs w:val="24"/>
              </w:rPr>
              <w:lastRenderedPageBreak/>
              <w:t>vykdymui netinkamos infrastruktūros, fragmentuotos nuteistųjų resocializacijos ir socialinės pagalbos suimtiesiems).</w:t>
            </w:r>
          </w:p>
        </w:tc>
        <w:tc>
          <w:tcPr>
            <w:tcW w:w="6237" w:type="dxa"/>
          </w:tcPr>
          <w:p w14:paraId="3C0323A6" w14:textId="302A0CE8" w:rsidR="00885779" w:rsidRPr="00EC0AB1" w:rsidRDefault="000D73D3" w:rsidP="00885779">
            <w:pPr>
              <w:spacing w:after="160" w:line="259" w:lineRule="auto"/>
              <w:jc w:val="both"/>
              <w:rPr>
                <w:rFonts w:ascii="Times New Roman" w:eastAsia="Calibri" w:hAnsi="Times New Roman" w:cs="Times New Roman"/>
                <w:b/>
                <w:sz w:val="24"/>
                <w:szCs w:val="24"/>
                <w:u w:val="single"/>
              </w:rPr>
            </w:pPr>
            <w:r w:rsidRPr="00EC0AB1">
              <w:rPr>
                <w:rFonts w:ascii="Times New Roman" w:hAnsi="Times New Roman" w:cs="Times New Roman"/>
                <w:sz w:val="24"/>
                <w:szCs w:val="24"/>
                <w:u w:val="single"/>
              </w:rPr>
              <w:lastRenderedPageBreak/>
              <w:t>Neatsižvelgta</w:t>
            </w:r>
            <w:r w:rsidR="00EC0AB1">
              <w:rPr>
                <w:rFonts w:ascii="Times New Roman" w:hAnsi="Times New Roman" w:cs="Times New Roman"/>
                <w:sz w:val="24"/>
                <w:szCs w:val="24"/>
                <w:u w:val="single"/>
              </w:rPr>
              <w:t>.</w:t>
            </w:r>
          </w:p>
          <w:p w14:paraId="5F7B5E1C" w14:textId="77777777" w:rsidR="00885779" w:rsidRPr="00885779" w:rsidRDefault="00885779" w:rsidP="00885779">
            <w:pPr>
              <w:spacing w:after="160" w:line="259" w:lineRule="auto"/>
              <w:jc w:val="both"/>
              <w:rPr>
                <w:rFonts w:ascii="Times New Roman" w:eastAsia="Calibri" w:hAnsi="Times New Roman" w:cs="Times New Roman"/>
                <w:sz w:val="24"/>
                <w:szCs w:val="24"/>
              </w:rPr>
            </w:pPr>
            <w:r w:rsidRPr="00885779">
              <w:rPr>
                <w:rFonts w:ascii="Times New Roman" w:eastAsia="Calibri" w:hAnsi="Times New Roman" w:cs="Times New Roman"/>
                <w:sz w:val="24"/>
                <w:szCs w:val="24"/>
              </w:rPr>
              <w:lastRenderedPageBreak/>
              <w:t xml:space="preserve">Pirma, TSPP įvardinta 5 problema yra susijusi su nepakankamai veiksminga baudžiamąja politika, kuri atskleidžiama per perteklinį nusikalstamų veikų kriminalizavimą, griežtų bausmių ir nepakankamo alternatyvų laisvės atėmimui taikymo tendencijas ir nepakankamai efektyvius mokymus prokurorams. Taigi siūlymas TSPP papildyti nepilnamečių baudžiamosios atsakomybės, ikiteisminio ir baudžiamojo proceso ypatumų ir pan. klausimais neatitinka 5 problemos turinio. Pažymėtina, kad priemonės, susijusios su baudžiamosios politikos subalansavimu ir sankcijų peržiūra, bus įgyvendinamos horizontaliai, t. y. visų subjektų atžvilgiu. </w:t>
            </w:r>
          </w:p>
          <w:p w14:paraId="1AD64AF7" w14:textId="019B2772" w:rsidR="00885779" w:rsidRPr="00885779" w:rsidRDefault="00885779" w:rsidP="00885779">
            <w:pPr>
              <w:spacing w:after="160" w:line="259" w:lineRule="auto"/>
              <w:jc w:val="both"/>
              <w:rPr>
                <w:rFonts w:ascii="Times New Roman" w:eastAsia="Calibri" w:hAnsi="Times New Roman" w:cs="Times New Roman"/>
                <w:sz w:val="24"/>
                <w:szCs w:val="24"/>
              </w:rPr>
            </w:pPr>
            <w:r w:rsidRPr="00885779">
              <w:rPr>
                <w:rFonts w:ascii="Times New Roman" w:eastAsia="Calibri" w:hAnsi="Times New Roman" w:cs="Times New Roman"/>
                <w:sz w:val="24"/>
                <w:szCs w:val="24"/>
              </w:rPr>
              <w:t>Antra, kaip jau minėta atsakant į 14 pastabą, netikslinga į TSPP įtraukti tą klausimą, kurio įgyvendinimas priklauso jau nuo šiuo metu įtvirtinto teisinio reguliavimo nuostatų ir tarptautinių įsipareigojimų laikymosi</w:t>
            </w:r>
            <w:r w:rsidR="00EF05DD">
              <w:rPr>
                <w:rFonts w:ascii="Times New Roman" w:eastAsia="Calibri" w:hAnsi="Times New Roman" w:cs="Times New Roman"/>
                <w:sz w:val="24"/>
                <w:szCs w:val="24"/>
              </w:rPr>
              <w:t xml:space="preserve"> – tokiu atveju klausimas netraktuotinas kaip pažangos veiklos reikalaujantis</w:t>
            </w:r>
            <w:r w:rsidRPr="00885779">
              <w:rPr>
                <w:rFonts w:ascii="Times New Roman" w:eastAsia="Calibri" w:hAnsi="Times New Roman" w:cs="Times New Roman"/>
                <w:sz w:val="24"/>
                <w:szCs w:val="24"/>
              </w:rPr>
              <w:t xml:space="preserve"> (dėl šios priežasties toks siūlymas vertintinas kaip nepagrįstas ir perteklinis).</w:t>
            </w:r>
          </w:p>
          <w:p w14:paraId="2A06A3B3" w14:textId="77777777" w:rsidR="00885779" w:rsidRPr="00885779" w:rsidRDefault="00885779" w:rsidP="00885779">
            <w:pPr>
              <w:spacing w:after="160" w:line="259" w:lineRule="auto"/>
              <w:jc w:val="both"/>
              <w:rPr>
                <w:rFonts w:ascii="Times New Roman" w:eastAsia="Calibri" w:hAnsi="Times New Roman" w:cs="Times New Roman"/>
                <w:sz w:val="24"/>
                <w:szCs w:val="24"/>
              </w:rPr>
            </w:pPr>
            <w:r w:rsidRPr="00885779">
              <w:rPr>
                <w:rFonts w:ascii="Times New Roman" w:eastAsia="Calibri" w:hAnsi="Times New Roman" w:cs="Times New Roman"/>
                <w:sz w:val="24"/>
                <w:szCs w:val="24"/>
              </w:rPr>
              <w:t xml:space="preserve">Trečia, į TSPP siūlomos įtraukti nuostatos (priemonės) turėtų koreliuoti su NPP, t. y. prisidėti prie NPP siekiamo pokyčio teisingumo srityje (konkrečių rodiklių, tiesiogiai susijusių su teisingumo sistemos efektyvumo ir veiksmingumo didinimo, įgyvendinimu). </w:t>
            </w:r>
          </w:p>
          <w:p w14:paraId="3CB3546F" w14:textId="1626A179" w:rsidR="00885779" w:rsidRPr="00885779" w:rsidRDefault="00885779" w:rsidP="00885779">
            <w:pPr>
              <w:jc w:val="both"/>
              <w:rPr>
                <w:rFonts w:ascii="Times New Roman" w:hAnsi="Times New Roman" w:cs="Times New Roman"/>
                <w:sz w:val="24"/>
                <w:szCs w:val="24"/>
              </w:rPr>
            </w:pPr>
          </w:p>
        </w:tc>
      </w:tr>
      <w:tr w:rsidR="005550B9" w14:paraId="1046B673" w14:textId="77777777" w:rsidTr="005550B9">
        <w:tc>
          <w:tcPr>
            <w:tcW w:w="601" w:type="dxa"/>
          </w:tcPr>
          <w:p w14:paraId="10806BBC" w14:textId="76BACC9D"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563" w:type="dxa"/>
          </w:tcPr>
          <w:p w14:paraId="29B1B34F" w14:textId="6F56EE68"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5A02D795" w14:textId="77777777" w:rsidR="006D09F4" w:rsidRPr="006D09F4"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16.</w:t>
            </w:r>
            <w:r w:rsidRPr="006D09F4">
              <w:rPr>
                <w:rFonts w:ascii="Times New Roman" w:hAnsi="Times New Roman" w:cs="Times New Roman"/>
                <w:sz w:val="24"/>
                <w:szCs w:val="24"/>
              </w:rPr>
              <w:tab/>
              <w:t>Atkreiptinas dėmesys, kad Jungtinių Tautų žmogaus teisių institucijos yra pateikusios rekomendacijas, susijusias su teisingumu, todėl siūlome jas apsvarstyti ir pagal galimybes integruoti į plėtros programą:</w:t>
            </w:r>
          </w:p>
          <w:p w14:paraId="3A1558C7" w14:textId="77777777" w:rsidR="006D09F4" w:rsidRPr="006D09F4"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a.</w:t>
            </w:r>
            <w:r w:rsidRPr="006D09F4">
              <w:rPr>
                <w:rFonts w:ascii="Times New Roman" w:hAnsi="Times New Roman" w:cs="Times New Roman"/>
                <w:sz w:val="24"/>
                <w:szCs w:val="24"/>
              </w:rPr>
              <w:tab/>
              <w:t>Jungtinių Tautų Moterų diskriminacijos panaikinimo komiteto rekomendacijas (Nr. CEDAW/C/LTU/CO/6, §6, 8-15; 18-29; 42-47);</w:t>
            </w:r>
          </w:p>
          <w:p w14:paraId="5FFBA87A" w14:textId="77777777" w:rsidR="006D09F4" w:rsidRPr="006D09F4"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b.</w:t>
            </w:r>
            <w:r w:rsidRPr="006D09F4">
              <w:rPr>
                <w:rFonts w:ascii="Times New Roman" w:hAnsi="Times New Roman" w:cs="Times New Roman"/>
                <w:sz w:val="24"/>
                <w:szCs w:val="24"/>
              </w:rPr>
              <w:tab/>
              <w:t>Jungtinių Tautų Rasinės diskriminacijos panaikinimo komiteto rekomendacijas (Nr. CERD/C/LTU/CO/9-10, §5-6, 9-22);</w:t>
            </w:r>
          </w:p>
          <w:p w14:paraId="547B3686" w14:textId="77777777" w:rsidR="006D09F4" w:rsidRPr="006D09F4"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c.</w:t>
            </w:r>
            <w:r w:rsidRPr="006D09F4">
              <w:rPr>
                <w:rFonts w:ascii="Times New Roman" w:hAnsi="Times New Roman" w:cs="Times New Roman"/>
                <w:sz w:val="24"/>
                <w:szCs w:val="24"/>
              </w:rPr>
              <w:tab/>
              <w:t>Jungtinių Tautų Ekonominių, kultūrinių ir socialinių teisių komiteto rekomendacijas (Nr. E/C.12/LTU/CO/2) dėl romų padėties, nediskriminavimo, smurto, prekybos žmonėmis, tautinių mažumų;</w:t>
            </w:r>
          </w:p>
          <w:p w14:paraId="15E7833B" w14:textId="77777777" w:rsidR="006D09F4" w:rsidRPr="006D09F4"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d.</w:t>
            </w:r>
            <w:r w:rsidRPr="006D09F4">
              <w:rPr>
                <w:rFonts w:ascii="Times New Roman" w:hAnsi="Times New Roman" w:cs="Times New Roman"/>
                <w:sz w:val="24"/>
                <w:szCs w:val="24"/>
              </w:rPr>
              <w:tab/>
              <w:t>Jungtinių Tautų Vaiko teisių komiteto rekomendacijas (Nr. CRC/C/LTU/CO/3-4, §7, 14-21, 24-30; 50-53);</w:t>
            </w:r>
          </w:p>
          <w:p w14:paraId="6DA22C06" w14:textId="77777777" w:rsidR="006D09F4" w:rsidRPr="006D09F4"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e.</w:t>
            </w:r>
            <w:r w:rsidRPr="006D09F4">
              <w:rPr>
                <w:rFonts w:ascii="Times New Roman" w:hAnsi="Times New Roman" w:cs="Times New Roman"/>
                <w:sz w:val="24"/>
                <w:szCs w:val="24"/>
              </w:rPr>
              <w:tab/>
              <w:t xml:space="preserve">Jungtinių Tautų Neįgaliųjų teisių komiteto rekomendacijas (Nr. CRPD/C/LTU/CO/1, §6-8; 13-14; 21-22; 25-28; 32-38; 43-44; 63-64); </w:t>
            </w:r>
          </w:p>
          <w:p w14:paraId="2138B764" w14:textId="017FC7DD" w:rsidR="00696A9F" w:rsidRDefault="006D09F4" w:rsidP="006D09F4">
            <w:pPr>
              <w:jc w:val="both"/>
              <w:rPr>
                <w:rFonts w:ascii="Times New Roman" w:hAnsi="Times New Roman" w:cs="Times New Roman"/>
                <w:sz w:val="24"/>
                <w:szCs w:val="24"/>
              </w:rPr>
            </w:pPr>
            <w:r w:rsidRPr="006D09F4">
              <w:rPr>
                <w:rFonts w:ascii="Times New Roman" w:hAnsi="Times New Roman" w:cs="Times New Roman"/>
                <w:sz w:val="24"/>
                <w:szCs w:val="24"/>
              </w:rPr>
              <w:t>f.</w:t>
            </w:r>
            <w:r w:rsidRPr="006D09F4">
              <w:rPr>
                <w:rFonts w:ascii="Times New Roman" w:hAnsi="Times New Roman" w:cs="Times New Roman"/>
                <w:sz w:val="24"/>
                <w:szCs w:val="24"/>
              </w:rPr>
              <w:tab/>
              <w:t>Jungtinių Tautų Žmogaus teisių komiteto rekomendacijas (Nr. CCPR/C/LTU/CO/4, §7-12, 17-24).</w:t>
            </w:r>
          </w:p>
        </w:tc>
        <w:tc>
          <w:tcPr>
            <w:tcW w:w="6237" w:type="dxa"/>
          </w:tcPr>
          <w:p w14:paraId="507539B7" w14:textId="6954E39F" w:rsidR="00696A9F" w:rsidRPr="00EC0AB1" w:rsidRDefault="007A75AA" w:rsidP="007A75AA">
            <w:pPr>
              <w:rPr>
                <w:rFonts w:ascii="Times New Roman" w:hAnsi="Times New Roman" w:cs="Times New Roman"/>
                <w:sz w:val="24"/>
                <w:szCs w:val="24"/>
                <w:u w:val="single"/>
              </w:rPr>
            </w:pPr>
            <w:r w:rsidRPr="00EC0AB1">
              <w:rPr>
                <w:rFonts w:ascii="Times New Roman" w:hAnsi="Times New Roman" w:cs="Times New Roman"/>
                <w:sz w:val="24"/>
                <w:szCs w:val="24"/>
                <w:u w:val="single"/>
              </w:rPr>
              <w:t>Neatsižvelgta.</w:t>
            </w:r>
          </w:p>
          <w:p w14:paraId="78AD4172" w14:textId="77777777" w:rsidR="007A75AA" w:rsidRPr="00EC0AB1" w:rsidRDefault="007A75AA" w:rsidP="007A75AA">
            <w:pPr>
              <w:rPr>
                <w:rFonts w:ascii="Times New Roman" w:hAnsi="Times New Roman" w:cs="Times New Roman"/>
                <w:sz w:val="24"/>
                <w:szCs w:val="24"/>
              </w:rPr>
            </w:pPr>
          </w:p>
          <w:p w14:paraId="3C340C07" w14:textId="3BBE1717" w:rsidR="00591538" w:rsidRPr="00591538" w:rsidRDefault="007A75AA" w:rsidP="00591538">
            <w:pPr>
              <w:jc w:val="both"/>
              <w:rPr>
                <w:rFonts w:ascii="Times New Roman" w:hAnsi="Times New Roman" w:cs="Times New Roman"/>
                <w:sz w:val="24"/>
                <w:szCs w:val="24"/>
              </w:rPr>
            </w:pPr>
            <w:r>
              <w:rPr>
                <w:rFonts w:ascii="Times New Roman" w:hAnsi="Times New Roman" w:cs="Times New Roman"/>
                <w:sz w:val="24"/>
                <w:szCs w:val="24"/>
              </w:rPr>
              <w:t>SADM pateikta</w:t>
            </w:r>
            <w:r w:rsidR="00591538" w:rsidRPr="00591538">
              <w:rPr>
                <w:rFonts w:ascii="Times New Roman" w:hAnsi="Times New Roman" w:cs="Times New Roman"/>
                <w:sz w:val="24"/>
                <w:szCs w:val="24"/>
              </w:rPr>
              <w:t xml:space="preserve"> informacija susijusi su konkrečiais sprendimais sprendžiant problemas. Todėl šis pasiūlymas įvertintinas vėlesniame etape, kai bus aprašomos konkrečios priemonės ir identifikuojami jų įgyvendinimo veiksmai.</w:t>
            </w:r>
          </w:p>
          <w:p w14:paraId="17E03B11" w14:textId="33BE4D9F" w:rsidR="00591538" w:rsidRDefault="00591538" w:rsidP="00591538">
            <w:pPr>
              <w:jc w:val="both"/>
              <w:rPr>
                <w:rFonts w:ascii="Times New Roman" w:hAnsi="Times New Roman" w:cs="Times New Roman"/>
                <w:sz w:val="24"/>
                <w:szCs w:val="24"/>
              </w:rPr>
            </w:pPr>
            <w:r w:rsidRPr="00591538">
              <w:rPr>
                <w:rFonts w:ascii="Times New Roman" w:hAnsi="Times New Roman" w:cs="Times New Roman"/>
                <w:sz w:val="24"/>
                <w:szCs w:val="24"/>
              </w:rPr>
              <w:t>Papildomai pastebėtina, kad tarptautinių organizacijų rekomendacijos ir tarptautiniuose dokumentuose įtvirtinti įpareigojimai bet kokiu atveju privalo būti įgyvendinti, todėl jų netikslinga atkartoti nacionaliniuose planavimo dokumentuose.</w:t>
            </w:r>
          </w:p>
        </w:tc>
      </w:tr>
      <w:tr w:rsidR="005550B9" w14:paraId="5DADC41B" w14:textId="77777777" w:rsidTr="005550B9">
        <w:tc>
          <w:tcPr>
            <w:tcW w:w="601" w:type="dxa"/>
          </w:tcPr>
          <w:p w14:paraId="5D1B77F4" w14:textId="0FE7B7F8" w:rsidR="00696A9F" w:rsidRDefault="000E3C98" w:rsidP="00DE7AA9">
            <w:pPr>
              <w:jc w:val="center"/>
              <w:rPr>
                <w:rFonts w:ascii="Times New Roman" w:hAnsi="Times New Roman" w:cs="Times New Roman"/>
                <w:sz w:val="24"/>
                <w:szCs w:val="24"/>
              </w:rPr>
            </w:pPr>
            <w:r>
              <w:rPr>
                <w:rFonts w:ascii="Times New Roman" w:hAnsi="Times New Roman" w:cs="Times New Roman"/>
                <w:sz w:val="24"/>
                <w:szCs w:val="24"/>
              </w:rPr>
              <w:t>23.</w:t>
            </w:r>
          </w:p>
        </w:tc>
        <w:tc>
          <w:tcPr>
            <w:tcW w:w="1563" w:type="dxa"/>
          </w:tcPr>
          <w:p w14:paraId="01D5B67E" w14:textId="786964ED" w:rsidR="00696A9F" w:rsidRDefault="00432B26" w:rsidP="00DE7AA9">
            <w:pPr>
              <w:jc w:val="center"/>
              <w:rPr>
                <w:rFonts w:ascii="Times New Roman" w:hAnsi="Times New Roman" w:cs="Times New Roman"/>
                <w:sz w:val="24"/>
                <w:szCs w:val="24"/>
              </w:rPr>
            </w:pPr>
            <w:r w:rsidRPr="00432B26">
              <w:rPr>
                <w:rFonts w:ascii="Times New Roman" w:hAnsi="Times New Roman" w:cs="Times New Roman"/>
                <w:sz w:val="24"/>
                <w:szCs w:val="24"/>
              </w:rPr>
              <w:t>Lietuvos Respublikos socialinės apsaugos ir darbo ministerija</w:t>
            </w:r>
          </w:p>
        </w:tc>
        <w:tc>
          <w:tcPr>
            <w:tcW w:w="6053" w:type="dxa"/>
          </w:tcPr>
          <w:p w14:paraId="7EC6B3FF" w14:textId="30AF0B50" w:rsidR="00696A9F" w:rsidRDefault="00AC740D" w:rsidP="00860139">
            <w:pPr>
              <w:jc w:val="both"/>
              <w:rPr>
                <w:rFonts w:ascii="Times New Roman" w:hAnsi="Times New Roman" w:cs="Times New Roman"/>
                <w:sz w:val="24"/>
                <w:szCs w:val="24"/>
              </w:rPr>
            </w:pPr>
            <w:r w:rsidRPr="00AC740D">
              <w:rPr>
                <w:rFonts w:ascii="Times New Roman" w:hAnsi="Times New Roman" w:cs="Times New Roman"/>
                <w:sz w:val="24"/>
                <w:szCs w:val="24"/>
              </w:rPr>
              <w:t>17.</w:t>
            </w:r>
            <w:r w:rsidRPr="00AC740D">
              <w:rPr>
                <w:rFonts w:ascii="Times New Roman" w:hAnsi="Times New Roman" w:cs="Times New Roman"/>
                <w:sz w:val="24"/>
                <w:szCs w:val="24"/>
              </w:rPr>
              <w:tab/>
              <w:t>Taip pat pastebėtina, kad plėtros programa yra susijusi su Europos Sąjungos LGBTIQ lygybės strategija 2020-2025 m. (neapykantos nusikaltimai, civilinės asmenų teisės), 2020–2025 m. lyčių lygybės strategija (smurtas ir kitos nusikalstamos veikos) bei 2020–2025 m. kovos su rasizmu veiksmų planu (Europos Sąjungos teisė, teisėsaugos institucijų kompetencijos, lygybės duomenys).</w:t>
            </w:r>
          </w:p>
        </w:tc>
        <w:tc>
          <w:tcPr>
            <w:tcW w:w="6237" w:type="dxa"/>
          </w:tcPr>
          <w:p w14:paraId="7BD807F3" w14:textId="77777777" w:rsidR="006A654E" w:rsidRPr="00EC0AB1" w:rsidRDefault="006A654E" w:rsidP="00ED7100">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Neatsižvelgta.</w:t>
            </w:r>
          </w:p>
          <w:p w14:paraId="41C8A1C3" w14:textId="77777777" w:rsidR="006A654E" w:rsidRPr="00EC0AB1" w:rsidRDefault="006A654E" w:rsidP="00ED7100">
            <w:pPr>
              <w:jc w:val="both"/>
              <w:rPr>
                <w:rFonts w:ascii="Times New Roman" w:hAnsi="Times New Roman" w:cs="Times New Roman"/>
                <w:sz w:val="24"/>
                <w:szCs w:val="24"/>
              </w:rPr>
            </w:pPr>
          </w:p>
          <w:p w14:paraId="0A2CB272" w14:textId="279405DE" w:rsidR="00ED7100" w:rsidRPr="00ED7100" w:rsidRDefault="006A654E" w:rsidP="00ED7100">
            <w:pPr>
              <w:jc w:val="both"/>
              <w:rPr>
                <w:rFonts w:ascii="Times New Roman" w:hAnsi="Times New Roman" w:cs="Times New Roman"/>
                <w:sz w:val="24"/>
                <w:szCs w:val="24"/>
              </w:rPr>
            </w:pPr>
            <w:r>
              <w:rPr>
                <w:rFonts w:ascii="Times New Roman" w:hAnsi="Times New Roman" w:cs="Times New Roman"/>
                <w:sz w:val="24"/>
                <w:szCs w:val="24"/>
              </w:rPr>
              <w:t>SADM pateikta</w:t>
            </w:r>
            <w:r w:rsidR="00ED7100" w:rsidRPr="00ED7100">
              <w:rPr>
                <w:rFonts w:ascii="Times New Roman" w:hAnsi="Times New Roman" w:cs="Times New Roman"/>
                <w:sz w:val="24"/>
                <w:szCs w:val="24"/>
              </w:rPr>
              <w:t xml:space="preserve"> informacija susijusi su konkrečiais sprendimais sprendžiant problemas. Todėl šis pasiūlymas įvertintinas vėlesniame etape, kai bus aprašomos konkrečios priemonės ir identifikuojami jų įgyvendinimo veiksmai.</w:t>
            </w:r>
          </w:p>
          <w:p w14:paraId="27F42EA2" w14:textId="6FC6846C" w:rsidR="00ED7100" w:rsidRDefault="00ED7100" w:rsidP="00ED7100">
            <w:pPr>
              <w:jc w:val="both"/>
              <w:rPr>
                <w:rFonts w:ascii="Times New Roman" w:hAnsi="Times New Roman" w:cs="Times New Roman"/>
                <w:sz w:val="24"/>
                <w:szCs w:val="24"/>
              </w:rPr>
            </w:pPr>
            <w:r w:rsidRPr="00ED7100">
              <w:rPr>
                <w:rFonts w:ascii="Times New Roman" w:hAnsi="Times New Roman" w:cs="Times New Roman"/>
                <w:sz w:val="24"/>
                <w:szCs w:val="24"/>
              </w:rPr>
              <w:t xml:space="preserve">Papildomai pastebėtina, kad tarptautinių organizacijų rekomendacijos ir tarptautiniuose dokumentuose įtvirtinti </w:t>
            </w:r>
            <w:r w:rsidRPr="00ED7100">
              <w:rPr>
                <w:rFonts w:ascii="Times New Roman" w:hAnsi="Times New Roman" w:cs="Times New Roman"/>
                <w:sz w:val="24"/>
                <w:szCs w:val="24"/>
              </w:rPr>
              <w:lastRenderedPageBreak/>
              <w:t>įpareigojimai bet kokiu atveju privalo būti įgyvendinti, todėl jų netikslinga atkartoti nacionaliniuose planavimo dokumentuose.</w:t>
            </w:r>
          </w:p>
        </w:tc>
      </w:tr>
      <w:tr w:rsidR="00B703F1" w14:paraId="27C1AD38" w14:textId="77777777" w:rsidTr="005550B9">
        <w:tc>
          <w:tcPr>
            <w:tcW w:w="14454" w:type="dxa"/>
            <w:gridSpan w:val="4"/>
          </w:tcPr>
          <w:p w14:paraId="095C9755" w14:textId="77777777" w:rsidR="0050757F" w:rsidRDefault="0050757F" w:rsidP="00DE7AA9">
            <w:pPr>
              <w:jc w:val="center"/>
              <w:rPr>
                <w:rFonts w:ascii="Times New Roman" w:hAnsi="Times New Roman" w:cs="Times New Roman"/>
                <w:sz w:val="24"/>
                <w:szCs w:val="24"/>
              </w:rPr>
            </w:pPr>
          </w:p>
          <w:p w14:paraId="27A6095B" w14:textId="236F8C0D" w:rsidR="00B703F1" w:rsidRDefault="00DB292F" w:rsidP="00DE7AA9">
            <w:pPr>
              <w:jc w:val="center"/>
              <w:rPr>
                <w:rFonts w:ascii="Times New Roman" w:hAnsi="Times New Roman" w:cs="Times New Roman"/>
                <w:sz w:val="24"/>
                <w:szCs w:val="24"/>
              </w:rPr>
            </w:pPr>
            <w:r>
              <w:rPr>
                <w:rFonts w:ascii="Times New Roman" w:hAnsi="Times New Roman" w:cs="Times New Roman"/>
                <w:sz w:val="24"/>
                <w:szCs w:val="24"/>
              </w:rPr>
              <w:t>Lietuvos Respublikos v</w:t>
            </w:r>
            <w:r w:rsidR="00B703F1">
              <w:rPr>
                <w:rFonts w:ascii="Times New Roman" w:hAnsi="Times New Roman" w:cs="Times New Roman"/>
                <w:sz w:val="24"/>
                <w:szCs w:val="24"/>
              </w:rPr>
              <w:t>idaus reikalų ministerija</w:t>
            </w:r>
            <w:r w:rsidR="005466C6">
              <w:rPr>
                <w:rStyle w:val="Puslapioinaosnuoroda"/>
                <w:rFonts w:ascii="Times New Roman" w:hAnsi="Times New Roman" w:cs="Times New Roman"/>
                <w:sz w:val="24"/>
                <w:szCs w:val="24"/>
              </w:rPr>
              <w:footnoteReference w:id="4"/>
            </w:r>
          </w:p>
        </w:tc>
      </w:tr>
      <w:tr w:rsidR="009A4CE6" w14:paraId="243E06B1" w14:textId="77777777" w:rsidTr="005550B9">
        <w:tc>
          <w:tcPr>
            <w:tcW w:w="601" w:type="dxa"/>
          </w:tcPr>
          <w:p w14:paraId="00F03FC3" w14:textId="3DD3F091" w:rsidR="009A4CE6" w:rsidRDefault="000E3C98" w:rsidP="00DE7AA9">
            <w:pPr>
              <w:jc w:val="center"/>
              <w:rPr>
                <w:rFonts w:ascii="Times New Roman" w:hAnsi="Times New Roman" w:cs="Times New Roman"/>
                <w:sz w:val="24"/>
                <w:szCs w:val="24"/>
              </w:rPr>
            </w:pPr>
            <w:r>
              <w:rPr>
                <w:rFonts w:ascii="Times New Roman" w:hAnsi="Times New Roman" w:cs="Times New Roman"/>
                <w:sz w:val="24"/>
                <w:szCs w:val="24"/>
              </w:rPr>
              <w:t>24.</w:t>
            </w:r>
          </w:p>
        </w:tc>
        <w:tc>
          <w:tcPr>
            <w:tcW w:w="1563" w:type="dxa"/>
          </w:tcPr>
          <w:p w14:paraId="1BCACD38" w14:textId="65B154F8" w:rsidR="009A4CE6" w:rsidRDefault="00DB292F" w:rsidP="00DE7AA9">
            <w:pPr>
              <w:jc w:val="center"/>
              <w:rPr>
                <w:rFonts w:ascii="Times New Roman" w:hAnsi="Times New Roman" w:cs="Times New Roman"/>
                <w:sz w:val="24"/>
                <w:szCs w:val="24"/>
              </w:rPr>
            </w:pPr>
            <w:r>
              <w:rPr>
                <w:rFonts w:ascii="Times New Roman" w:hAnsi="Times New Roman" w:cs="Times New Roman"/>
                <w:sz w:val="24"/>
                <w:szCs w:val="24"/>
              </w:rPr>
              <w:t>Lietuvos Respublikos v</w:t>
            </w:r>
            <w:r w:rsidR="00432B26" w:rsidRPr="00432B26">
              <w:rPr>
                <w:rFonts w:ascii="Times New Roman" w:hAnsi="Times New Roman" w:cs="Times New Roman"/>
                <w:sz w:val="24"/>
                <w:szCs w:val="24"/>
              </w:rPr>
              <w:t>idaus reikalų ministerija</w:t>
            </w:r>
          </w:p>
        </w:tc>
        <w:tc>
          <w:tcPr>
            <w:tcW w:w="6053" w:type="dxa"/>
          </w:tcPr>
          <w:p w14:paraId="4E2FABB8" w14:textId="13FF9F63" w:rsidR="009A4CE6" w:rsidRPr="00B55E27" w:rsidRDefault="001A31BD" w:rsidP="00860139">
            <w:pPr>
              <w:jc w:val="both"/>
              <w:rPr>
                <w:rFonts w:ascii="Times New Roman" w:hAnsi="Times New Roman" w:cs="Times New Roman"/>
                <w:sz w:val="24"/>
                <w:szCs w:val="24"/>
              </w:rPr>
            </w:pPr>
            <w:r w:rsidRPr="001A31BD">
              <w:rPr>
                <w:rFonts w:ascii="Times New Roman" w:hAnsi="Times New Roman" w:cs="Times New Roman"/>
                <w:sz w:val="24"/>
                <w:szCs w:val="24"/>
              </w:rPr>
              <w:t>Problemų priežasčių medyje iškeltos šios 5 problemos ,,Nepakankamai veiksminga baudžiamoji politika“ priežastys: perteklinis nusikalstamų veikų kriminalizavimas, griežtų bausmių ir nepakankamo alternatyvų laisvės atėmimui taikymo tendencijos ir nepakankamai efektyvus mokymų prokurorams procesas. Šios priežastys neatspindi visos problemos, ypač tos jos dalies, kuri susijusi su ikiteisminiu tyrimu, todėl Projekte neplanuojamos priemonės tokioms priežastims šalinti. Siūlomos priemonės ir sprendžiamos problemos daugiau susijusios su Teisingumo ministerijos srityje veikiančiomis institucijomis, nors dažnai kompetencijos yra persipynusios, problemos yra kompleksinės ir negali būti sprendžiamos veikiant tik vienai ar kitai institucijai. Plėtros (pažangos) programos turi būti skirtos tam tikroms aiškiai nustatytoms problemoms spręsti (pvz.: ilgi ikiteisminio tyrimo terminai, neefektyvi baudžiamojo poveikio politika ir pan.), apimant visas suinteresuotas ir tam tikrame procese dalyvaujančias institucijas, nesvarbu, kokios ministerijos kuravimo srities kompetencijai priklauso problema. Nežiūrint sistemiškai į racionalų ir efektyvų tiek žmogiškųjų išteklių, tiek finansinių išteklių panaudojimą, problema iki galo nėra išsprendžiama.</w:t>
            </w:r>
          </w:p>
        </w:tc>
        <w:tc>
          <w:tcPr>
            <w:tcW w:w="6237" w:type="dxa"/>
          </w:tcPr>
          <w:p w14:paraId="030EB23E" w14:textId="079BFBAC" w:rsidR="00D363FB" w:rsidRPr="00EC0AB1" w:rsidRDefault="00510459" w:rsidP="0038745B">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Neatsižvelgta.</w:t>
            </w:r>
          </w:p>
          <w:p w14:paraId="45BA2244" w14:textId="77777777" w:rsidR="00D363FB" w:rsidRDefault="00D363FB" w:rsidP="0038745B">
            <w:pPr>
              <w:jc w:val="both"/>
              <w:rPr>
                <w:rFonts w:ascii="Times New Roman" w:hAnsi="Times New Roman" w:cs="Times New Roman"/>
                <w:sz w:val="24"/>
                <w:szCs w:val="24"/>
              </w:rPr>
            </w:pPr>
          </w:p>
          <w:p w14:paraId="1B9BF15D" w14:textId="65D8B58F" w:rsidR="0038745B" w:rsidRPr="0038745B" w:rsidRDefault="0038745B" w:rsidP="0038745B">
            <w:pPr>
              <w:jc w:val="both"/>
              <w:rPr>
                <w:rFonts w:ascii="Times New Roman" w:hAnsi="Times New Roman" w:cs="Times New Roman"/>
                <w:sz w:val="24"/>
                <w:szCs w:val="24"/>
              </w:rPr>
            </w:pPr>
            <w:r w:rsidRPr="0038745B">
              <w:rPr>
                <w:rFonts w:ascii="Times New Roman" w:hAnsi="Times New Roman" w:cs="Times New Roman"/>
                <w:sz w:val="24"/>
                <w:szCs w:val="24"/>
              </w:rPr>
              <w:t>Pateiktos priežastys atspindi tas problemas, kurios identifikuotos kaip spręstinos TM kompetencijos priemonėmis (teisinio reguliavimo).</w:t>
            </w:r>
          </w:p>
          <w:p w14:paraId="48874338" w14:textId="77777777" w:rsidR="0038745B" w:rsidRPr="0038745B" w:rsidRDefault="0038745B" w:rsidP="0038745B">
            <w:pPr>
              <w:jc w:val="both"/>
              <w:rPr>
                <w:rFonts w:ascii="Times New Roman" w:hAnsi="Times New Roman" w:cs="Times New Roman"/>
                <w:sz w:val="24"/>
                <w:szCs w:val="24"/>
              </w:rPr>
            </w:pPr>
            <w:r w:rsidRPr="0038745B">
              <w:rPr>
                <w:rFonts w:ascii="Times New Roman" w:hAnsi="Times New Roman" w:cs="Times New Roman"/>
                <w:sz w:val="24"/>
                <w:szCs w:val="24"/>
              </w:rPr>
              <w:t>Prokurorų mokymai, nors ir pridėti šioje dalyje, yra GP, o ne TM priemonė.</w:t>
            </w:r>
          </w:p>
          <w:p w14:paraId="082A8B4C" w14:textId="77777777" w:rsidR="0038745B" w:rsidRPr="0038745B" w:rsidRDefault="0038745B" w:rsidP="0038745B">
            <w:pPr>
              <w:jc w:val="both"/>
              <w:rPr>
                <w:rFonts w:ascii="Times New Roman" w:hAnsi="Times New Roman" w:cs="Times New Roman"/>
                <w:sz w:val="24"/>
                <w:szCs w:val="24"/>
              </w:rPr>
            </w:pPr>
            <w:r w:rsidRPr="0038745B">
              <w:rPr>
                <w:rFonts w:ascii="Times New Roman" w:hAnsi="Times New Roman" w:cs="Times New Roman"/>
                <w:sz w:val="24"/>
                <w:szCs w:val="24"/>
              </w:rPr>
              <w:t>Ikiteisminio tyrimo problemos (ypač kurios spręstinos praktinėmis, organizacinėmis priemonėmis) yra kitų plėtros programų, priskirtinų VRM, dalis (viešojo saugumo ir pan.).</w:t>
            </w:r>
          </w:p>
          <w:p w14:paraId="632E8ED1" w14:textId="5EB8A332" w:rsidR="0038745B" w:rsidRPr="0038745B" w:rsidRDefault="0038745B" w:rsidP="0038745B">
            <w:pPr>
              <w:jc w:val="both"/>
              <w:rPr>
                <w:rFonts w:ascii="Times New Roman" w:hAnsi="Times New Roman" w:cs="Times New Roman"/>
                <w:sz w:val="24"/>
                <w:szCs w:val="24"/>
              </w:rPr>
            </w:pPr>
            <w:r w:rsidRPr="0038745B">
              <w:rPr>
                <w:rFonts w:ascii="Times New Roman" w:hAnsi="Times New Roman" w:cs="Times New Roman"/>
                <w:sz w:val="24"/>
                <w:szCs w:val="24"/>
              </w:rPr>
              <w:t xml:space="preserve">Ilgi ikiteisminio tyrimo terminai nėra teisinio reguliavimo problema. Tai organizacinio pobūdžio ir praktinėmis priemonėmis spręstina problema, todėl TM negali imtis lyderystės šioje </w:t>
            </w:r>
            <w:r w:rsidR="00EF05DD">
              <w:rPr>
                <w:rFonts w:ascii="Times New Roman" w:hAnsi="Times New Roman" w:cs="Times New Roman"/>
                <w:sz w:val="24"/>
                <w:szCs w:val="24"/>
              </w:rPr>
              <w:t>srityje</w:t>
            </w:r>
            <w:r w:rsidRPr="0038745B">
              <w:rPr>
                <w:rFonts w:ascii="Times New Roman" w:hAnsi="Times New Roman" w:cs="Times New Roman"/>
                <w:sz w:val="24"/>
                <w:szCs w:val="24"/>
              </w:rPr>
              <w:t xml:space="preserve">. Be to, net ir teisinio reguliavimo priemonių, kuriomis buvo siūloma naikinti IT terminus, lyderystė priklausė VRM. </w:t>
            </w:r>
            <w:r w:rsidR="00EF05DD">
              <w:rPr>
                <w:rFonts w:ascii="Times New Roman" w:hAnsi="Times New Roman" w:cs="Times New Roman"/>
                <w:sz w:val="24"/>
                <w:szCs w:val="24"/>
              </w:rPr>
              <w:t>Pastebėtina, kad koreguojant NPP, yra pateiktas siūlymas perkelti aktualų šiam klausimui rodiklį prie 10 tikslo.</w:t>
            </w:r>
          </w:p>
          <w:p w14:paraId="0C29C836" w14:textId="0E04F68D" w:rsidR="0038745B" w:rsidRPr="0038745B" w:rsidRDefault="0038745B" w:rsidP="0038745B">
            <w:pPr>
              <w:jc w:val="both"/>
              <w:rPr>
                <w:rFonts w:ascii="Times New Roman" w:hAnsi="Times New Roman" w:cs="Times New Roman"/>
                <w:sz w:val="24"/>
                <w:szCs w:val="24"/>
              </w:rPr>
            </w:pPr>
            <w:r w:rsidRPr="0038745B">
              <w:rPr>
                <w:rFonts w:ascii="Times New Roman" w:hAnsi="Times New Roman" w:cs="Times New Roman"/>
                <w:sz w:val="24"/>
                <w:szCs w:val="24"/>
              </w:rPr>
              <w:t>TM jau inicijavo BPK pakeitimus, kuriais įtvirtintos galimybės atlikti IT ir nagrinėti baudžiamąsias bylas nuotoliniu būdu, ir daugiau neplanuoja konkrečių teisėkūros iniciatyvų, kadangi šiuo metu nėra jokių empirinių ar teorinių duomenų, kad būtina keisti BPK ir nepakanka žemesnio lygmens teisės aktų pakeitimų</w:t>
            </w:r>
            <w:r w:rsidR="00EF05DD">
              <w:rPr>
                <w:rFonts w:ascii="Times New Roman" w:hAnsi="Times New Roman" w:cs="Times New Roman"/>
                <w:sz w:val="24"/>
                <w:szCs w:val="24"/>
              </w:rPr>
              <w:t xml:space="preserve"> ar praktinių/administracinių priemonių</w:t>
            </w:r>
            <w:r w:rsidRPr="0038745B">
              <w:rPr>
                <w:rFonts w:ascii="Times New Roman" w:hAnsi="Times New Roman" w:cs="Times New Roman"/>
                <w:sz w:val="24"/>
                <w:szCs w:val="24"/>
              </w:rPr>
              <w:t xml:space="preserve">. </w:t>
            </w:r>
          </w:p>
          <w:p w14:paraId="15DB970A" w14:textId="77777777" w:rsidR="009A4CE6" w:rsidRPr="0038745B" w:rsidRDefault="009A4CE6" w:rsidP="0038745B">
            <w:pPr>
              <w:jc w:val="both"/>
              <w:rPr>
                <w:rFonts w:ascii="Times New Roman" w:hAnsi="Times New Roman" w:cs="Times New Roman"/>
                <w:sz w:val="24"/>
                <w:szCs w:val="24"/>
              </w:rPr>
            </w:pPr>
          </w:p>
        </w:tc>
      </w:tr>
      <w:tr w:rsidR="009B3A83" w14:paraId="1C5D3C60" w14:textId="77777777" w:rsidTr="005550B9">
        <w:tc>
          <w:tcPr>
            <w:tcW w:w="601" w:type="dxa"/>
          </w:tcPr>
          <w:p w14:paraId="6B3503D3" w14:textId="42D622B1" w:rsidR="009B3A83" w:rsidRDefault="000E3C98" w:rsidP="00DE7AA9">
            <w:pPr>
              <w:jc w:val="center"/>
              <w:rPr>
                <w:rFonts w:ascii="Times New Roman" w:hAnsi="Times New Roman" w:cs="Times New Roman"/>
                <w:sz w:val="24"/>
                <w:szCs w:val="24"/>
              </w:rPr>
            </w:pPr>
            <w:r>
              <w:rPr>
                <w:rFonts w:ascii="Times New Roman" w:hAnsi="Times New Roman" w:cs="Times New Roman"/>
                <w:sz w:val="24"/>
                <w:szCs w:val="24"/>
              </w:rPr>
              <w:t>25.</w:t>
            </w:r>
          </w:p>
        </w:tc>
        <w:tc>
          <w:tcPr>
            <w:tcW w:w="1563" w:type="dxa"/>
          </w:tcPr>
          <w:p w14:paraId="6BE098EE" w14:textId="512EDD53" w:rsidR="009B3A83" w:rsidRDefault="00DB292F" w:rsidP="00DE7AA9">
            <w:pPr>
              <w:jc w:val="center"/>
              <w:rPr>
                <w:rFonts w:ascii="Times New Roman" w:hAnsi="Times New Roman" w:cs="Times New Roman"/>
                <w:sz w:val="24"/>
                <w:szCs w:val="24"/>
              </w:rPr>
            </w:pPr>
            <w:r w:rsidRPr="00DB292F">
              <w:rPr>
                <w:rFonts w:ascii="Times New Roman" w:hAnsi="Times New Roman" w:cs="Times New Roman"/>
                <w:sz w:val="24"/>
                <w:szCs w:val="24"/>
              </w:rPr>
              <w:t xml:space="preserve">Lietuvos Respublikos </w:t>
            </w:r>
            <w:r w:rsidRPr="00DB292F">
              <w:rPr>
                <w:rFonts w:ascii="Times New Roman" w:hAnsi="Times New Roman" w:cs="Times New Roman"/>
                <w:sz w:val="24"/>
                <w:szCs w:val="24"/>
              </w:rPr>
              <w:lastRenderedPageBreak/>
              <w:t>vidaus reikalų ministerija</w:t>
            </w:r>
          </w:p>
        </w:tc>
        <w:tc>
          <w:tcPr>
            <w:tcW w:w="6053" w:type="dxa"/>
          </w:tcPr>
          <w:p w14:paraId="2257D63A" w14:textId="1A11C55F" w:rsidR="009B3A83" w:rsidRPr="00B55E27" w:rsidRDefault="00EE7423" w:rsidP="00860139">
            <w:pPr>
              <w:jc w:val="both"/>
              <w:rPr>
                <w:rFonts w:ascii="Times New Roman" w:hAnsi="Times New Roman" w:cs="Times New Roman"/>
                <w:sz w:val="24"/>
                <w:szCs w:val="24"/>
              </w:rPr>
            </w:pPr>
            <w:r w:rsidRPr="00EE7423">
              <w:rPr>
                <w:rFonts w:ascii="Times New Roman" w:hAnsi="Times New Roman" w:cs="Times New Roman"/>
                <w:sz w:val="24"/>
                <w:szCs w:val="24"/>
              </w:rPr>
              <w:lastRenderedPageBreak/>
              <w:t>Projekto pagrindime analizuojant sprendžiamų problemų priežastį ,,5.2. Griežtų bausmių taikymo tendencijos“,</w:t>
            </w:r>
            <w:r w:rsidRPr="00EE7423">
              <w:rPr>
                <w:rFonts w:ascii="Times New Roman" w:hAnsi="Times New Roman" w:cs="Times New Roman"/>
                <w:b/>
                <w:sz w:val="24"/>
                <w:szCs w:val="24"/>
              </w:rPr>
              <w:t xml:space="preserve"> </w:t>
            </w:r>
            <w:r w:rsidRPr="00EE7423">
              <w:rPr>
                <w:rFonts w:ascii="Times New Roman" w:hAnsi="Times New Roman" w:cs="Times New Roman"/>
                <w:sz w:val="24"/>
                <w:szCs w:val="24"/>
              </w:rPr>
              <w:lastRenderedPageBreak/>
              <w:t xml:space="preserve">iškeliamos aktualios problemos, susijusios su ilga tyrimo trukme: didelė ikiteisminius tyrimus atliekančių pareigūnų kaita, žmogiškųjų išteklių trūkumas, didelis atotrūkis tarp nusikalstamas veikas darančių asmenų ir pareigūnų specialiųjų žinių ir naudojamų technologijų, </w:t>
            </w:r>
            <w:r w:rsidRPr="00EE7423">
              <w:rPr>
                <w:rFonts w:ascii="Times New Roman" w:hAnsi="Times New Roman" w:cs="Times New Roman"/>
                <w:sz w:val="24"/>
                <w:szCs w:val="24"/>
                <w:u w:val="single"/>
              </w:rPr>
              <w:t xml:space="preserve">biurokratinės baudžiamojo proceso procedūros ir sudėtingas įrodymų fiksavimas (pvz., dubliuojamas ikiteisminiam tyrimui reikšmingų duomenų fiksavimas vaizdo / garso priemonėmis ir protokole), lemiantys perteklinių veiksmų atlikimą ir sukuriantys veiklos, orientuotos į procedūras, o ne į rezultatą, efektą </w:t>
            </w:r>
            <w:r w:rsidRPr="00EE7423">
              <w:rPr>
                <w:rFonts w:ascii="Times New Roman" w:hAnsi="Times New Roman" w:cs="Times New Roman"/>
                <w:sz w:val="24"/>
                <w:szCs w:val="24"/>
              </w:rPr>
              <w:t xml:space="preserve">ir pan., tačiau yra neaišku, kaip tai koreliuoja su griežtų bausmių taikymu, ir nenumatomos jokios priemonės šioms priežastims šalinti (pvz., inicijuoti procedūrų peržiūrą, kas yra Teisingumo ministerijos kompetencija).   </w:t>
            </w:r>
          </w:p>
        </w:tc>
        <w:tc>
          <w:tcPr>
            <w:tcW w:w="6237" w:type="dxa"/>
          </w:tcPr>
          <w:p w14:paraId="36118395" w14:textId="6C5996B8" w:rsidR="009B3A83" w:rsidRPr="00EC0AB1" w:rsidRDefault="00EF05DD" w:rsidP="00ED65FD">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Iš dalies atsižvelgta</w:t>
            </w:r>
            <w:r w:rsidR="00510459" w:rsidRPr="00EC0AB1">
              <w:rPr>
                <w:rFonts w:ascii="Times New Roman" w:hAnsi="Times New Roman" w:cs="Times New Roman"/>
                <w:sz w:val="24"/>
                <w:szCs w:val="24"/>
                <w:u w:val="single"/>
              </w:rPr>
              <w:t>.</w:t>
            </w:r>
          </w:p>
          <w:p w14:paraId="0CCE3814" w14:textId="77777777" w:rsidR="00510459" w:rsidRPr="00EC0AB1" w:rsidRDefault="00510459" w:rsidP="00ED65FD">
            <w:pPr>
              <w:jc w:val="both"/>
              <w:rPr>
                <w:rFonts w:ascii="Times New Roman" w:hAnsi="Times New Roman" w:cs="Times New Roman"/>
                <w:sz w:val="24"/>
                <w:szCs w:val="24"/>
              </w:rPr>
            </w:pPr>
          </w:p>
          <w:p w14:paraId="0F9F400D" w14:textId="77777777" w:rsidR="00DC36B4" w:rsidRPr="00DC36B4" w:rsidRDefault="00DC36B4" w:rsidP="00DC36B4">
            <w:pPr>
              <w:jc w:val="both"/>
              <w:rPr>
                <w:rFonts w:ascii="Times New Roman" w:hAnsi="Times New Roman" w:cs="Times New Roman"/>
                <w:sz w:val="24"/>
                <w:szCs w:val="24"/>
              </w:rPr>
            </w:pPr>
            <w:r w:rsidRPr="00DC36B4">
              <w:rPr>
                <w:rFonts w:ascii="Times New Roman" w:hAnsi="Times New Roman" w:cs="Times New Roman"/>
                <w:sz w:val="24"/>
                <w:szCs w:val="24"/>
              </w:rPr>
              <w:lastRenderedPageBreak/>
              <w:t xml:space="preserve">Šis sakinys įneša painiavą, tai jo galutinėje redakcijoje bus atsisakyta. Iš esmės juo ir prieš tai esančiu sakiniu bandoma akcentuoti mokymų poreikį. Be to, tam tikros priemonės yra išdėstytos ne tik kitose PP, bet ir numatytos pvz., LRV priemonių plane. Negalima visų problemų sudėti į vieną plėtros programą (joje numatytos tik stambiausios, prioritetinės ir reikalaujančios finansinių projekcijų, o taip pat koreliuojančios su atitinkamu NPP rodikliu). Kiekvienas PP sakinys negali ir neturi turėti jam dedikuotos atskiros priemonės. </w:t>
            </w:r>
          </w:p>
          <w:p w14:paraId="6B68FA0D" w14:textId="43F7FDB7" w:rsidR="00DC36B4" w:rsidRPr="00DC36B4" w:rsidRDefault="00DC36B4" w:rsidP="00DC36B4">
            <w:pPr>
              <w:jc w:val="both"/>
              <w:rPr>
                <w:rFonts w:ascii="Times New Roman" w:hAnsi="Times New Roman" w:cs="Times New Roman"/>
                <w:sz w:val="24"/>
                <w:szCs w:val="24"/>
              </w:rPr>
            </w:pPr>
            <w:r w:rsidRPr="00DC36B4">
              <w:rPr>
                <w:rFonts w:ascii="Times New Roman" w:hAnsi="Times New Roman" w:cs="Times New Roman"/>
                <w:sz w:val="24"/>
                <w:szCs w:val="24"/>
              </w:rPr>
              <w:t xml:space="preserve">Ši VRM pabraukta nuostata atsispindi LRV </w:t>
            </w:r>
            <w:r w:rsidR="00D40F2C">
              <w:rPr>
                <w:rFonts w:ascii="Times New Roman" w:hAnsi="Times New Roman" w:cs="Times New Roman"/>
                <w:sz w:val="24"/>
                <w:szCs w:val="24"/>
              </w:rPr>
              <w:t>programos nuostatų įgyvendinimo</w:t>
            </w:r>
            <w:r w:rsidR="00D40F2C" w:rsidRPr="00DC36B4">
              <w:rPr>
                <w:rFonts w:ascii="Times New Roman" w:hAnsi="Times New Roman" w:cs="Times New Roman"/>
                <w:sz w:val="24"/>
                <w:szCs w:val="24"/>
              </w:rPr>
              <w:t xml:space="preserve"> </w:t>
            </w:r>
            <w:r w:rsidRPr="00DC36B4">
              <w:rPr>
                <w:rFonts w:ascii="Times New Roman" w:hAnsi="Times New Roman" w:cs="Times New Roman"/>
                <w:sz w:val="24"/>
                <w:szCs w:val="24"/>
              </w:rPr>
              <w:t>plane:</w:t>
            </w:r>
          </w:p>
          <w:p w14:paraId="354DC1EE" w14:textId="77777777" w:rsidR="00DC36B4" w:rsidRPr="00DC36B4" w:rsidRDefault="00DC36B4" w:rsidP="00DC36B4">
            <w:pPr>
              <w:jc w:val="both"/>
              <w:rPr>
                <w:rFonts w:ascii="Times New Roman" w:hAnsi="Times New Roman" w:cs="Times New Roman"/>
                <w:sz w:val="24"/>
                <w:szCs w:val="24"/>
              </w:rPr>
            </w:pPr>
            <w:r w:rsidRPr="00DC36B4">
              <w:rPr>
                <w:rFonts w:ascii="Times New Roman" w:hAnsi="Times New Roman" w:cs="Times New Roman"/>
                <w:sz w:val="24"/>
                <w:szCs w:val="24"/>
              </w:rPr>
              <w:t xml:space="preserve">„Įvertinti ikiteisminio tyrimo veiksmų eigos ir rezultatų fiksavimo teisinį reguliavimą ir priimti Vyriausybės sprendimą dėl jo tobulinimo“ (2023 m. I – III </w:t>
            </w:r>
            <w:proofErr w:type="spellStart"/>
            <w:r w:rsidRPr="00DC36B4">
              <w:rPr>
                <w:rFonts w:ascii="Times New Roman" w:hAnsi="Times New Roman" w:cs="Times New Roman"/>
                <w:sz w:val="24"/>
                <w:szCs w:val="24"/>
              </w:rPr>
              <w:t>ketv</w:t>
            </w:r>
            <w:proofErr w:type="spellEnd"/>
            <w:r w:rsidRPr="00DC36B4">
              <w:rPr>
                <w:rFonts w:ascii="Times New Roman" w:hAnsi="Times New Roman" w:cs="Times New Roman"/>
                <w:sz w:val="24"/>
                <w:szCs w:val="24"/>
              </w:rPr>
              <w:t>.).</w:t>
            </w:r>
          </w:p>
          <w:p w14:paraId="4BBFAB0E" w14:textId="77777777" w:rsidR="00D363FB" w:rsidRDefault="00D363FB" w:rsidP="00ED65FD">
            <w:pPr>
              <w:jc w:val="both"/>
              <w:rPr>
                <w:rFonts w:ascii="Times New Roman" w:hAnsi="Times New Roman" w:cs="Times New Roman"/>
                <w:sz w:val="24"/>
                <w:szCs w:val="24"/>
              </w:rPr>
            </w:pPr>
          </w:p>
          <w:p w14:paraId="1EC23AFA" w14:textId="58F1B528" w:rsidR="00D363FB" w:rsidRPr="00ED65FD" w:rsidRDefault="00D363FB" w:rsidP="00ED65FD">
            <w:pPr>
              <w:jc w:val="both"/>
              <w:rPr>
                <w:rFonts w:ascii="Times New Roman" w:hAnsi="Times New Roman" w:cs="Times New Roman"/>
                <w:sz w:val="24"/>
                <w:szCs w:val="24"/>
              </w:rPr>
            </w:pPr>
          </w:p>
        </w:tc>
      </w:tr>
      <w:tr w:rsidR="009B3A83" w14:paraId="7DD3C962" w14:textId="77777777" w:rsidTr="005550B9">
        <w:tc>
          <w:tcPr>
            <w:tcW w:w="601" w:type="dxa"/>
          </w:tcPr>
          <w:p w14:paraId="2802DA46" w14:textId="359AB108" w:rsidR="009B3A83"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1563" w:type="dxa"/>
          </w:tcPr>
          <w:p w14:paraId="107C7754" w14:textId="0B51ED2B" w:rsidR="009B3A83" w:rsidRDefault="00DB292F" w:rsidP="00DE7AA9">
            <w:pPr>
              <w:jc w:val="center"/>
              <w:rPr>
                <w:rFonts w:ascii="Times New Roman" w:hAnsi="Times New Roman" w:cs="Times New Roman"/>
                <w:sz w:val="24"/>
                <w:szCs w:val="24"/>
              </w:rPr>
            </w:pPr>
            <w:r w:rsidRPr="00DB292F">
              <w:rPr>
                <w:rFonts w:ascii="Times New Roman" w:hAnsi="Times New Roman" w:cs="Times New Roman"/>
                <w:sz w:val="24"/>
                <w:szCs w:val="24"/>
              </w:rPr>
              <w:t>Lietuvos Respublikos vidaus reikalų ministerija</w:t>
            </w:r>
          </w:p>
        </w:tc>
        <w:tc>
          <w:tcPr>
            <w:tcW w:w="6053" w:type="dxa"/>
          </w:tcPr>
          <w:p w14:paraId="11FA7CB7" w14:textId="3ADA63B5" w:rsidR="009B3A83" w:rsidRPr="00B55E27" w:rsidRDefault="00B900C6" w:rsidP="00860139">
            <w:pPr>
              <w:jc w:val="both"/>
              <w:rPr>
                <w:rFonts w:ascii="Times New Roman" w:hAnsi="Times New Roman" w:cs="Times New Roman"/>
                <w:sz w:val="24"/>
                <w:szCs w:val="24"/>
              </w:rPr>
            </w:pPr>
            <w:r w:rsidRPr="00B900C6">
              <w:rPr>
                <w:rFonts w:ascii="Times New Roman" w:hAnsi="Times New Roman" w:cs="Times New Roman"/>
                <w:sz w:val="24"/>
                <w:szCs w:val="24"/>
              </w:rPr>
              <w:t>Analizuojant sprendžiamos problemos priežastį „5.3. Nepakankamai efektyvus mokymų prokurorams procesas“, nurodoma aktuali problematika, kad „būtina intensyvinti ikiteisminio tyrimo veiksmus bylose, kuriose nukentėjo nepilnamečiai asmenys; maksimaliai trumpinti reikalingos medžiagos ekspertizei surinkimo ir jos paskyrimo terminą, pilnai įgyvendinti „vienos“ vaiko apklausos principą, mažinti ikiteisminių tyrimų trukmę“, ir analizuojama turto tyrimo ir išplėstinio turto konfiskavimo problematika, tačiau kompleksinių priemonių, išskyrus prokurorų kvalifikacijos kėlimą, nenumatoma.</w:t>
            </w:r>
          </w:p>
        </w:tc>
        <w:tc>
          <w:tcPr>
            <w:tcW w:w="6237" w:type="dxa"/>
          </w:tcPr>
          <w:p w14:paraId="6531BE7C" w14:textId="59D5A91B" w:rsidR="009B3A83" w:rsidRPr="00EC0AB1" w:rsidRDefault="0053419D" w:rsidP="00B900C6">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t>Neatsižvelgta.</w:t>
            </w:r>
          </w:p>
          <w:p w14:paraId="7F3BD59E" w14:textId="77777777" w:rsidR="00B900C6" w:rsidRDefault="00B900C6" w:rsidP="00B900C6">
            <w:pPr>
              <w:jc w:val="both"/>
              <w:rPr>
                <w:rFonts w:ascii="Times New Roman" w:hAnsi="Times New Roman" w:cs="Times New Roman"/>
                <w:sz w:val="24"/>
                <w:szCs w:val="24"/>
              </w:rPr>
            </w:pPr>
          </w:p>
          <w:p w14:paraId="518F343C" w14:textId="1BCD2C7A" w:rsidR="00B900C6" w:rsidRPr="00B900C6" w:rsidRDefault="0039116C" w:rsidP="00B900C6">
            <w:pPr>
              <w:jc w:val="both"/>
              <w:rPr>
                <w:rFonts w:ascii="Times New Roman" w:hAnsi="Times New Roman" w:cs="Times New Roman"/>
                <w:sz w:val="24"/>
                <w:szCs w:val="24"/>
              </w:rPr>
            </w:pPr>
            <w:r w:rsidRPr="0039116C">
              <w:rPr>
                <w:rFonts w:ascii="Times New Roman" w:hAnsi="Times New Roman" w:cs="Times New Roman"/>
                <w:sz w:val="24"/>
                <w:szCs w:val="24"/>
              </w:rPr>
              <w:t xml:space="preserve">Tai papildoma GP planuojama priemonė (dėl mokymų). Kadangi problema susijusi su neefektyviu prokurorų mokymo procesu, todėl ir projektuojama priemonė, nukreipta būtent į šį procesą, o ne į kitas </w:t>
            </w:r>
            <w:r w:rsidR="00D40F2C">
              <w:rPr>
                <w:rFonts w:ascii="Times New Roman" w:hAnsi="Times New Roman" w:cs="Times New Roman"/>
                <w:sz w:val="24"/>
                <w:szCs w:val="24"/>
              </w:rPr>
              <w:t>veiklas</w:t>
            </w:r>
            <w:r w:rsidRPr="0039116C">
              <w:rPr>
                <w:rFonts w:ascii="Times New Roman" w:hAnsi="Times New Roman" w:cs="Times New Roman"/>
                <w:sz w:val="24"/>
                <w:szCs w:val="24"/>
              </w:rPr>
              <w:t>.</w:t>
            </w:r>
          </w:p>
        </w:tc>
      </w:tr>
      <w:tr w:rsidR="009B3A83" w14:paraId="6B663F66" w14:textId="77777777" w:rsidTr="005550B9">
        <w:tc>
          <w:tcPr>
            <w:tcW w:w="601" w:type="dxa"/>
          </w:tcPr>
          <w:p w14:paraId="2C93BFED" w14:textId="5CD1FB3D" w:rsidR="009B3A83" w:rsidRDefault="000E3C98" w:rsidP="00DE7AA9">
            <w:pPr>
              <w:jc w:val="center"/>
              <w:rPr>
                <w:rFonts w:ascii="Times New Roman" w:hAnsi="Times New Roman" w:cs="Times New Roman"/>
                <w:sz w:val="24"/>
                <w:szCs w:val="24"/>
              </w:rPr>
            </w:pPr>
            <w:r>
              <w:rPr>
                <w:rFonts w:ascii="Times New Roman" w:hAnsi="Times New Roman" w:cs="Times New Roman"/>
                <w:sz w:val="24"/>
                <w:szCs w:val="24"/>
              </w:rPr>
              <w:t>27.</w:t>
            </w:r>
          </w:p>
        </w:tc>
        <w:tc>
          <w:tcPr>
            <w:tcW w:w="1563" w:type="dxa"/>
          </w:tcPr>
          <w:p w14:paraId="3B36A8F6" w14:textId="6E3A0A62" w:rsidR="009B3A83" w:rsidRDefault="00DB292F" w:rsidP="00DE7AA9">
            <w:pPr>
              <w:jc w:val="center"/>
              <w:rPr>
                <w:rFonts w:ascii="Times New Roman" w:hAnsi="Times New Roman" w:cs="Times New Roman"/>
                <w:sz w:val="24"/>
                <w:szCs w:val="24"/>
              </w:rPr>
            </w:pPr>
            <w:r w:rsidRPr="00DB292F">
              <w:rPr>
                <w:rFonts w:ascii="Times New Roman" w:hAnsi="Times New Roman" w:cs="Times New Roman"/>
                <w:sz w:val="24"/>
                <w:szCs w:val="24"/>
              </w:rPr>
              <w:t>Lietuvos Respublikos vidaus reikalų ministerija</w:t>
            </w:r>
          </w:p>
        </w:tc>
        <w:tc>
          <w:tcPr>
            <w:tcW w:w="6053" w:type="dxa"/>
          </w:tcPr>
          <w:p w14:paraId="3AFCB23F" w14:textId="5149DF88" w:rsidR="009B3A83" w:rsidRPr="00B55E27" w:rsidRDefault="00F8096D" w:rsidP="00860139">
            <w:pPr>
              <w:jc w:val="both"/>
              <w:rPr>
                <w:rFonts w:ascii="Times New Roman" w:hAnsi="Times New Roman" w:cs="Times New Roman"/>
                <w:sz w:val="24"/>
                <w:szCs w:val="24"/>
              </w:rPr>
            </w:pPr>
            <w:r w:rsidRPr="00F8096D">
              <w:rPr>
                <w:rFonts w:ascii="Times New Roman" w:hAnsi="Times New Roman" w:cs="Times New Roman"/>
                <w:sz w:val="24"/>
                <w:szCs w:val="24"/>
              </w:rPr>
              <w:t xml:space="preserve">Nors Projekto pagrindime, analizuojant problemas ir jų priežastis, minima, kad būtina intensyvinti ikiteisminio tyrimo veiksmus bylose, kuriose nukentėjo nepilnamečiai asmenys; maksimaliai trumpinti reikalingos medžiagos ekspertizei surinkimo ir jos paskyrimo terminą, visiškai įgyvendinti „vienos“ vaiko apklausos principą, mažinti ikiteisminių tyrimų trukmę (5.3 priežastis „Nepakankamai </w:t>
            </w:r>
            <w:r w:rsidRPr="00F8096D">
              <w:rPr>
                <w:rFonts w:ascii="Times New Roman" w:hAnsi="Times New Roman" w:cs="Times New Roman"/>
                <w:sz w:val="24"/>
                <w:szCs w:val="24"/>
              </w:rPr>
              <w:lastRenderedPageBreak/>
              <w:t>efektyvus mokymų prokurorams procesas“), vis dėlto nekeliamos tokios aukų apsaugos problemos, kaip psichologų dalyvavimo vaikų apklausose neužtikrinimas dėl netobulos pasitelkimo sistemos. Akcentuotina, kad psichologų dalyvavimui vaikų apklausose užtikrinti tobulinant jų pasitelkimą reikėtų imtis kompleksinių veiksmų. Turėtų įsitraukti Teisingumo ministerija kartu su Valstybės garantuojamos teisinės pagalbos tarnyba, VRM, psichologų bendruomene, taip pat turėtų būti sprendžiama dėl galimo psichologų užmokesčio kėlimo. Atsižvelgiant į tai, kas paminėta, reikėtų įvertinti tiek ikiteisminį tyrimą atliekančių ikiteisminio tyrimo įstaigų, prokuratūros ir teismų psichologų skaičiaus ir kvalifikacijos poreikį, tiek pasitelkimo koordinavimo ir apmokėjimo administravimo klausimus, tiek galimybę pasitelkti informacines sistemas ne tik psichologams pasitelkti, bet ir kitiems analogiškiems organizaciniams procesams – gynėjams iškviesti, vaiko teisių apsaugos specialistams pasitelkti, teismo apklausų laikui derinti.</w:t>
            </w:r>
          </w:p>
        </w:tc>
        <w:tc>
          <w:tcPr>
            <w:tcW w:w="6237" w:type="dxa"/>
          </w:tcPr>
          <w:p w14:paraId="45536C08" w14:textId="29AA445D" w:rsidR="009B3A83" w:rsidRPr="00EC0AB1" w:rsidRDefault="0053419D" w:rsidP="00F8096D">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Neatsižvelgta.</w:t>
            </w:r>
          </w:p>
          <w:p w14:paraId="20024525" w14:textId="77777777" w:rsidR="00F8096D" w:rsidRPr="00EC0AB1" w:rsidRDefault="00F8096D" w:rsidP="00F8096D">
            <w:pPr>
              <w:jc w:val="both"/>
              <w:rPr>
                <w:rFonts w:ascii="Times New Roman" w:hAnsi="Times New Roman" w:cs="Times New Roman"/>
                <w:sz w:val="24"/>
                <w:szCs w:val="24"/>
              </w:rPr>
            </w:pPr>
          </w:p>
          <w:p w14:paraId="511824EF" w14:textId="77777777" w:rsidR="00492B9A" w:rsidRPr="00492B9A" w:rsidRDefault="00492B9A" w:rsidP="00492B9A">
            <w:pPr>
              <w:jc w:val="both"/>
              <w:rPr>
                <w:rFonts w:ascii="Times New Roman" w:hAnsi="Times New Roman" w:cs="Times New Roman"/>
                <w:sz w:val="24"/>
                <w:szCs w:val="24"/>
              </w:rPr>
            </w:pPr>
            <w:r w:rsidRPr="00492B9A">
              <w:rPr>
                <w:rFonts w:ascii="Times New Roman" w:hAnsi="Times New Roman" w:cs="Times New Roman"/>
                <w:sz w:val="24"/>
                <w:szCs w:val="24"/>
              </w:rPr>
              <w:t>Dėl psichologų pasitelkimo – problema nėra susijusi su TM NPP rodikliais. Be to, ji egzistuoja tik policijos sistemoje, šiuo klausimu yra pateikta Valstybės kontrolės ataskaita ir suformuotos atitinkamos rekomendacijos LRV ir VRM, o ne TM.</w:t>
            </w:r>
          </w:p>
          <w:p w14:paraId="264DD020" w14:textId="77777777" w:rsidR="00492B9A" w:rsidRPr="00492B9A" w:rsidRDefault="00492B9A" w:rsidP="00492B9A">
            <w:pPr>
              <w:jc w:val="both"/>
              <w:rPr>
                <w:rFonts w:ascii="Times New Roman" w:hAnsi="Times New Roman" w:cs="Times New Roman"/>
                <w:sz w:val="24"/>
                <w:szCs w:val="24"/>
              </w:rPr>
            </w:pPr>
            <w:r w:rsidRPr="00492B9A">
              <w:rPr>
                <w:rFonts w:ascii="Times New Roman" w:hAnsi="Times New Roman" w:cs="Times New Roman"/>
                <w:sz w:val="24"/>
                <w:szCs w:val="24"/>
              </w:rPr>
              <w:lastRenderedPageBreak/>
              <w:t>Taigi, tai jau šiuo metu tarpinstitucinio bendradarbiavimo keliu visai kitame formate sprendžiamas klausimas, tad negalima, o ir netikslinga dubliuoti jo PP.</w:t>
            </w:r>
          </w:p>
          <w:p w14:paraId="1236134D" w14:textId="77777777" w:rsidR="00492B9A" w:rsidRPr="00492B9A" w:rsidRDefault="00492B9A" w:rsidP="00492B9A">
            <w:pPr>
              <w:jc w:val="both"/>
              <w:rPr>
                <w:rFonts w:ascii="Times New Roman" w:hAnsi="Times New Roman" w:cs="Times New Roman"/>
                <w:sz w:val="24"/>
                <w:szCs w:val="24"/>
              </w:rPr>
            </w:pPr>
            <w:r w:rsidRPr="00492B9A">
              <w:rPr>
                <w:rFonts w:ascii="Times New Roman" w:hAnsi="Times New Roman" w:cs="Times New Roman"/>
                <w:sz w:val="24"/>
                <w:szCs w:val="24"/>
              </w:rPr>
              <w:t>Be to, tai yra praktiniai, veiklos organizavimo klausimai, kur lyderystė priklauso tikrai ne TM. Teisinis reguliavimas šiuo klausimu yra aiškus, dėl jo klausimai nekeliami.</w:t>
            </w:r>
          </w:p>
          <w:p w14:paraId="0B4EDC4D" w14:textId="2C645449" w:rsidR="00F8096D" w:rsidRPr="00F8096D" w:rsidRDefault="00F8096D" w:rsidP="00F8096D">
            <w:pPr>
              <w:jc w:val="both"/>
              <w:rPr>
                <w:rFonts w:ascii="Times New Roman" w:hAnsi="Times New Roman" w:cs="Times New Roman"/>
                <w:sz w:val="24"/>
                <w:szCs w:val="24"/>
              </w:rPr>
            </w:pPr>
          </w:p>
        </w:tc>
      </w:tr>
      <w:tr w:rsidR="009B3A83" w14:paraId="273B13DC" w14:textId="77777777" w:rsidTr="005550B9">
        <w:tc>
          <w:tcPr>
            <w:tcW w:w="601" w:type="dxa"/>
          </w:tcPr>
          <w:p w14:paraId="10E76C01" w14:textId="588C1AF0" w:rsidR="009B3A83"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563" w:type="dxa"/>
          </w:tcPr>
          <w:p w14:paraId="19271CE3" w14:textId="190C97C5" w:rsidR="009B3A83" w:rsidRDefault="00DB292F" w:rsidP="00DE7AA9">
            <w:pPr>
              <w:jc w:val="center"/>
              <w:rPr>
                <w:rFonts w:ascii="Times New Roman" w:hAnsi="Times New Roman" w:cs="Times New Roman"/>
                <w:sz w:val="24"/>
                <w:szCs w:val="24"/>
              </w:rPr>
            </w:pPr>
            <w:r w:rsidRPr="00DB292F">
              <w:rPr>
                <w:rFonts w:ascii="Times New Roman" w:hAnsi="Times New Roman" w:cs="Times New Roman"/>
                <w:sz w:val="24"/>
                <w:szCs w:val="24"/>
              </w:rPr>
              <w:t>Lietuvos Respublikos vidaus reikalų ministerija</w:t>
            </w:r>
          </w:p>
        </w:tc>
        <w:tc>
          <w:tcPr>
            <w:tcW w:w="6053" w:type="dxa"/>
          </w:tcPr>
          <w:p w14:paraId="756252DA" w14:textId="77777777" w:rsidR="000D3C75" w:rsidRPr="000D3C75" w:rsidRDefault="000D3C75" w:rsidP="000D3C75">
            <w:pPr>
              <w:jc w:val="both"/>
              <w:rPr>
                <w:rFonts w:ascii="Times New Roman" w:hAnsi="Times New Roman" w:cs="Times New Roman"/>
                <w:sz w:val="24"/>
                <w:szCs w:val="24"/>
              </w:rPr>
            </w:pPr>
            <w:r w:rsidRPr="000D3C75">
              <w:rPr>
                <w:rFonts w:ascii="Times New Roman" w:hAnsi="Times New Roman" w:cs="Times New Roman"/>
                <w:sz w:val="24"/>
                <w:szCs w:val="24"/>
              </w:rPr>
              <w:t xml:space="preserve">Projekto Nacionalinio pažangos plano (toliau – NPP) 8.1 uždaviniui „Didinti teisingumo sistemos efektyvumą ir veiksmingumą“ įgyvendinti </w:t>
            </w:r>
            <w:r w:rsidRPr="000D3C75">
              <w:rPr>
                <w:rFonts w:ascii="Times New Roman" w:hAnsi="Times New Roman" w:cs="Times New Roman"/>
                <w:b/>
                <w:sz w:val="24"/>
                <w:szCs w:val="24"/>
              </w:rPr>
              <w:t>nenumatoma palikti 8.1.4 rodiklio „Sunkių ir labai sunkių nusikaltimų, kurių ikiteisminis tyrimas truko ne ilgiau kaip 9 mėnesius, dalis“</w:t>
            </w:r>
            <w:r w:rsidRPr="000D3C75">
              <w:rPr>
                <w:rFonts w:ascii="Times New Roman" w:hAnsi="Times New Roman" w:cs="Times New Roman"/>
                <w:sz w:val="24"/>
                <w:szCs w:val="24"/>
              </w:rPr>
              <w:t xml:space="preserve">. Manome, kad šio rodiklio koordinavimas turi likti Teisingumo ministerijos kompetencija. Pažymėtina, kad šio rodiklio įgyvendinimas susijęs ne tik su VRM pavaldžių ikiteisminio tyrimo įstaigų veikla, tačiau ir su kitų šalies ikiteisminio tyrimo institucijų veikla, t. y. pirmiausia Generalinės prokuratūros, Specialiųjų tyrimų tarnybos, Muitinės kriminalinės tarnybos ir kt. Manome, kad vien ikiteisminio tyrimo įstaigos – be Generalinės prokuratūros, ikiteisminiam tyrimui vadovaujančios įstaigos, be Teisingumo ministerijos ir netgi tam tikrais atvejais be teismų </w:t>
            </w:r>
            <w:r w:rsidRPr="000D3C75">
              <w:rPr>
                <w:rFonts w:ascii="Times New Roman" w:hAnsi="Times New Roman" w:cs="Times New Roman"/>
                <w:sz w:val="24"/>
                <w:szCs w:val="24"/>
              </w:rPr>
              <w:lastRenderedPageBreak/>
              <w:t xml:space="preserve">indėlio – šio rodiklio įgyvendinti bus nepajėgios, todėl keliamos problemos turi būti sprendžiamos kompleksiškai. </w:t>
            </w:r>
          </w:p>
          <w:p w14:paraId="0C8BDEA0" w14:textId="77777777" w:rsidR="009B3A83" w:rsidRPr="00B55E27" w:rsidRDefault="009B3A83" w:rsidP="00860139">
            <w:pPr>
              <w:jc w:val="both"/>
              <w:rPr>
                <w:rFonts w:ascii="Times New Roman" w:hAnsi="Times New Roman" w:cs="Times New Roman"/>
                <w:sz w:val="24"/>
                <w:szCs w:val="24"/>
              </w:rPr>
            </w:pPr>
          </w:p>
        </w:tc>
        <w:tc>
          <w:tcPr>
            <w:tcW w:w="6237" w:type="dxa"/>
          </w:tcPr>
          <w:p w14:paraId="4E35CF74" w14:textId="450A3411" w:rsidR="009B3A83" w:rsidRPr="00EC0AB1" w:rsidRDefault="0053419D" w:rsidP="00112C95">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Neatsižvelgta.</w:t>
            </w:r>
          </w:p>
          <w:p w14:paraId="03983528" w14:textId="77777777" w:rsidR="00112C95" w:rsidRPr="00EC0AB1" w:rsidRDefault="00112C95" w:rsidP="00112C95">
            <w:pPr>
              <w:jc w:val="both"/>
              <w:rPr>
                <w:rFonts w:ascii="Times New Roman" w:hAnsi="Times New Roman" w:cs="Times New Roman"/>
                <w:sz w:val="24"/>
                <w:szCs w:val="24"/>
              </w:rPr>
            </w:pPr>
          </w:p>
          <w:p w14:paraId="28AAA984" w14:textId="77777777" w:rsidR="00112C95" w:rsidRPr="00112C95" w:rsidRDefault="00112C95" w:rsidP="00112C95">
            <w:pPr>
              <w:jc w:val="both"/>
              <w:rPr>
                <w:rFonts w:ascii="Times New Roman" w:hAnsi="Times New Roman" w:cs="Times New Roman"/>
                <w:sz w:val="24"/>
                <w:szCs w:val="24"/>
              </w:rPr>
            </w:pPr>
            <w:r w:rsidRPr="00112C95">
              <w:rPr>
                <w:rFonts w:ascii="Times New Roman" w:hAnsi="Times New Roman" w:cs="Times New Roman"/>
                <w:sz w:val="24"/>
                <w:szCs w:val="24"/>
              </w:rPr>
              <w:t xml:space="preserve">Rodiklis „8.1.4. Sunkių ir labai sunkių nusikaltimų, kurių ikiteisminis tyrimas truko ne ilgiau kaip 9 mėnesius, dalis“ parodo ikiteisminio tyrimo efektyvumą. Ikiteisminio tyrimo problematika aptariama 2021 – 2030 m. viešojo saugumo stiprinimo plėtros programoje, kurios valdytojas Vidaus reikalų ministerija ir kuri rengiama įgyvendinti NPP viešojo saugumo uždavinius (pvz., plėtros programos aptariamos tokios priežastys: 2.1. technologiniai pajėgumai atsilieka nuo pažangos, nepakankamas informacinių sistemų funkcionalumas, sąveikumas, saugumas ir efektyvumas; 2.5. stokojama žinių ir įgūdžių, specialiųjų kompetencijų (ypač tiriant nusikalstamas veikas el. erdvėje, neapykantos nusikaltimus ir neapykantą kurstančias kalbas, nusikaltimus </w:t>
            </w:r>
            <w:r w:rsidRPr="00112C95">
              <w:rPr>
                <w:rFonts w:ascii="Times New Roman" w:hAnsi="Times New Roman" w:cs="Times New Roman"/>
                <w:sz w:val="24"/>
                <w:szCs w:val="24"/>
              </w:rPr>
              <w:lastRenderedPageBreak/>
              <w:t>finansų sistemai, korupcinio pobūdžio nusikaltimų, atliekant turto ir ūkinės-finansinės veiklos tyrimus, kriminalistinius tyrimus ir ekspertizes, dirbant su informacinėmis sistemomis ir registrais); 2.6. sudėtingos, neracionalios ir nepritaikytos skaitmeninių technologijų laikotarpiui baudžiamojo proceso procedūros;).</w:t>
            </w:r>
          </w:p>
          <w:p w14:paraId="3635F137" w14:textId="77777777" w:rsidR="00112C95" w:rsidRPr="00112C95" w:rsidRDefault="00112C95" w:rsidP="00112C95">
            <w:pPr>
              <w:jc w:val="both"/>
              <w:rPr>
                <w:rFonts w:ascii="Times New Roman" w:hAnsi="Times New Roman" w:cs="Times New Roman"/>
                <w:sz w:val="24"/>
                <w:szCs w:val="24"/>
                <w:u w:val="single"/>
              </w:rPr>
            </w:pPr>
            <w:r w:rsidRPr="00112C95">
              <w:rPr>
                <w:rFonts w:ascii="Times New Roman" w:hAnsi="Times New Roman" w:cs="Times New Roman"/>
                <w:sz w:val="24"/>
                <w:szCs w:val="24"/>
                <w:u w:val="single"/>
              </w:rPr>
              <w:t xml:space="preserve">Pastebėtina, kad už LRV programos nuostatų įgyvendinimo plano investicinių veiksmų, susijusių su ikiteisminio tyrimo efektyvumo didinimu, įgyvendinimą taip pat atsakinga Vidaus reikalų ministerija (pvz., 11.6.14. Padidinti ikiteisminio tyrimo veiksmų efektyvumą, ikiteisminio ir teisminio baudžiamojo procesų sąveiką ir automatizavimą, taikant informacines technologijas;). </w:t>
            </w:r>
          </w:p>
          <w:p w14:paraId="4E7390AA" w14:textId="77777777" w:rsidR="00112C95" w:rsidRPr="00112C95" w:rsidRDefault="00112C95" w:rsidP="00112C95">
            <w:pPr>
              <w:jc w:val="both"/>
              <w:rPr>
                <w:rFonts w:ascii="Times New Roman" w:hAnsi="Times New Roman" w:cs="Times New Roman"/>
                <w:b/>
                <w:bCs/>
                <w:sz w:val="24"/>
                <w:szCs w:val="24"/>
              </w:rPr>
            </w:pPr>
            <w:r w:rsidRPr="00112C95">
              <w:rPr>
                <w:rFonts w:ascii="Times New Roman" w:hAnsi="Times New Roman" w:cs="Times New Roman"/>
                <w:b/>
                <w:bCs/>
                <w:sz w:val="24"/>
                <w:szCs w:val="24"/>
              </w:rPr>
              <w:t xml:space="preserve">Manytina, kad visa ikiteisminio tyrimo problematika turėtų būti sutelkta viename uždavinyje ir, atitinkamai, atskleista vienoje plėtros programoje, taip išvengiant fragmentiško problemos aprašymo. </w:t>
            </w:r>
          </w:p>
          <w:p w14:paraId="4281A0C0" w14:textId="77777777" w:rsidR="00112C95" w:rsidRPr="00112C95" w:rsidRDefault="00112C95" w:rsidP="00112C95">
            <w:pPr>
              <w:jc w:val="both"/>
              <w:rPr>
                <w:rFonts w:ascii="Times New Roman" w:hAnsi="Times New Roman" w:cs="Times New Roman"/>
                <w:bCs/>
                <w:sz w:val="24"/>
                <w:szCs w:val="24"/>
              </w:rPr>
            </w:pPr>
            <w:r w:rsidRPr="00112C95">
              <w:rPr>
                <w:rFonts w:ascii="Times New Roman" w:hAnsi="Times New Roman" w:cs="Times New Roman"/>
                <w:bCs/>
                <w:sz w:val="24"/>
                <w:szCs w:val="24"/>
              </w:rPr>
              <w:t>Pažymėtina, kad šiuo metu nėra empirinių duomenų, įrodančių, kad esamas BPK teisinis reguliavimas turi trūkumų, kurie būtent ir lemia ilgesnę sunkių ir labai sunkių nusikaltimų ikiteisminio tyrimo trukmę. Ilgesnė šių kategorijų tyrimo trukmė yra apspręsta 1) tam objektyvių priežasčių – natūralu, kad sudėtingų nusikalstamų veikų tyrimas yra imlesnis laikui, negu paprastų, smulkių; 2) ikiteisminio tyrimo institucijų praktinio veikimo problemomis. Be to, BPK jau šiuo metu numato IT terminus, todėl ir dėl šios priežasties TM neplanuoja imtis reguliacinių priemonių. Net, jei visgi jų ir prireiktų, lyderystė dėl to priskirtina VRM, kurios žinioje yra dauguma ikiteisminio tyrimo organizavimo klausimų, ir atsižvelgiant į tai, kad būtent VRM inicijavo BPK pakeitimus, kuriais siūlė IT terminus apskritai panaikinti.</w:t>
            </w:r>
          </w:p>
          <w:p w14:paraId="0200BB2C" w14:textId="77777777" w:rsidR="00112C95" w:rsidRPr="00112C95" w:rsidRDefault="00112C95" w:rsidP="00112C95">
            <w:pPr>
              <w:jc w:val="both"/>
              <w:rPr>
                <w:rFonts w:ascii="Times New Roman" w:hAnsi="Times New Roman" w:cs="Times New Roman"/>
                <w:sz w:val="24"/>
                <w:szCs w:val="24"/>
              </w:rPr>
            </w:pPr>
            <w:r w:rsidRPr="00112C95">
              <w:rPr>
                <w:rFonts w:ascii="Times New Roman" w:hAnsi="Times New Roman" w:cs="Times New Roman"/>
                <w:sz w:val="24"/>
                <w:szCs w:val="24"/>
              </w:rPr>
              <w:t xml:space="preserve">VRM sistemoje yra daugiausia IT įstaigų, vien policija pradeda 95 proc. IT, iš kurių 64 proc. dėl sunkių ir labai sunkių nusikaltimų. Absoliuti dauguma IT atliekama policijoje </w:t>
            </w:r>
            <w:r w:rsidRPr="00112C95">
              <w:rPr>
                <w:rFonts w:ascii="Times New Roman" w:hAnsi="Times New Roman" w:cs="Times New Roman"/>
                <w:sz w:val="24"/>
                <w:szCs w:val="24"/>
              </w:rPr>
              <w:lastRenderedPageBreak/>
              <w:t>(smurtiniai nusikaltimai, seksualiniai nusikaltimai, neblaivūs vairuotojai, vagystės, plėšimas, turto sunaikinimas ar sugadinimas, neteisėtas disponavimas narkotinėmis medžiagomis (pvz., kas kartu sudaro apytiksliai 39 tūkst. veikų iš 48 tūkst. registruotų 2019 m.), atsižvelgiant į tai neabejotina, kad didžiausias IT skaičius tenka būtent policijos pareigūnams (įstaigoms).</w:t>
            </w:r>
          </w:p>
          <w:p w14:paraId="71193D28" w14:textId="77777777" w:rsidR="00112C95" w:rsidRPr="00112C95" w:rsidRDefault="00112C95" w:rsidP="00112C95">
            <w:pPr>
              <w:jc w:val="both"/>
              <w:rPr>
                <w:rFonts w:ascii="Times New Roman" w:hAnsi="Times New Roman" w:cs="Times New Roman"/>
                <w:sz w:val="24"/>
                <w:szCs w:val="24"/>
              </w:rPr>
            </w:pPr>
            <w:r w:rsidRPr="00112C95">
              <w:rPr>
                <w:rFonts w:ascii="Times New Roman" w:hAnsi="Times New Roman" w:cs="Times New Roman"/>
                <w:sz w:val="24"/>
                <w:szCs w:val="24"/>
              </w:rPr>
              <w:t>Neaišku, koks yra TM indėlis atliekant efektyvius/greitus IT. TM kompetencijos ribose yra tik kelios pavaldžios įstaigos (VGTP, LTEC ir KD), kurios iš esmės atlieka tik epizodinį ir pagalbinį vaidmenį visame IT kontekste. Nors siūloma šį rodiklį įgyvendinti kompleksiškai, tačiau VRM iš esmės siūlo palikti atsakingu tik TM, kuri, atsižvelgiant į visas aplinkybes, turi mažiausia sąlytį su IT vykdymu.</w:t>
            </w:r>
          </w:p>
          <w:p w14:paraId="6CE84F67" w14:textId="4B1786AE" w:rsidR="00112C95" w:rsidRPr="00112C95" w:rsidRDefault="00112C95" w:rsidP="00112C95">
            <w:pPr>
              <w:jc w:val="both"/>
              <w:rPr>
                <w:rFonts w:ascii="Times New Roman" w:hAnsi="Times New Roman" w:cs="Times New Roman"/>
                <w:sz w:val="24"/>
                <w:szCs w:val="24"/>
              </w:rPr>
            </w:pPr>
          </w:p>
        </w:tc>
      </w:tr>
      <w:tr w:rsidR="00112C95" w14:paraId="0FEA7B4D" w14:textId="77777777" w:rsidTr="005550B9">
        <w:tc>
          <w:tcPr>
            <w:tcW w:w="601" w:type="dxa"/>
          </w:tcPr>
          <w:p w14:paraId="58DDCC59" w14:textId="79870812" w:rsidR="00112C95" w:rsidRDefault="000E3C98" w:rsidP="00DE7AA9">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1563" w:type="dxa"/>
          </w:tcPr>
          <w:p w14:paraId="4FF54D38" w14:textId="18F2D439" w:rsidR="00112C95" w:rsidRDefault="00DB292F" w:rsidP="00DE7AA9">
            <w:pPr>
              <w:jc w:val="center"/>
              <w:rPr>
                <w:rFonts w:ascii="Times New Roman" w:hAnsi="Times New Roman" w:cs="Times New Roman"/>
                <w:sz w:val="24"/>
                <w:szCs w:val="24"/>
              </w:rPr>
            </w:pPr>
            <w:r w:rsidRPr="00DB292F">
              <w:rPr>
                <w:rFonts w:ascii="Times New Roman" w:hAnsi="Times New Roman" w:cs="Times New Roman"/>
                <w:sz w:val="24"/>
                <w:szCs w:val="24"/>
              </w:rPr>
              <w:t>Lietuvos Respublikos vidaus reikalų ministerija</w:t>
            </w:r>
          </w:p>
        </w:tc>
        <w:tc>
          <w:tcPr>
            <w:tcW w:w="6053" w:type="dxa"/>
          </w:tcPr>
          <w:p w14:paraId="10A043D9" w14:textId="23C716FB" w:rsidR="00112C95" w:rsidRPr="000D3C75" w:rsidRDefault="00BA13CB" w:rsidP="000D3C75">
            <w:pPr>
              <w:jc w:val="both"/>
              <w:rPr>
                <w:rFonts w:ascii="Times New Roman" w:hAnsi="Times New Roman" w:cs="Times New Roman"/>
                <w:sz w:val="24"/>
                <w:szCs w:val="24"/>
              </w:rPr>
            </w:pPr>
            <w:r w:rsidRPr="00BA13CB">
              <w:rPr>
                <w:rFonts w:ascii="Times New Roman" w:hAnsi="Times New Roman" w:cs="Times New Roman"/>
                <w:sz w:val="24"/>
                <w:szCs w:val="24"/>
              </w:rPr>
              <w:t xml:space="preserve">Atkreiptinas dėmesys į tai, kad, pvz., policija, net ir labai norėdama, realiai negali užbaigti visų ikiteisminių tyrimų pagal Lietuvos Respublikos baudžiamojo proceso kodekse numatytus terminus, nes tai priklauso nuo daugelio objektyvių priežasčių – patys policijos pareigūnai turi per didelį ikiteisminių tyrimų, atliekamų vienu metu, kiekį (dėl per didelio darbo krūvio), tyrimuose reikia gauti specialistų, ekspertų išvadas, o šių ekspertizių atlikimas užtrunka ilgą laiką, ilgai negaunami iš užsienio šalių ten išsiųsti Europos tyrimo orderiai ar teisinės pagalbos prašymai ir kt. Pačių specialistų ir ekspertų trūksta, todėl objektų tyrimai ir ekspertizės atliekamos per ilgai. Be to, dabar nusikaltimus darantys asmenys naudoja vis intelektualesnes priemones, IT technologijas, tad nusikaltimų tyrimai yra sudėtingi ir ilgai užtrunka. Atsižvelgiant į tai, reikalingas sisteminis požiūris į baudžiamojo proceso teisinio reguliavimo pokyčius šalinant perteklinius veiksmus, bei iniciatyva siekti bendro visų teisėsaugą vykdančių institucijų požiūrio į procesinius sprendimus, taip pat spręstini ir finansavimo skyrimo </w:t>
            </w:r>
            <w:r w:rsidRPr="00BA13CB">
              <w:rPr>
                <w:rFonts w:ascii="Times New Roman" w:hAnsi="Times New Roman" w:cs="Times New Roman"/>
                <w:sz w:val="24"/>
                <w:szCs w:val="24"/>
              </w:rPr>
              <w:lastRenderedPageBreak/>
              <w:t>ekspertinėms įstaigoms klausimai, kad būtų padidintas reikalingų ekspertų ir specialistų skaičius, atnaujinta arba įsigyta nauja įranga. Teisingumo ministerija, kaip institucija, formuojanti valstybės politiką baudžiamosios teisės ir baudžiamojo proceso srityse, yra atsakinga už būtinus teisinio reglamentavimo pakeitimus (pvz., baudžiamojo proceso procedūrų supaprastinimas ir pakeitimas). Ikiteisminio tyrimo trukmei taip pat svarbi prokuratūros pozicija dėl tam tikrų veiksmų atlikimo (pvz., pertekliniai veiksmai nesudėtingose bylose reikalauja papildomų žmogiškųjų išteklių, kurie galėtų būti pasitelkti būtent sunkiems ir labai sunkiems nusikaltimams tirti). A</w:t>
            </w:r>
            <w:r w:rsidRPr="00BA13CB">
              <w:rPr>
                <w:rFonts w:ascii="Times New Roman" w:hAnsi="Times New Roman" w:cs="Times New Roman"/>
                <w:sz w:val="24"/>
                <w:szCs w:val="24"/>
                <w:u w:val="single"/>
              </w:rPr>
              <w:t>tsižvelgdami į tai, ką išdėstėme, manome, kad NPP 8.1.4 rodiklis „Sunkių ir labai sunkių nusikaltimų, kurių ikiteisminis tyrimas truko ne ilgiau kaip 9 mėnesius, dalis“ turi būti numatytas Projekte.</w:t>
            </w:r>
          </w:p>
        </w:tc>
        <w:tc>
          <w:tcPr>
            <w:tcW w:w="6237" w:type="dxa"/>
          </w:tcPr>
          <w:p w14:paraId="4063CAB4" w14:textId="169BA14B" w:rsidR="00112C95" w:rsidRPr="00EC0AB1" w:rsidRDefault="008E3491" w:rsidP="00112C95">
            <w:pPr>
              <w:jc w:val="both"/>
              <w:rPr>
                <w:rFonts w:ascii="Times New Roman" w:hAnsi="Times New Roman" w:cs="Times New Roman"/>
                <w:sz w:val="24"/>
                <w:szCs w:val="24"/>
                <w:u w:val="single"/>
              </w:rPr>
            </w:pPr>
            <w:r w:rsidRPr="00EC0AB1">
              <w:rPr>
                <w:rFonts w:ascii="Times New Roman" w:hAnsi="Times New Roman" w:cs="Times New Roman"/>
                <w:sz w:val="24"/>
                <w:szCs w:val="24"/>
                <w:u w:val="single"/>
              </w:rPr>
              <w:lastRenderedPageBreak/>
              <w:t>Neatsižvelgta.</w:t>
            </w:r>
          </w:p>
          <w:p w14:paraId="4F10AFFF" w14:textId="77777777" w:rsidR="00990716" w:rsidRDefault="00990716" w:rsidP="00112C95">
            <w:pPr>
              <w:jc w:val="both"/>
              <w:rPr>
                <w:rFonts w:ascii="Times New Roman" w:hAnsi="Times New Roman" w:cs="Times New Roman"/>
                <w:color w:val="FF0000"/>
                <w:sz w:val="24"/>
                <w:szCs w:val="24"/>
              </w:rPr>
            </w:pPr>
          </w:p>
          <w:p w14:paraId="4E3CB53C" w14:textId="0C8AA681" w:rsidR="00990716" w:rsidRPr="00990716" w:rsidRDefault="00990716" w:rsidP="00990716">
            <w:pPr>
              <w:jc w:val="both"/>
              <w:rPr>
                <w:rFonts w:ascii="Times New Roman" w:hAnsi="Times New Roman" w:cs="Times New Roman"/>
                <w:sz w:val="24"/>
                <w:szCs w:val="24"/>
              </w:rPr>
            </w:pPr>
            <w:r w:rsidRPr="00990716">
              <w:rPr>
                <w:rFonts w:ascii="Times New Roman" w:hAnsi="Times New Roman" w:cs="Times New Roman"/>
                <w:sz w:val="24"/>
                <w:szCs w:val="24"/>
              </w:rPr>
              <w:t>Šios aplinkybės atskleidžia tai, kad būtent VRM ir gali didžiąja dalimi užtikrinti vienos iš kertinių ilgų IT trukmės problemų – žmogiškųjų išteklių trūkumą, sprendimą. TM neturi galimybes padidinti IT pareigūnų skaičiaus, optimizuoti jų darbo įstaigų viduje, didinti PD ir kitų IT įstaigų biudžetų.</w:t>
            </w:r>
            <w:r w:rsidR="00D40F2C">
              <w:rPr>
                <w:rFonts w:ascii="Times New Roman" w:hAnsi="Times New Roman" w:cs="Times New Roman"/>
                <w:sz w:val="24"/>
                <w:szCs w:val="24"/>
              </w:rPr>
              <w:t xml:space="preserve"> Papildomai atkreiptinas dėmesys, kad aptariamas rodiklis jau daug metų yra įtrauktas į Vidaus reikalų ministro valdymo sričių strateginio veiklos plano rodiklių sąrašą.</w:t>
            </w:r>
          </w:p>
          <w:p w14:paraId="6F57A1E3" w14:textId="4F641F46" w:rsidR="00990716" w:rsidRPr="00990716" w:rsidRDefault="00990716" w:rsidP="00112C95">
            <w:pPr>
              <w:jc w:val="both"/>
              <w:rPr>
                <w:rFonts w:ascii="Times New Roman" w:hAnsi="Times New Roman" w:cs="Times New Roman"/>
                <w:sz w:val="24"/>
                <w:szCs w:val="24"/>
              </w:rPr>
            </w:pPr>
          </w:p>
        </w:tc>
      </w:tr>
      <w:tr w:rsidR="001C289D" w14:paraId="1F4E424E" w14:textId="77777777" w:rsidTr="009A608E">
        <w:tc>
          <w:tcPr>
            <w:tcW w:w="14454" w:type="dxa"/>
            <w:gridSpan w:val="4"/>
          </w:tcPr>
          <w:p w14:paraId="3D03D647" w14:textId="77777777" w:rsidR="002A2F60" w:rsidRDefault="002A2F60" w:rsidP="00DE7AA9">
            <w:pPr>
              <w:jc w:val="center"/>
              <w:rPr>
                <w:rFonts w:ascii="Times New Roman" w:hAnsi="Times New Roman" w:cs="Times New Roman"/>
                <w:sz w:val="24"/>
                <w:szCs w:val="24"/>
              </w:rPr>
            </w:pPr>
          </w:p>
          <w:p w14:paraId="13E3A56F" w14:textId="5AFD2867" w:rsidR="001C289D" w:rsidRPr="00DD31EC" w:rsidRDefault="00507455" w:rsidP="00DE7AA9">
            <w:pPr>
              <w:jc w:val="center"/>
              <w:rPr>
                <w:rFonts w:ascii="Times New Roman" w:hAnsi="Times New Roman" w:cs="Times New Roman"/>
                <w:color w:val="FF0000"/>
                <w:sz w:val="24"/>
                <w:szCs w:val="24"/>
              </w:rPr>
            </w:pPr>
            <w:r>
              <w:rPr>
                <w:rFonts w:ascii="Times New Roman" w:hAnsi="Times New Roman" w:cs="Times New Roman"/>
                <w:sz w:val="24"/>
                <w:szCs w:val="24"/>
              </w:rPr>
              <w:t>Lietuvos Respublikos e</w:t>
            </w:r>
            <w:r w:rsidR="001C289D" w:rsidRPr="00F0050A">
              <w:rPr>
                <w:rFonts w:ascii="Times New Roman" w:hAnsi="Times New Roman" w:cs="Times New Roman"/>
                <w:sz w:val="24"/>
                <w:szCs w:val="24"/>
              </w:rPr>
              <w:t>konomikos ir inovacijų ministerija</w:t>
            </w:r>
          </w:p>
        </w:tc>
      </w:tr>
      <w:tr w:rsidR="005550B9" w14:paraId="536BB23F" w14:textId="77777777" w:rsidTr="005550B9">
        <w:tc>
          <w:tcPr>
            <w:tcW w:w="601" w:type="dxa"/>
          </w:tcPr>
          <w:p w14:paraId="09305E68" w14:textId="2A058365" w:rsidR="003C3C53" w:rsidRDefault="000E3C98" w:rsidP="00DE7AA9">
            <w:pPr>
              <w:jc w:val="center"/>
              <w:rPr>
                <w:rFonts w:ascii="Times New Roman" w:hAnsi="Times New Roman" w:cs="Times New Roman"/>
                <w:sz w:val="24"/>
                <w:szCs w:val="24"/>
              </w:rPr>
            </w:pPr>
            <w:r>
              <w:rPr>
                <w:rFonts w:ascii="Times New Roman" w:hAnsi="Times New Roman" w:cs="Times New Roman"/>
                <w:sz w:val="24"/>
                <w:szCs w:val="24"/>
              </w:rPr>
              <w:t>30.</w:t>
            </w:r>
          </w:p>
        </w:tc>
        <w:tc>
          <w:tcPr>
            <w:tcW w:w="1563" w:type="dxa"/>
          </w:tcPr>
          <w:p w14:paraId="1FA27900" w14:textId="2A6BCC78" w:rsidR="003C3C53" w:rsidRDefault="00507455" w:rsidP="00DE7AA9">
            <w:pPr>
              <w:jc w:val="center"/>
              <w:rPr>
                <w:rFonts w:ascii="Times New Roman" w:hAnsi="Times New Roman" w:cs="Times New Roman"/>
                <w:sz w:val="24"/>
                <w:szCs w:val="24"/>
              </w:rPr>
            </w:pPr>
            <w:r w:rsidRPr="00507455">
              <w:rPr>
                <w:rFonts w:ascii="Times New Roman" w:hAnsi="Times New Roman" w:cs="Times New Roman"/>
                <w:sz w:val="24"/>
                <w:szCs w:val="24"/>
              </w:rPr>
              <w:t>Lietuvos Respublikos ekonomikos ir inovacijų ministerija</w:t>
            </w:r>
          </w:p>
        </w:tc>
        <w:tc>
          <w:tcPr>
            <w:tcW w:w="6053" w:type="dxa"/>
          </w:tcPr>
          <w:p w14:paraId="7E800F52" w14:textId="77777777" w:rsidR="001C289D" w:rsidRPr="004D52A1" w:rsidRDefault="001C289D" w:rsidP="001C289D">
            <w:pPr>
              <w:spacing w:line="276" w:lineRule="auto"/>
              <w:ind w:firstLine="851"/>
              <w:jc w:val="both"/>
              <w:rPr>
                <w:rFonts w:ascii="Times New Roman" w:eastAsia="Times New Roman" w:hAnsi="Times New Roman" w:cs="Times New Roman"/>
                <w:sz w:val="24"/>
                <w:szCs w:val="24"/>
                <w:lang w:eastAsia="lt-LT"/>
              </w:rPr>
            </w:pPr>
            <w:r w:rsidRPr="004D52A1">
              <w:rPr>
                <w:rFonts w:ascii="Times New Roman" w:eastAsia="Times New Roman" w:hAnsi="Times New Roman" w:cs="Times New Roman"/>
                <w:sz w:val="24"/>
                <w:szCs w:val="24"/>
                <w:lang w:eastAsia="lt-LT"/>
              </w:rPr>
              <w:t xml:space="preserve">Manome, kad </w:t>
            </w:r>
            <w:r w:rsidRPr="004D52A1">
              <w:rPr>
                <w:rFonts w:ascii="Times New Roman" w:eastAsia="Calibri" w:hAnsi="Times New Roman" w:cs="Times New Roman"/>
                <w:sz w:val="24"/>
                <w:szCs w:val="24"/>
                <w:lang w:eastAsia="lt-LT"/>
              </w:rPr>
              <w:t xml:space="preserve">Teisingumo sistemos plėtros programos projekte </w:t>
            </w:r>
            <w:r w:rsidRPr="004D52A1">
              <w:rPr>
                <w:rFonts w:ascii="Times New Roman" w:eastAsia="Times New Roman" w:hAnsi="Times New Roman" w:cs="Times New Roman"/>
                <w:sz w:val="24"/>
                <w:szCs w:val="24"/>
                <w:lang w:eastAsia="lt-LT"/>
              </w:rPr>
              <w:t>išvardytas problemas, susijusias su teisingumo sistemos efektyvumo ir veiksmingumo didinimu, efektyviu ir veiksmingu bylų nagrinėjimu, nepakankamai kokybiška ir netinkamai planuojama teisėkūra, nepakankamai veiksminga vartotojų teisių apsaugos sistema bei žemu, palyginti su kitomis Europos valstybėmis, bausmių vykdymo sistemos efektyvumu, galėtų padėti spręsti inovatyvūs metodai. Todėl, numatant atitinkamas priemones minėtoms problemoms spręsti, reikėtų pasitelkti verslo ir mokslo potencialą.</w:t>
            </w:r>
          </w:p>
          <w:p w14:paraId="11D8C46A" w14:textId="77777777" w:rsidR="001C289D" w:rsidRPr="004D52A1" w:rsidRDefault="001C289D" w:rsidP="001C289D">
            <w:pPr>
              <w:spacing w:line="276" w:lineRule="auto"/>
              <w:ind w:firstLine="851"/>
              <w:jc w:val="both"/>
              <w:rPr>
                <w:rFonts w:ascii="Times New Roman" w:eastAsia="Calibri" w:hAnsi="Times New Roman" w:cs="Times New Roman"/>
                <w:sz w:val="24"/>
                <w:szCs w:val="24"/>
                <w:lang w:eastAsia="lt-LT"/>
              </w:rPr>
            </w:pPr>
            <w:r w:rsidRPr="004D52A1">
              <w:rPr>
                <w:rFonts w:ascii="Times New Roman" w:eastAsia="Calibri" w:hAnsi="Times New Roman" w:cs="Times New Roman"/>
                <w:sz w:val="24"/>
                <w:szCs w:val="24"/>
                <w:lang w:eastAsia="lt-LT"/>
              </w:rPr>
              <w:t xml:space="preserve">Atsižvelgdami į tai, siūlome Teisingumo sistemos programos priemonių ir priemones įgyvendinančių projektų vertinimui numatyti papildomus su inovatyvumu, verslo ir </w:t>
            </w:r>
            <w:r w:rsidRPr="004D52A1">
              <w:rPr>
                <w:rFonts w:ascii="Times New Roman" w:eastAsia="Calibri" w:hAnsi="Times New Roman" w:cs="Times New Roman"/>
                <w:sz w:val="24"/>
                <w:szCs w:val="24"/>
                <w:lang w:eastAsia="lt-LT"/>
              </w:rPr>
              <w:lastRenderedPageBreak/>
              <w:t xml:space="preserve">mokslo bendradarbiavimu, MTEPI taikymu susijusius vertinimo kriterijus, o projektams, kuriems šie rodikliai būtų taikomi, numatyti skirti papildomų vertinimo balų. </w:t>
            </w:r>
          </w:p>
          <w:p w14:paraId="43F3C14B" w14:textId="77777777" w:rsidR="001C289D" w:rsidRPr="001C289D" w:rsidRDefault="001C289D" w:rsidP="001C289D">
            <w:pPr>
              <w:spacing w:line="276" w:lineRule="auto"/>
              <w:ind w:firstLine="851"/>
              <w:jc w:val="both"/>
              <w:rPr>
                <w:rFonts w:ascii="Times New Roman" w:eastAsia="Calibri" w:hAnsi="Times New Roman" w:cs="Times New Roman"/>
                <w:sz w:val="23"/>
                <w:szCs w:val="23"/>
                <w:lang w:eastAsia="lt-LT"/>
              </w:rPr>
            </w:pPr>
            <w:r w:rsidRPr="004D52A1">
              <w:rPr>
                <w:rFonts w:ascii="Times New Roman" w:eastAsia="Calibri" w:hAnsi="Times New Roman" w:cs="Times New Roman"/>
                <w:sz w:val="24"/>
                <w:szCs w:val="24"/>
                <w:lang w:eastAsia="lt-LT"/>
              </w:rPr>
              <w:t>Taip pat manome, kad Teisingumo sistemoje dalyvaujančios Teisingumo ministerijai pavaldžios viešosios įstaigos daugelį problemų galėtų spręsti pasitelkdamos inovatyvius viešuosius pirkimus. Ekonomikos ir inovacijų ministerija, siekdama skatinti inovatyvius viešuosius pirkimus, planuoja artimiausiu metu patvirtinti inovatyvių viešųjų pirkimų skatinimo planą ir inicijuoti įkurti kompetencijų centrą</w:t>
            </w:r>
            <w:r w:rsidRPr="001C289D">
              <w:rPr>
                <w:rFonts w:ascii="Times New Roman" w:eastAsia="Calibri" w:hAnsi="Times New Roman" w:cs="Times New Roman"/>
                <w:sz w:val="23"/>
                <w:szCs w:val="23"/>
                <w:lang w:eastAsia="lt-LT"/>
              </w:rPr>
              <w:t>.</w:t>
            </w:r>
          </w:p>
          <w:p w14:paraId="3708B7D6" w14:textId="77777777" w:rsidR="003C3C53" w:rsidRPr="00B55E27" w:rsidRDefault="003C3C53" w:rsidP="00860139">
            <w:pPr>
              <w:jc w:val="both"/>
              <w:rPr>
                <w:rFonts w:ascii="Times New Roman" w:hAnsi="Times New Roman" w:cs="Times New Roman"/>
                <w:sz w:val="24"/>
                <w:szCs w:val="24"/>
              </w:rPr>
            </w:pPr>
          </w:p>
        </w:tc>
        <w:tc>
          <w:tcPr>
            <w:tcW w:w="6237" w:type="dxa"/>
          </w:tcPr>
          <w:p w14:paraId="7E7D02E3" w14:textId="77777777" w:rsidR="003C3C53" w:rsidRPr="00FD51A3" w:rsidRDefault="001C289D" w:rsidP="001C289D">
            <w:pPr>
              <w:jc w:val="both"/>
              <w:rPr>
                <w:rFonts w:ascii="Times New Roman" w:hAnsi="Times New Roman" w:cs="Times New Roman"/>
                <w:sz w:val="24"/>
                <w:szCs w:val="24"/>
                <w:u w:val="single"/>
              </w:rPr>
            </w:pPr>
            <w:r w:rsidRPr="00FD51A3">
              <w:rPr>
                <w:rFonts w:ascii="Times New Roman" w:hAnsi="Times New Roman" w:cs="Times New Roman"/>
                <w:sz w:val="24"/>
                <w:szCs w:val="24"/>
                <w:u w:val="single"/>
              </w:rPr>
              <w:lastRenderedPageBreak/>
              <w:t>Atsižvelgta</w:t>
            </w:r>
          </w:p>
          <w:p w14:paraId="0E501408" w14:textId="77777777" w:rsidR="001C289D" w:rsidRPr="00F0050A" w:rsidRDefault="001C289D" w:rsidP="001C289D">
            <w:pPr>
              <w:jc w:val="both"/>
              <w:rPr>
                <w:rFonts w:ascii="Times New Roman" w:hAnsi="Times New Roman" w:cs="Times New Roman"/>
                <w:sz w:val="24"/>
                <w:szCs w:val="24"/>
              </w:rPr>
            </w:pPr>
          </w:p>
          <w:p w14:paraId="6481677A" w14:textId="438BA84D" w:rsidR="00FD51A3" w:rsidRPr="001C289D" w:rsidRDefault="00FD51A3" w:rsidP="001C289D">
            <w:pPr>
              <w:jc w:val="both"/>
              <w:rPr>
                <w:rFonts w:ascii="Times New Roman" w:hAnsi="Times New Roman" w:cs="Times New Roman"/>
                <w:sz w:val="24"/>
                <w:szCs w:val="24"/>
              </w:rPr>
            </w:pPr>
            <w:r w:rsidRPr="00F0050A">
              <w:rPr>
                <w:rFonts w:ascii="Times New Roman" w:hAnsi="Times New Roman" w:cs="Times New Roman"/>
                <w:sz w:val="24"/>
                <w:szCs w:val="24"/>
              </w:rPr>
              <w:t>Prie atitinkamų priemonių numatytas Inovatyvumo HP požymis.</w:t>
            </w:r>
          </w:p>
        </w:tc>
      </w:tr>
      <w:tr w:rsidR="000E3C98" w14:paraId="16D7B576" w14:textId="77777777" w:rsidTr="000A3894">
        <w:tc>
          <w:tcPr>
            <w:tcW w:w="14454" w:type="dxa"/>
            <w:gridSpan w:val="4"/>
          </w:tcPr>
          <w:p w14:paraId="55FD4A5E" w14:textId="77777777" w:rsidR="002A2F60" w:rsidRDefault="002A2F60" w:rsidP="000E3C98">
            <w:pPr>
              <w:jc w:val="center"/>
              <w:rPr>
                <w:rFonts w:ascii="Times New Roman" w:eastAsia="Times New Roman" w:hAnsi="Times New Roman" w:cs="Times New Roman"/>
                <w:sz w:val="24"/>
                <w:szCs w:val="24"/>
                <w:lang w:eastAsia="lt-LT"/>
              </w:rPr>
            </w:pPr>
          </w:p>
          <w:p w14:paraId="6D920BB3" w14:textId="574039FC" w:rsidR="000E3C98" w:rsidRPr="004D52A1" w:rsidRDefault="000E3C98" w:rsidP="000E3C98">
            <w:pPr>
              <w:jc w:val="center"/>
              <w:rPr>
                <w:rFonts w:ascii="Times New Roman" w:hAnsi="Times New Roman" w:cs="Times New Roman"/>
                <w:sz w:val="24"/>
                <w:szCs w:val="24"/>
                <w:u w:val="single"/>
              </w:rPr>
            </w:pPr>
            <w:r w:rsidRPr="004D52A1">
              <w:rPr>
                <w:rFonts w:ascii="Times New Roman" w:eastAsia="Times New Roman" w:hAnsi="Times New Roman" w:cs="Times New Roman"/>
                <w:sz w:val="24"/>
                <w:szCs w:val="24"/>
                <w:lang w:eastAsia="lt-LT"/>
              </w:rPr>
              <w:t>Lietuvos Respublikos aplinkos ministerija</w:t>
            </w:r>
          </w:p>
        </w:tc>
      </w:tr>
      <w:tr w:rsidR="000E3C98" w14:paraId="243161C6" w14:textId="77777777" w:rsidTr="005550B9">
        <w:tc>
          <w:tcPr>
            <w:tcW w:w="601" w:type="dxa"/>
          </w:tcPr>
          <w:p w14:paraId="2A7038DB" w14:textId="4CA384F3" w:rsidR="000E3C98" w:rsidRDefault="000E3C98" w:rsidP="00DE7AA9">
            <w:pPr>
              <w:jc w:val="center"/>
              <w:rPr>
                <w:rFonts w:ascii="Times New Roman" w:hAnsi="Times New Roman" w:cs="Times New Roman"/>
                <w:sz w:val="24"/>
                <w:szCs w:val="24"/>
              </w:rPr>
            </w:pPr>
            <w:r>
              <w:rPr>
                <w:rFonts w:ascii="Times New Roman" w:hAnsi="Times New Roman" w:cs="Times New Roman"/>
                <w:sz w:val="24"/>
                <w:szCs w:val="24"/>
              </w:rPr>
              <w:t>31.</w:t>
            </w:r>
          </w:p>
        </w:tc>
        <w:tc>
          <w:tcPr>
            <w:tcW w:w="1563" w:type="dxa"/>
          </w:tcPr>
          <w:p w14:paraId="2E41E7C0" w14:textId="2D03D465" w:rsidR="000E3C98" w:rsidRPr="004D52A1" w:rsidRDefault="001D67A8" w:rsidP="00DE7AA9">
            <w:pPr>
              <w:jc w:val="center"/>
              <w:rPr>
                <w:rFonts w:ascii="Times New Roman" w:hAnsi="Times New Roman" w:cs="Times New Roman"/>
                <w:sz w:val="24"/>
                <w:szCs w:val="24"/>
              </w:rPr>
            </w:pPr>
            <w:r w:rsidRPr="004D52A1">
              <w:rPr>
                <w:rFonts w:ascii="Times New Roman" w:hAnsi="Times New Roman" w:cs="Times New Roman"/>
                <w:sz w:val="24"/>
                <w:szCs w:val="24"/>
              </w:rPr>
              <w:t>Lietuvos Respublikos aplinkos ministerija</w:t>
            </w:r>
          </w:p>
        </w:tc>
        <w:tc>
          <w:tcPr>
            <w:tcW w:w="6053" w:type="dxa"/>
          </w:tcPr>
          <w:p w14:paraId="252CD0C2" w14:textId="77777777" w:rsidR="004D52A1" w:rsidRPr="004D52A1" w:rsidRDefault="004D52A1" w:rsidP="004D52A1">
            <w:pPr>
              <w:spacing w:line="276" w:lineRule="auto"/>
              <w:ind w:firstLine="851"/>
              <w:jc w:val="both"/>
              <w:rPr>
                <w:rFonts w:ascii="Times New Roman" w:eastAsia="Times New Roman" w:hAnsi="Times New Roman" w:cs="Times New Roman"/>
                <w:sz w:val="24"/>
                <w:szCs w:val="24"/>
                <w:lang w:eastAsia="lt-LT"/>
              </w:rPr>
            </w:pPr>
            <w:r w:rsidRPr="004D52A1">
              <w:rPr>
                <w:rFonts w:ascii="Times New Roman" w:eastAsia="Times New Roman" w:hAnsi="Times New Roman" w:cs="Times New Roman"/>
                <w:b/>
                <w:bCs/>
                <w:sz w:val="24"/>
                <w:szCs w:val="24"/>
                <w:u w:val="single"/>
                <w:lang w:eastAsia="lt-LT"/>
              </w:rPr>
              <w:t>Prie priemonės „Didinti baudžiamosios politikos veiksmingumą“ siūlome  įtraukti Darnaus vystymosi tikslų rodiklį: </w:t>
            </w:r>
          </w:p>
          <w:p w14:paraId="4351786B" w14:textId="77777777" w:rsidR="004D52A1" w:rsidRPr="004D52A1" w:rsidRDefault="004D52A1" w:rsidP="004D52A1">
            <w:pPr>
              <w:spacing w:line="276" w:lineRule="auto"/>
              <w:ind w:firstLine="851"/>
              <w:jc w:val="both"/>
              <w:rPr>
                <w:rFonts w:ascii="Times New Roman" w:eastAsia="Times New Roman" w:hAnsi="Times New Roman" w:cs="Times New Roman"/>
                <w:sz w:val="24"/>
                <w:szCs w:val="24"/>
                <w:lang w:eastAsia="lt-LT"/>
              </w:rPr>
            </w:pPr>
            <w:r w:rsidRPr="004D52A1">
              <w:rPr>
                <w:rFonts w:ascii="Times New Roman" w:eastAsia="Times New Roman" w:hAnsi="Times New Roman" w:cs="Times New Roman"/>
                <w:sz w:val="24"/>
                <w:szCs w:val="24"/>
                <w:lang w:eastAsia="lt-LT"/>
              </w:rPr>
              <w:t>16.3.2. Suimtų, bet dar nenuteistų, asmenų dalis, palyginti su bendru kalinių skaičiumi.</w:t>
            </w:r>
          </w:p>
          <w:p w14:paraId="31648173" w14:textId="77777777" w:rsidR="000E3C98" w:rsidRPr="004D52A1" w:rsidRDefault="000E3C98" w:rsidP="001C289D">
            <w:pPr>
              <w:spacing w:line="276" w:lineRule="auto"/>
              <w:ind w:firstLine="851"/>
              <w:jc w:val="both"/>
              <w:rPr>
                <w:rFonts w:ascii="Times New Roman" w:eastAsia="Times New Roman" w:hAnsi="Times New Roman" w:cs="Times New Roman"/>
                <w:sz w:val="24"/>
                <w:szCs w:val="24"/>
                <w:lang w:eastAsia="lt-LT"/>
              </w:rPr>
            </w:pPr>
          </w:p>
        </w:tc>
        <w:tc>
          <w:tcPr>
            <w:tcW w:w="6237" w:type="dxa"/>
          </w:tcPr>
          <w:p w14:paraId="0C804C76" w14:textId="77777777" w:rsidR="000E3C98" w:rsidRDefault="00CC3F62" w:rsidP="001C289D">
            <w:pPr>
              <w:jc w:val="both"/>
              <w:rPr>
                <w:rFonts w:ascii="Times New Roman" w:hAnsi="Times New Roman" w:cs="Times New Roman"/>
                <w:sz w:val="24"/>
                <w:szCs w:val="24"/>
                <w:u w:val="single"/>
              </w:rPr>
            </w:pPr>
            <w:r>
              <w:rPr>
                <w:rFonts w:ascii="Times New Roman" w:hAnsi="Times New Roman" w:cs="Times New Roman"/>
                <w:sz w:val="24"/>
                <w:szCs w:val="24"/>
                <w:u w:val="single"/>
              </w:rPr>
              <w:t>Neatsižvelgta</w:t>
            </w:r>
          </w:p>
          <w:p w14:paraId="34030D97" w14:textId="77777777" w:rsidR="00CC3F62" w:rsidRDefault="00CC3F62" w:rsidP="001C289D">
            <w:pPr>
              <w:jc w:val="both"/>
              <w:rPr>
                <w:rFonts w:ascii="Times New Roman" w:hAnsi="Times New Roman" w:cs="Times New Roman"/>
                <w:sz w:val="24"/>
                <w:szCs w:val="24"/>
                <w:u w:val="single"/>
              </w:rPr>
            </w:pPr>
          </w:p>
          <w:p w14:paraId="77C6E44D" w14:textId="41BCE05C" w:rsidR="00CC3F62" w:rsidRPr="00CC3F62" w:rsidRDefault="003C205D" w:rsidP="001C289D">
            <w:pPr>
              <w:jc w:val="both"/>
              <w:rPr>
                <w:rFonts w:ascii="Times New Roman" w:hAnsi="Times New Roman" w:cs="Times New Roman"/>
                <w:sz w:val="24"/>
                <w:szCs w:val="24"/>
              </w:rPr>
            </w:pPr>
            <w:r>
              <w:rPr>
                <w:rFonts w:ascii="Times New Roman" w:hAnsi="Times New Roman" w:cs="Times New Roman"/>
                <w:sz w:val="24"/>
                <w:szCs w:val="24"/>
              </w:rPr>
              <w:t xml:space="preserve">Manytina, kad </w:t>
            </w:r>
            <w:r w:rsidR="001C3105">
              <w:rPr>
                <w:rFonts w:ascii="Times New Roman" w:hAnsi="Times New Roman" w:cs="Times New Roman"/>
                <w:sz w:val="24"/>
                <w:szCs w:val="24"/>
              </w:rPr>
              <w:t>nustatyti siūloma rodiklį nėra tikslinga, nes</w:t>
            </w:r>
            <w:r w:rsidR="00732C8F" w:rsidRPr="00732C8F">
              <w:rPr>
                <w:rFonts w:ascii="Times New Roman" w:hAnsi="Times New Roman" w:cs="Times New Roman"/>
                <w:sz w:val="24"/>
                <w:szCs w:val="24"/>
              </w:rPr>
              <w:t xml:space="preserve"> priemonės</w:t>
            </w:r>
            <w:r w:rsidR="00D16D1F">
              <w:rPr>
                <w:rFonts w:ascii="Times New Roman" w:hAnsi="Times New Roman" w:cs="Times New Roman"/>
                <w:sz w:val="24"/>
                <w:szCs w:val="24"/>
              </w:rPr>
              <w:t xml:space="preserve"> veiklos bus </w:t>
            </w:r>
            <w:r w:rsidR="00732C8F" w:rsidRPr="00732C8F">
              <w:rPr>
                <w:rFonts w:ascii="Times New Roman" w:hAnsi="Times New Roman" w:cs="Times New Roman"/>
                <w:sz w:val="24"/>
                <w:szCs w:val="24"/>
              </w:rPr>
              <w:t xml:space="preserve">susijusios su baudžiamosios politikos subalansavimu ir sankcijų peržiūra, </w:t>
            </w:r>
            <w:r w:rsidR="00C61B03">
              <w:rPr>
                <w:rFonts w:ascii="Times New Roman" w:hAnsi="Times New Roman" w:cs="Times New Roman"/>
                <w:sz w:val="24"/>
                <w:szCs w:val="24"/>
              </w:rPr>
              <w:t>tad nedarys įtakos</w:t>
            </w:r>
            <w:r w:rsidR="00ED1951">
              <w:rPr>
                <w:rFonts w:ascii="Times New Roman" w:hAnsi="Times New Roman" w:cs="Times New Roman"/>
                <w:sz w:val="24"/>
                <w:szCs w:val="24"/>
              </w:rPr>
              <w:t xml:space="preserve"> siūlomam</w:t>
            </w:r>
            <w:r w:rsidR="00C61B03">
              <w:rPr>
                <w:rFonts w:ascii="Times New Roman" w:hAnsi="Times New Roman" w:cs="Times New Roman"/>
                <w:sz w:val="24"/>
                <w:szCs w:val="24"/>
              </w:rPr>
              <w:t xml:space="preserve"> rodikliui.</w:t>
            </w:r>
            <w:r w:rsidR="00502787">
              <w:rPr>
                <w:rFonts w:ascii="Times New Roman" w:hAnsi="Times New Roman" w:cs="Times New Roman"/>
                <w:sz w:val="24"/>
                <w:szCs w:val="24"/>
              </w:rPr>
              <w:t xml:space="preserve"> Be to,</w:t>
            </w:r>
            <w:r w:rsidR="000278AE">
              <w:rPr>
                <w:rFonts w:ascii="Times New Roman" w:hAnsi="Times New Roman" w:cs="Times New Roman"/>
                <w:sz w:val="24"/>
                <w:szCs w:val="24"/>
              </w:rPr>
              <w:t xml:space="preserve"> </w:t>
            </w:r>
            <w:r w:rsidR="00502787">
              <w:rPr>
                <w:rFonts w:ascii="Times New Roman" w:hAnsi="Times New Roman" w:cs="Times New Roman"/>
                <w:sz w:val="24"/>
                <w:szCs w:val="24"/>
              </w:rPr>
              <w:t xml:space="preserve">Lietuvos praktikoje </w:t>
            </w:r>
            <w:r w:rsidR="000278AE">
              <w:rPr>
                <w:rFonts w:ascii="Times New Roman" w:hAnsi="Times New Roman" w:cs="Times New Roman"/>
                <w:sz w:val="24"/>
                <w:szCs w:val="24"/>
              </w:rPr>
              <w:t xml:space="preserve">šiuo metu </w:t>
            </w:r>
            <w:r w:rsidR="00502787">
              <w:rPr>
                <w:rFonts w:ascii="Times New Roman" w:hAnsi="Times New Roman" w:cs="Times New Roman"/>
                <w:sz w:val="24"/>
                <w:szCs w:val="24"/>
              </w:rPr>
              <w:t>nepastebima, kad būtų problemų</w:t>
            </w:r>
            <w:r w:rsidR="000278AE">
              <w:rPr>
                <w:rFonts w:ascii="Times New Roman" w:hAnsi="Times New Roman" w:cs="Times New Roman"/>
                <w:sz w:val="24"/>
                <w:szCs w:val="24"/>
              </w:rPr>
              <w:t xml:space="preserve"> dėl </w:t>
            </w:r>
            <w:r w:rsidR="008C2DEF">
              <w:rPr>
                <w:rFonts w:ascii="Times New Roman" w:hAnsi="Times New Roman" w:cs="Times New Roman"/>
                <w:sz w:val="24"/>
                <w:szCs w:val="24"/>
              </w:rPr>
              <w:t xml:space="preserve">pernelyg ilgo suėmimo taikymo </w:t>
            </w:r>
            <w:r w:rsidR="001978A7">
              <w:rPr>
                <w:rFonts w:ascii="Times New Roman" w:hAnsi="Times New Roman" w:cs="Times New Roman"/>
                <w:sz w:val="24"/>
                <w:szCs w:val="24"/>
              </w:rPr>
              <w:t>įtariamiesiems</w:t>
            </w:r>
            <w:r w:rsidR="008C2DEF">
              <w:rPr>
                <w:rFonts w:ascii="Times New Roman" w:hAnsi="Times New Roman" w:cs="Times New Roman"/>
                <w:sz w:val="24"/>
                <w:szCs w:val="24"/>
              </w:rPr>
              <w:t xml:space="preserve"> iki </w:t>
            </w:r>
            <w:r w:rsidR="00E423A5">
              <w:rPr>
                <w:rFonts w:ascii="Times New Roman" w:hAnsi="Times New Roman" w:cs="Times New Roman"/>
                <w:sz w:val="24"/>
                <w:szCs w:val="24"/>
              </w:rPr>
              <w:t>galutinio teismo sprendimo priėmimo.</w:t>
            </w:r>
          </w:p>
        </w:tc>
      </w:tr>
    </w:tbl>
    <w:p w14:paraId="292D0E2C" w14:textId="77777777" w:rsidR="00DE7AA9" w:rsidRPr="00DE7AA9" w:rsidRDefault="00DE7AA9" w:rsidP="00DE7AA9">
      <w:pPr>
        <w:jc w:val="center"/>
        <w:rPr>
          <w:rFonts w:ascii="Times New Roman" w:hAnsi="Times New Roman" w:cs="Times New Roman"/>
          <w:sz w:val="24"/>
          <w:szCs w:val="24"/>
        </w:rPr>
      </w:pPr>
    </w:p>
    <w:sectPr w:rsidR="00DE7AA9" w:rsidRPr="00DE7AA9" w:rsidSect="00DE7AA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0742" w14:textId="77777777" w:rsidR="00C33346" w:rsidRDefault="00C33346" w:rsidP="00F61F26">
      <w:pPr>
        <w:spacing w:after="0" w:line="240" w:lineRule="auto"/>
      </w:pPr>
      <w:r>
        <w:separator/>
      </w:r>
    </w:p>
  </w:endnote>
  <w:endnote w:type="continuationSeparator" w:id="0">
    <w:p w14:paraId="469EAAE5" w14:textId="77777777" w:rsidR="00C33346" w:rsidRDefault="00C33346" w:rsidP="00F6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B3D5" w14:textId="77777777" w:rsidR="00C33346" w:rsidRDefault="00C33346" w:rsidP="00F61F26">
      <w:pPr>
        <w:spacing w:after="0" w:line="240" w:lineRule="auto"/>
      </w:pPr>
      <w:r>
        <w:separator/>
      </w:r>
    </w:p>
  </w:footnote>
  <w:footnote w:type="continuationSeparator" w:id="0">
    <w:p w14:paraId="26D71D24" w14:textId="77777777" w:rsidR="00C33346" w:rsidRDefault="00C33346" w:rsidP="00F61F26">
      <w:pPr>
        <w:spacing w:after="0" w:line="240" w:lineRule="auto"/>
      </w:pPr>
      <w:r>
        <w:continuationSeparator/>
      </w:r>
    </w:p>
  </w:footnote>
  <w:footnote w:id="1">
    <w:p w14:paraId="01C4AB33" w14:textId="77777777" w:rsidR="002D6700" w:rsidRDefault="002D6700" w:rsidP="002D6700">
      <w:pPr>
        <w:pStyle w:val="Puslapioinaostekstas"/>
      </w:pPr>
      <w:r>
        <w:rPr>
          <w:rStyle w:val="Puslapioinaosnuoroda"/>
        </w:rPr>
        <w:footnoteRef/>
      </w:r>
      <w:r>
        <w:t xml:space="preserve"> </w:t>
      </w:r>
      <w:bookmarkStart w:id="0" w:name="_Hlk68244566"/>
      <w:r w:rsidRPr="005C4E95">
        <w:t xml:space="preserve">Lietuvos Respublikos valstybės kontrolės 2020 m. birželio 22 d. valstybinio audito ataskaita „Teismų sistema“ Nr. VAE-5. </w:t>
      </w:r>
      <w:bookmarkEnd w:id="0"/>
      <w:r>
        <w:rPr>
          <w:rFonts w:ascii="Calibri" w:hAnsi="Calibri" w:cs="Vrinda"/>
        </w:rPr>
        <w:fldChar w:fldCharType="begin"/>
      </w:r>
      <w:r>
        <w:instrText xml:space="preserve"> HYPERLINK "https://www.vkontrole.lt/audito_ataskaitos.aspx?tipas=2" </w:instrText>
      </w:r>
      <w:r>
        <w:rPr>
          <w:rFonts w:ascii="Calibri" w:hAnsi="Calibri" w:cs="Vrinda"/>
        </w:rPr>
        <w:fldChar w:fldCharType="separate"/>
      </w:r>
      <w:r w:rsidRPr="005C4E95">
        <w:rPr>
          <w:rStyle w:val="Hipersaitas"/>
        </w:rPr>
        <w:t>https://www.vkontrole.lt/audito_ataskaitos.aspx?tipas=2</w:t>
      </w:r>
      <w:r>
        <w:rPr>
          <w:rStyle w:val="Hipersaitas"/>
        </w:rPr>
        <w:fldChar w:fldCharType="end"/>
      </w:r>
    </w:p>
  </w:footnote>
  <w:footnote w:id="2">
    <w:p w14:paraId="1A4C8D2F" w14:textId="77777777" w:rsidR="0029430E" w:rsidRDefault="0029430E" w:rsidP="0029430E">
      <w:pPr>
        <w:pStyle w:val="Puslapioinaostekstas"/>
      </w:pPr>
      <w:r>
        <w:rPr>
          <w:rStyle w:val="Puslapioinaosnuoroda"/>
        </w:rPr>
        <w:footnoteRef/>
      </w:r>
      <w:r>
        <w:t xml:space="preserve"> </w:t>
      </w:r>
      <w:r w:rsidRPr="004D63A7">
        <w:t>Teisėjų tarybos 2015 m. sausio 30 d. nutarimas Nr. 13P-16-(7.1.2) „Dėl Pavyzdinio pagrindinių teismų pastatų ir patalpų projektavimo ir įrengimo reikalavimų aprašo patvirtinimo“</w:t>
      </w:r>
      <w:r>
        <w:t>.</w:t>
      </w:r>
    </w:p>
  </w:footnote>
  <w:footnote w:id="3">
    <w:p w14:paraId="2A4F3F4F" w14:textId="77777777" w:rsidR="0024548B" w:rsidRDefault="0024548B" w:rsidP="0024548B">
      <w:pPr>
        <w:pStyle w:val="Puslapioinaostekstas"/>
      </w:pPr>
      <w:r>
        <w:rPr>
          <w:rStyle w:val="Puslapioinaosnuoroda"/>
        </w:rPr>
        <w:footnoteRef/>
      </w:r>
      <w:r>
        <w:t xml:space="preserve"> </w:t>
      </w:r>
      <w:r w:rsidRPr="0050628A">
        <w:t>Baudžiamosios politikos tendencijos Lietuvoje 2016 – 2019 metais. Teisingumo ministerija, 2020 m. (</w:t>
      </w:r>
      <w:hyperlink r:id="rId1" w:history="1">
        <w:r w:rsidRPr="00D001AD">
          <w:rPr>
            <w:rStyle w:val="Hipersaitas"/>
          </w:rPr>
          <w:t>https://tm.lrv.lt/uploads/tm/documents/files/BP%20analiz%C4%97%20(galutinis%20variantas)%202020%2003%2025.pdf</w:t>
        </w:r>
      </w:hyperlink>
      <w:r w:rsidRPr="0050628A">
        <w:t>).</w:t>
      </w:r>
      <w:r>
        <w:t xml:space="preserve"> </w:t>
      </w:r>
    </w:p>
  </w:footnote>
  <w:footnote w:id="4">
    <w:p w14:paraId="4542526A" w14:textId="2B3554FA" w:rsidR="005466C6" w:rsidRDefault="005466C6">
      <w:pPr>
        <w:pStyle w:val="Puslapioinaostekstas"/>
      </w:pPr>
      <w:r>
        <w:rPr>
          <w:rStyle w:val="Puslapioinaosnuoroda"/>
        </w:rPr>
        <w:footnoteRef/>
      </w:r>
      <w:r w:rsidR="009D2A74">
        <w:t xml:space="preserve">Vidaus reikalų ministerijos pastaboms aptarti </w:t>
      </w:r>
      <w:r w:rsidR="009E752B">
        <w:t>2021-05-</w:t>
      </w:r>
      <w:r w:rsidR="00E962D0">
        <w:t xml:space="preserve">27 vyko </w:t>
      </w:r>
      <w:r w:rsidR="005521DA">
        <w:t>Teisingumo ministerijos, Vidaus reikalų ministerijos ir Policijos departamento prie Vidaus reikalų ministerijos atstovų pasitarimas.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F528F"/>
    <w:multiLevelType w:val="multilevel"/>
    <w:tmpl w:val="1586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C7B0E"/>
    <w:multiLevelType w:val="multilevel"/>
    <w:tmpl w:val="3990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315B5"/>
    <w:multiLevelType w:val="hybridMultilevel"/>
    <w:tmpl w:val="1652BD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F00AE"/>
    <w:multiLevelType w:val="multilevel"/>
    <w:tmpl w:val="76E2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A9"/>
    <w:rsid w:val="000002C2"/>
    <w:rsid w:val="00001102"/>
    <w:rsid w:val="000137B0"/>
    <w:rsid w:val="00016E75"/>
    <w:rsid w:val="000175A4"/>
    <w:rsid w:val="00026C1D"/>
    <w:rsid w:val="000278AE"/>
    <w:rsid w:val="000405E2"/>
    <w:rsid w:val="00043D3F"/>
    <w:rsid w:val="0004787E"/>
    <w:rsid w:val="00053B33"/>
    <w:rsid w:val="000613DF"/>
    <w:rsid w:val="00067339"/>
    <w:rsid w:val="000729BB"/>
    <w:rsid w:val="00074B49"/>
    <w:rsid w:val="0007561C"/>
    <w:rsid w:val="00077C16"/>
    <w:rsid w:val="00082C7E"/>
    <w:rsid w:val="00082E83"/>
    <w:rsid w:val="000867E6"/>
    <w:rsid w:val="00090C63"/>
    <w:rsid w:val="00095EEC"/>
    <w:rsid w:val="000B256C"/>
    <w:rsid w:val="000B35F6"/>
    <w:rsid w:val="000B46D4"/>
    <w:rsid w:val="000B5CEC"/>
    <w:rsid w:val="000C46C7"/>
    <w:rsid w:val="000C77CE"/>
    <w:rsid w:val="000C7C5C"/>
    <w:rsid w:val="000D37E6"/>
    <w:rsid w:val="000D3C75"/>
    <w:rsid w:val="000D5E5D"/>
    <w:rsid w:val="000D73D3"/>
    <w:rsid w:val="000E3C98"/>
    <w:rsid w:val="000E490E"/>
    <w:rsid w:val="000E4CA6"/>
    <w:rsid w:val="000E7A37"/>
    <w:rsid w:val="000F4137"/>
    <w:rsid w:val="000F7CF5"/>
    <w:rsid w:val="001001D2"/>
    <w:rsid w:val="00111182"/>
    <w:rsid w:val="00112B70"/>
    <w:rsid w:val="00112C95"/>
    <w:rsid w:val="001232B9"/>
    <w:rsid w:val="001345E8"/>
    <w:rsid w:val="0013635B"/>
    <w:rsid w:val="00140E51"/>
    <w:rsid w:val="00152D0D"/>
    <w:rsid w:val="00153CF5"/>
    <w:rsid w:val="00157FF8"/>
    <w:rsid w:val="00167016"/>
    <w:rsid w:val="00171F89"/>
    <w:rsid w:val="001850BD"/>
    <w:rsid w:val="00193E79"/>
    <w:rsid w:val="0019441C"/>
    <w:rsid w:val="00195B10"/>
    <w:rsid w:val="00196143"/>
    <w:rsid w:val="00196320"/>
    <w:rsid w:val="001968B7"/>
    <w:rsid w:val="001978A7"/>
    <w:rsid w:val="001A1893"/>
    <w:rsid w:val="001A31BD"/>
    <w:rsid w:val="001B6333"/>
    <w:rsid w:val="001B721D"/>
    <w:rsid w:val="001B732C"/>
    <w:rsid w:val="001C289D"/>
    <w:rsid w:val="001C3105"/>
    <w:rsid w:val="001C49B2"/>
    <w:rsid w:val="001D67A8"/>
    <w:rsid w:val="001E3595"/>
    <w:rsid w:val="001E5943"/>
    <w:rsid w:val="001E7AF7"/>
    <w:rsid w:val="001F15FF"/>
    <w:rsid w:val="001F5560"/>
    <w:rsid w:val="001F6EF3"/>
    <w:rsid w:val="00212396"/>
    <w:rsid w:val="002159BA"/>
    <w:rsid w:val="00215F2F"/>
    <w:rsid w:val="00225EFC"/>
    <w:rsid w:val="002261D7"/>
    <w:rsid w:val="00230426"/>
    <w:rsid w:val="0023512B"/>
    <w:rsid w:val="00237924"/>
    <w:rsid w:val="00244767"/>
    <w:rsid w:val="00244EF1"/>
    <w:rsid w:val="00245298"/>
    <w:rsid w:val="0024548B"/>
    <w:rsid w:val="0026037C"/>
    <w:rsid w:val="0026077A"/>
    <w:rsid w:val="00261079"/>
    <w:rsid w:val="00263D8A"/>
    <w:rsid w:val="00264D8D"/>
    <w:rsid w:val="00266F36"/>
    <w:rsid w:val="00267A1D"/>
    <w:rsid w:val="0027294B"/>
    <w:rsid w:val="00283D9B"/>
    <w:rsid w:val="00284142"/>
    <w:rsid w:val="00285C09"/>
    <w:rsid w:val="00286A77"/>
    <w:rsid w:val="0028732B"/>
    <w:rsid w:val="00287429"/>
    <w:rsid w:val="0029430E"/>
    <w:rsid w:val="00294BF7"/>
    <w:rsid w:val="002A0CD8"/>
    <w:rsid w:val="002A2F60"/>
    <w:rsid w:val="002A5257"/>
    <w:rsid w:val="002A61A9"/>
    <w:rsid w:val="002B2AF8"/>
    <w:rsid w:val="002C32A7"/>
    <w:rsid w:val="002C3C60"/>
    <w:rsid w:val="002C42B2"/>
    <w:rsid w:val="002C784F"/>
    <w:rsid w:val="002D009B"/>
    <w:rsid w:val="002D17D8"/>
    <w:rsid w:val="002D2705"/>
    <w:rsid w:val="002D3CB5"/>
    <w:rsid w:val="002D48FC"/>
    <w:rsid w:val="002D6700"/>
    <w:rsid w:val="002F1758"/>
    <w:rsid w:val="002F2931"/>
    <w:rsid w:val="002F5A82"/>
    <w:rsid w:val="002F70D1"/>
    <w:rsid w:val="002F7AC7"/>
    <w:rsid w:val="002F7C22"/>
    <w:rsid w:val="0031258B"/>
    <w:rsid w:val="00315B86"/>
    <w:rsid w:val="0032782E"/>
    <w:rsid w:val="0034179E"/>
    <w:rsid w:val="00347B37"/>
    <w:rsid w:val="003562FC"/>
    <w:rsid w:val="00357CDF"/>
    <w:rsid w:val="00357E88"/>
    <w:rsid w:val="0036281B"/>
    <w:rsid w:val="003635FF"/>
    <w:rsid w:val="00363ADE"/>
    <w:rsid w:val="003649F8"/>
    <w:rsid w:val="0037274F"/>
    <w:rsid w:val="00373B68"/>
    <w:rsid w:val="0037578D"/>
    <w:rsid w:val="003834C2"/>
    <w:rsid w:val="0038745B"/>
    <w:rsid w:val="00387AF1"/>
    <w:rsid w:val="0039116C"/>
    <w:rsid w:val="003940A3"/>
    <w:rsid w:val="0039529D"/>
    <w:rsid w:val="0039581A"/>
    <w:rsid w:val="003A2E10"/>
    <w:rsid w:val="003A3FCB"/>
    <w:rsid w:val="003A580A"/>
    <w:rsid w:val="003A5954"/>
    <w:rsid w:val="003B02ED"/>
    <w:rsid w:val="003B579D"/>
    <w:rsid w:val="003C04B8"/>
    <w:rsid w:val="003C205D"/>
    <w:rsid w:val="003C3C53"/>
    <w:rsid w:val="003C4DBA"/>
    <w:rsid w:val="003C4F87"/>
    <w:rsid w:val="003C6220"/>
    <w:rsid w:val="003D444E"/>
    <w:rsid w:val="003D7D8C"/>
    <w:rsid w:val="003E44AC"/>
    <w:rsid w:val="003E4570"/>
    <w:rsid w:val="003E5ACB"/>
    <w:rsid w:val="003E64A0"/>
    <w:rsid w:val="003E7AAD"/>
    <w:rsid w:val="003E7BE3"/>
    <w:rsid w:val="003F49A3"/>
    <w:rsid w:val="003F530F"/>
    <w:rsid w:val="003F5694"/>
    <w:rsid w:val="0040550A"/>
    <w:rsid w:val="00412948"/>
    <w:rsid w:val="00412D04"/>
    <w:rsid w:val="00414E07"/>
    <w:rsid w:val="00417A16"/>
    <w:rsid w:val="004235B2"/>
    <w:rsid w:val="00432B26"/>
    <w:rsid w:val="004350C4"/>
    <w:rsid w:val="00441463"/>
    <w:rsid w:val="00446FFD"/>
    <w:rsid w:val="004516E3"/>
    <w:rsid w:val="00460324"/>
    <w:rsid w:val="00460B1D"/>
    <w:rsid w:val="00464879"/>
    <w:rsid w:val="004662DB"/>
    <w:rsid w:val="00482E64"/>
    <w:rsid w:val="00483434"/>
    <w:rsid w:val="00487420"/>
    <w:rsid w:val="0049183D"/>
    <w:rsid w:val="00492B9A"/>
    <w:rsid w:val="004971FA"/>
    <w:rsid w:val="00497784"/>
    <w:rsid w:val="004A35C3"/>
    <w:rsid w:val="004A3E98"/>
    <w:rsid w:val="004A52AF"/>
    <w:rsid w:val="004A5A20"/>
    <w:rsid w:val="004A7613"/>
    <w:rsid w:val="004B52D3"/>
    <w:rsid w:val="004B5F87"/>
    <w:rsid w:val="004B79C4"/>
    <w:rsid w:val="004C216A"/>
    <w:rsid w:val="004C6A45"/>
    <w:rsid w:val="004D049C"/>
    <w:rsid w:val="004D2268"/>
    <w:rsid w:val="004D438F"/>
    <w:rsid w:val="004D4738"/>
    <w:rsid w:val="004D52A1"/>
    <w:rsid w:val="004D7143"/>
    <w:rsid w:val="004E0269"/>
    <w:rsid w:val="004E05BB"/>
    <w:rsid w:val="004E0B65"/>
    <w:rsid w:val="004F70C9"/>
    <w:rsid w:val="00500567"/>
    <w:rsid w:val="00502787"/>
    <w:rsid w:val="00503CEB"/>
    <w:rsid w:val="005043E5"/>
    <w:rsid w:val="005052D9"/>
    <w:rsid w:val="005057E1"/>
    <w:rsid w:val="005064B5"/>
    <w:rsid w:val="00506CB3"/>
    <w:rsid w:val="00507455"/>
    <w:rsid w:val="0050757F"/>
    <w:rsid w:val="00510459"/>
    <w:rsid w:val="00511B07"/>
    <w:rsid w:val="0051246A"/>
    <w:rsid w:val="00512C19"/>
    <w:rsid w:val="005135CF"/>
    <w:rsid w:val="005255DB"/>
    <w:rsid w:val="0052575B"/>
    <w:rsid w:val="0052773E"/>
    <w:rsid w:val="00530F3D"/>
    <w:rsid w:val="0053419D"/>
    <w:rsid w:val="00534903"/>
    <w:rsid w:val="00540AB3"/>
    <w:rsid w:val="005466C6"/>
    <w:rsid w:val="005477E9"/>
    <w:rsid w:val="005506A9"/>
    <w:rsid w:val="005521DA"/>
    <w:rsid w:val="005550B9"/>
    <w:rsid w:val="00560D47"/>
    <w:rsid w:val="00561161"/>
    <w:rsid w:val="00561360"/>
    <w:rsid w:val="00571C11"/>
    <w:rsid w:val="005735AA"/>
    <w:rsid w:val="0057397B"/>
    <w:rsid w:val="00584DDB"/>
    <w:rsid w:val="005867DE"/>
    <w:rsid w:val="005873C2"/>
    <w:rsid w:val="00591538"/>
    <w:rsid w:val="005915EC"/>
    <w:rsid w:val="005A4530"/>
    <w:rsid w:val="005A4E08"/>
    <w:rsid w:val="005A513E"/>
    <w:rsid w:val="005B018E"/>
    <w:rsid w:val="005B326A"/>
    <w:rsid w:val="005B39FE"/>
    <w:rsid w:val="005B4744"/>
    <w:rsid w:val="005B5934"/>
    <w:rsid w:val="005C1940"/>
    <w:rsid w:val="005C6EF3"/>
    <w:rsid w:val="005D3002"/>
    <w:rsid w:val="005E1900"/>
    <w:rsid w:val="005E3F25"/>
    <w:rsid w:val="005E57D6"/>
    <w:rsid w:val="005F2ACD"/>
    <w:rsid w:val="0060177A"/>
    <w:rsid w:val="006025A1"/>
    <w:rsid w:val="00611A0E"/>
    <w:rsid w:val="00616748"/>
    <w:rsid w:val="006229E9"/>
    <w:rsid w:val="00642383"/>
    <w:rsid w:val="00645F2A"/>
    <w:rsid w:val="006468E7"/>
    <w:rsid w:val="006503D6"/>
    <w:rsid w:val="00654D97"/>
    <w:rsid w:val="00696A9F"/>
    <w:rsid w:val="006A3402"/>
    <w:rsid w:val="006A4EB4"/>
    <w:rsid w:val="006A654E"/>
    <w:rsid w:val="006B26B6"/>
    <w:rsid w:val="006B6965"/>
    <w:rsid w:val="006C02B8"/>
    <w:rsid w:val="006C1638"/>
    <w:rsid w:val="006D09F4"/>
    <w:rsid w:val="006D2DDC"/>
    <w:rsid w:val="006E02D7"/>
    <w:rsid w:val="00700677"/>
    <w:rsid w:val="00704663"/>
    <w:rsid w:val="007105D2"/>
    <w:rsid w:val="00710D7D"/>
    <w:rsid w:val="007115A6"/>
    <w:rsid w:val="0071294C"/>
    <w:rsid w:val="0071374E"/>
    <w:rsid w:val="00713CDF"/>
    <w:rsid w:val="00721BBC"/>
    <w:rsid w:val="0072437C"/>
    <w:rsid w:val="007327F3"/>
    <w:rsid w:val="00732C8F"/>
    <w:rsid w:val="00735D55"/>
    <w:rsid w:val="0074379F"/>
    <w:rsid w:val="00743FB5"/>
    <w:rsid w:val="007602C2"/>
    <w:rsid w:val="0076148B"/>
    <w:rsid w:val="00763858"/>
    <w:rsid w:val="00766B17"/>
    <w:rsid w:val="00772D73"/>
    <w:rsid w:val="00781CE9"/>
    <w:rsid w:val="00781F14"/>
    <w:rsid w:val="007864D9"/>
    <w:rsid w:val="0078670D"/>
    <w:rsid w:val="00790708"/>
    <w:rsid w:val="007A75AA"/>
    <w:rsid w:val="007A7B34"/>
    <w:rsid w:val="007B19DA"/>
    <w:rsid w:val="007B2F48"/>
    <w:rsid w:val="007B5056"/>
    <w:rsid w:val="007B7424"/>
    <w:rsid w:val="007C24AD"/>
    <w:rsid w:val="007C4E1F"/>
    <w:rsid w:val="007D0295"/>
    <w:rsid w:val="007D53B7"/>
    <w:rsid w:val="007E534C"/>
    <w:rsid w:val="007F006A"/>
    <w:rsid w:val="007F18E3"/>
    <w:rsid w:val="007F4A2F"/>
    <w:rsid w:val="008058E6"/>
    <w:rsid w:val="00807A33"/>
    <w:rsid w:val="00810B5F"/>
    <w:rsid w:val="00816B05"/>
    <w:rsid w:val="00834074"/>
    <w:rsid w:val="008459CD"/>
    <w:rsid w:val="0085073A"/>
    <w:rsid w:val="00856DF2"/>
    <w:rsid w:val="00860139"/>
    <w:rsid w:val="00871783"/>
    <w:rsid w:val="00876CB7"/>
    <w:rsid w:val="0088142D"/>
    <w:rsid w:val="008827F2"/>
    <w:rsid w:val="00885779"/>
    <w:rsid w:val="00893C81"/>
    <w:rsid w:val="00897120"/>
    <w:rsid w:val="008A5754"/>
    <w:rsid w:val="008B2615"/>
    <w:rsid w:val="008C2DEF"/>
    <w:rsid w:val="008C4958"/>
    <w:rsid w:val="008E3491"/>
    <w:rsid w:val="008E7E49"/>
    <w:rsid w:val="008F0AC3"/>
    <w:rsid w:val="008F1289"/>
    <w:rsid w:val="008F3A8E"/>
    <w:rsid w:val="008F52A4"/>
    <w:rsid w:val="008F7415"/>
    <w:rsid w:val="00906E9E"/>
    <w:rsid w:val="00907C32"/>
    <w:rsid w:val="00913524"/>
    <w:rsid w:val="0091657F"/>
    <w:rsid w:val="00916E6E"/>
    <w:rsid w:val="00920735"/>
    <w:rsid w:val="0092535F"/>
    <w:rsid w:val="00940B1B"/>
    <w:rsid w:val="0094256F"/>
    <w:rsid w:val="00944838"/>
    <w:rsid w:val="00945A83"/>
    <w:rsid w:val="00953F22"/>
    <w:rsid w:val="00955FC0"/>
    <w:rsid w:val="0096123C"/>
    <w:rsid w:val="00965F17"/>
    <w:rsid w:val="009677B4"/>
    <w:rsid w:val="00973619"/>
    <w:rsid w:val="00976098"/>
    <w:rsid w:val="00987BE8"/>
    <w:rsid w:val="00990716"/>
    <w:rsid w:val="00992BF1"/>
    <w:rsid w:val="009A0CB4"/>
    <w:rsid w:val="009A4CE6"/>
    <w:rsid w:val="009B395B"/>
    <w:rsid w:val="009B3A83"/>
    <w:rsid w:val="009C0535"/>
    <w:rsid w:val="009D232F"/>
    <w:rsid w:val="009D2A74"/>
    <w:rsid w:val="009D2DC5"/>
    <w:rsid w:val="009D3FF0"/>
    <w:rsid w:val="009D463A"/>
    <w:rsid w:val="009D7E72"/>
    <w:rsid w:val="009E1E29"/>
    <w:rsid w:val="009E2EE9"/>
    <w:rsid w:val="009E3817"/>
    <w:rsid w:val="009E752B"/>
    <w:rsid w:val="009F3DEE"/>
    <w:rsid w:val="00A01397"/>
    <w:rsid w:val="00A21851"/>
    <w:rsid w:val="00A244B0"/>
    <w:rsid w:val="00A26418"/>
    <w:rsid w:val="00A35F6A"/>
    <w:rsid w:val="00A45019"/>
    <w:rsid w:val="00A4515E"/>
    <w:rsid w:val="00A475F7"/>
    <w:rsid w:val="00A51887"/>
    <w:rsid w:val="00A563E3"/>
    <w:rsid w:val="00A607A0"/>
    <w:rsid w:val="00A608F6"/>
    <w:rsid w:val="00A672A6"/>
    <w:rsid w:val="00A75E9E"/>
    <w:rsid w:val="00A863C7"/>
    <w:rsid w:val="00AA0498"/>
    <w:rsid w:val="00AA3BBD"/>
    <w:rsid w:val="00AA4B91"/>
    <w:rsid w:val="00AB0FBB"/>
    <w:rsid w:val="00AC2363"/>
    <w:rsid w:val="00AC58F4"/>
    <w:rsid w:val="00AC740D"/>
    <w:rsid w:val="00AE4A40"/>
    <w:rsid w:val="00AE6849"/>
    <w:rsid w:val="00AF25A7"/>
    <w:rsid w:val="00AF7B44"/>
    <w:rsid w:val="00B01201"/>
    <w:rsid w:val="00B12B7C"/>
    <w:rsid w:val="00B22667"/>
    <w:rsid w:val="00B2290D"/>
    <w:rsid w:val="00B25B1C"/>
    <w:rsid w:val="00B3071A"/>
    <w:rsid w:val="00B31E9E"/>
    <w:rsid w:val="00B32CC6"/>
    <w:rsid w:val="00B46FD4"/>
    <w:rsid w:val="00B54351"/>
    <w:rsid w:val="00B55E27"/>
    <w:rsid w:val="00B56A0D"/>
    <w:rsid w:val="00B66C27"/>
    <w:rsid w:val="00B703F1"/>
    <w:rsid w:val="00B71103"/>
    <w:rsid w:val="00B8196C"/>
    <w:rsid w:val="00B900C6"/>
    <w:rsid w:val="00B92645"/>
    <w:rsid w:val="00B934F0"/>
    <w:rsid w:val="00B93C77"/>
    <w:rsid w:val="00BA13CB"/>
    <w:rsid w:val="00BA3AE4"/>
    <w:rsid w:val="00BA7155"/>
    <w:rsid w:val="00BB0C66"/>
    <w:rsid w:val="00BB255C"/>
    <w:rsid w:val="00BB3BD6"/>
    <w:rsid w:val="00BC7AE6"/>
    <w:rsid w:val="00BD18EE"/>
    <w:rsid w:val="00BD2723"/>
    <w:rsid w:val="00BD5CFC"/>
    <w:rsid w:val="00BD6C2E"/>
    <w:rsid w:val="00BE3721"/>
    <w:rsid w:val="00BE4660"/>
    <w:rsid w:val="00BF1C59"/>
    <w:rsid w:val="00C01719"/>
    <w:rsid w:val="00C1392F"/>
    <w:rsid w:val="00C1425C"/>
    <w:rsid w:val="00C21CCC"/>
    <w:rsid w:val="00C27295"/>
    <w:rsid w:val="00C313BF"/>
    <w:rsid w:val="00C319B3"/>
    <w:rsid w:val="00C33346"/>
    <w:rsid w:val="00C34E6A"/>
    <w:rsid w:val="00C3751E"/>
    <w:rsid w:val="00C37ECF"/>
    <w:rsid w:val="00C538A7"/>
    <w:rsid w:val="00C53A46"/>
    <w:rsid w:val="00C57A39"/>
    <w:rsid w:val="00C61B03"/>
    <w:rsid w:val="00C63999"/>
    <w:rsid w:val="00C652B0"/>
    <w:rsid w:val="00C70041"/>
    <w:rsid w:val="00C750B9"/>
    <w:rsid w:val="00C8097B"/>
    <w:rsid w:val="00C85296"/>
    <w:rsid w:val="00CA0708"/>
    <w:rsid w:val="00CA0714"/>
    <w:rsid w:val="00CA3635"/>
    <w:rsid w:val="00CB4A98"/>
    <w:rsid w:val="00CB59A6"/>
    <w:rsid w:val="00CB754E"/>
    <w:rsid w:val="00CB7DAE"/>
    <w:rsid w:val="00CC3319"/>
    <w:rsid w:val="00CC3F62"/>
    <w:rsid w:val="00CC7249"/>
    <w:rsid w:val="00CD2D28"/>
    <w:rsid w:val="00CD6011"/>
    <w:rsid w:val="00CD681C"/>
    <w:rsid w:val="00CD6856"/>
    <w:rsid w:val="00CE3F88"/>
    <w:rsid w:val="00CF069D"/>
    <w:rsid w:val="00CF513A"/>
    <w:rsid w:val="00D0255E"/>
    <w:rsid w:val="00D04A1A"/>
    <w:rsid w:val="00D14C57"/>
    <w:rsid w:val="00D1611E"/>
    <w:rsid w:val="00D16D1F"/>
    <w:rsid w:val="00D222E1"/>
    <w:rsid w:val="00D23E2B"/>
    <w:rsid w:val="00D2515B"/>
    <w:rsid w:val="00D31225"/>
    <w:rsid w:val="00D3224A"/>
    <w:rsid w:val="00D363FB"/>
    <w:rsid w:val="00D37289"/>
    <w:rsid w:val="00D40F2C"/>
    <w:rsid w:val="00D4435D"/>
    <w:rsid w:val="00D472E8"/>
    <w:rsid w:val="00D5473B"/>
    <w:rsid w:val="00D60D17"/>
    <w:rsid w:val="00D73D78"/>
    <w:rsid w:val="00D80835"/>
    <w:rsid w:val="00D83A90"/>
    <w:rsid w:val="00D8733D"/>
    <w:rsid w:val="00D87816"/>
    <w:rsid w:val="00D95D83"/>
    <w:rsid w:val="00D96586"/>
    <w:rsid w:val="00D96832"/>
    <w:rsid w:val="00DA59C8"/>
    <w:rsid w:val="00DA76CE"/>
    <w:rsid w:val="00DB18AF"/>
    <w:rsid w:val="00DB292F"/>
    <w:rsid w:val="00DB3400"/>
    <w:rsid w:val="00DC36B4"/>
    <w:rsid w:val="00DD31EC"/>
    <w:rsid w:val="00DD4CE7"/>
    <w:rsid w:val="00DD5F40"/>
    <w:rsid w:val="00DD69B1"/>
    <w:rsid w:val="00DE4AA4"/>
    <w:rsid w:val="00DE7AA9"/>
    <w:rsid w:val="00DF309C"/>
    <w:rsid w:val="00E002E4"/>
    <w:rsid w:val="00E00DF3"/>
    <w:rsid w:val="00E064E1"/>
    <w:rsid w:val="00E1120C"/>
    <w:rsid w:val="00E12291"/>
    <w:rsid w:val="00E17FDC"/>
    <w:rsid w:val="00E2183D"/>
    <w:rsid w:val="00E22D7B"/>
    <w:rsid w:val="00E31C50"/>
    <w:rsid w:val="00E36B09"/>
    <w:rsid w:val="00E423A5"/>
    <w:rsid w:val="00E425F2"/>
    <w:rsid w:val="00E4361B"/>
    <w:rsid w:val="00E4591B"/>
    <w:rsid w:val="00E47F6B"/>
    <w:rsid w:val="00E51380"/>
    <w:rsid w:val="00E53F90"/>
    <w:rsid w:val="00E54C7F"/>
    <w:rsid w:val="00E56AA4"/>
    <w:rsid w:val="00E66C95"/>
    <w:rsid w:val="00E70800"/>
    <w:rsid w:val="00E742CD"/>
    <w:rsid w:val="00E83BFC"/>
    <w:rsid w:val="00E90968"/>
    <w:rsid w:val="00E93372"/>
    <w:rsid w:val="00E93ACE"/>
    <w:rsid w:val="00E93B9F"/>
    <w:rsid w:val="00E95E29"/>
    <w:rsid w:val="00E962D0"/>
    <w:rsid w:val="00EA594E"/>
    <w:rsid w:val="00EA63E3"/>
    <w:rsid w:val="00EB205C"/>
    <w:rsid w:val="00EB4FE5"/>
    <w:rsid w:val="00EB5CCF"/>
    <w:rsid w:val="00EC05DC"/>
    <w:rsid w:val="00EC094A"/>
    <w:rsid w:val="00EC0AB1"/>
    <w:rsid w:val="00EC380D"/>
    <w:rsid w:val="00ED028E"/>
    <w:rsid w:val="00ED1951"/>
    <w:rsid w:val="00ED3771"/>
    <w:rsid w:val="00ED65FD"/>
    <w:rsid w:val="00ED7100"/>
    <w:rsid w:val="00EE2C50"/>
    <w:rsid w:val="00EE3442"/>
    <w:rsid w:val="00EE70E6"/>
    <w:rsid w:val="00EE7423"/>
    <w:rsid w:val="00EF05DD"/>
    <w:rsid w:val="00EF0E3F"/>
    <w:rsid w:val="00EF4405"/>
    <w:rsid w:val="00F0050A"/>
    <w:rsid w:val="00F10D98"/>
    <w:rsid w:val="00F1618F"/>
    <w:rsid w:val="00F20628"/>
    <w:rsid w:val="00F21A70"/>
    <w:rsid w:val="00F31149"/>
    <w:rsid w:val="00F36446"/>
    <w:rsid w:val="00F52C84"/>
    <w:rsid w:val="00F52F1F"/>
    <w:rsid w:val="00F53E03"/>
    <w:rsid w:val="00F5486F"/>
    <w:rsid w:val="00F5553B"/>
    <w:rsid w:val="00F60690"/>
    <w:rsid w:val="00F60A0F"/>
    <w:rsid w:val="00F61F26"/>
    <w:rsid w:val="00F66E9A"/>
    <w:rsid w:val="00F67B0D"/>
    <w:rsid w:val="00F73CB0"/>
    <w:rsid w:val="00F7480D"/>
    <w:rsid w:val="00F8096D"/>
    <w:rsid w:val="00F90B33"/>
    <w:rsid w:val="00F92BE8"/>
    <w:rsid w:val="00FB69F6"/>
    <w:rsid w:val="00FB708B"/>
    <w:rsid w:val="00FC1097"/>
    <w:rsid w:val="00FC3390"/>
    <w:rsid w:val="00FC5F7F"/>
    <w:rsid w:val="00FC7B77"/>
    <w:rsid w:val="00FD3451"/>
    <w:rsid w:val="00FD3B82"/>
    <w:rsid w:val="00FD51A3"/>
    <w:rsid w:val="00FE24FA"/>
    <w:rsid w:val="00FE4D18"/>
    <w:rsid w:val="00FE4EEE"/>
    <w:rsid w:val="00FE64F7"/>
    <w:rsid w:val="00FF0561"/>
    <w:rsid w:val="00FF0A5E"/>
    <w:rsid w:val="00FF2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CE8"/>
  <w15:chartTrackingRefBased/>
  <w15:docId w15:val="{145D6044-4BD0-438B-A56D-3882630A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E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24AD"/>
    <w:pPr>
      <w:ind w:left="720"/>
      <w:contextualSpacing/>
    </w:pPr>
  </w:style>
  <w:style w:type="paragraph" w:styleId="Debesliotekstas">
    <w:name w:val="Balloon Text"/>
    <w:basedOn w:val="prastasis"/>
    <w:link w:val="DebesliotekstasDiagrama"/>
    <w:uiPriority w:val="99"/>
    <w:semiHidden/>
    <w:unhideWhenUsed/>
    <w:rsid w:val="004D47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38"/>
    <w:rPr>
      <w:rFonts w:ascii="Segoe UI" w:hAnsi="Segoe UI" w:cs="Segoe UI"/>
      <w:sz w:val="18"/>
      <w:szCs w:val="18"/>
    </w:rPr>
  </w:style>
  <w:style w:type="paragraph" w:styleId="prastasiniatinklio">
    <w:name w:val="Normal (Web)"/>
    <w:basedOn w:val="prastasis"/>
    <w:uiPriority w:val="99"/>
    <w:semiHidden/>
    <w:unhideWhenUsed/>
    <w:rsid w:val="00AF7B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F7B44"/>
    <w:rPr>
      <w:color w:val="0000FF"/>
      <w:u w:val="single"/>
    </w:rPr>
  </w:style>
  <w:style w:type="character" w:styleId="Neapdorotaspaminjimas">
    <w:name w:val="Unresolved Mention"/>
    <w:basedOn w:val="Numatytasispastraiposriftas"/>
    <w:uiPriority w:val="99"/>
    <w:semiHidden/>
    <w:unhideWhenUsed/>
    <w:rsid w:val="009D3FF0"/>
    <w:rPr>
      <w:color w:val="605E5C"/>
      <w:shd w:val="clear" w:color="auto" w:fill="E1DFDD"/>
    </w:rPr>
  </w:style>
  <w:style w:type="paragraph" w:styleId="Puslapioinaostekstas">
    <w:name w:val="footnote text"/>
    <w:basedOn w:val="prastasis"/>
    <w:link w:val="PuslapioinaostekstasDiagrama"/>
    <w:uiPriority w:val="99"/>
    <w:semiHidden/>
    <w:unhideWhenUsed/>
    <w:rsid w:val="00F61F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61F26"/>
    <w:rPr>
      <w:sz w:val="20"/>
      <w:szCs w:val="20"/>
    </w:rPr>
  </w:style>
  <w:style w:type="character" w:styleId="Puslapioinaosnuoroda">
    <w:name w:val="footnote reference"/>
    <w:basedOn w:val="Numatytasispastraiposriftas"/>
    <w:uiPriority w:val="99"/>
    <w:semiHidden/>
    <w:unhideWhenUsed/>
    <w:rsid w:val="00F61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7749">
      <w:bodyDiv w:val="1"/>
      <w:marLeft w:val="0"/>
      <w:marRight w:val="0"/>
      <w:marTop w:val="0"/>
      <w:marBottom w:val="0"/>
      <w:divBdr>
        <w:top w:val="none" w:sz="0" w:space="0" w:color="auto"/>
        <w:left w:val="none" w:sz="0" w:space="0" w:color="auto"/>
        <w:bottom w:val="none" w:sz="0" w:space="0" w:color="auto"/>
        <w:right w:val="none" w:sz="0" w:space="0" w:color="auto"/>
      </w:divBdr>
    </w:div>
    <w:div w:id="630475314">
      <w:bodyDiv w:val="1"/>
      <w:marLeft w:val="0"/>
      <w:marRight w:val="0"/>
      <w:marTop w:val="0"/>
      <w:marBottom w:val="0"/>
      <w:divBdr>
        <w:top w:val="none" w:sz="0" w:space="0" w:color="auto"/>
        <w:left w:val="none" w:sz="0" w:space="0" w:color="auto"/>
        <w:bottom w:val="none" w:sz="0" w:space="0" w:color="auto"/>
        <w:right w:val="none" w:sz="0" w:space="0" w:color="auto"/>
      </w:divBdr>
    </w:div>
    <w:div w:id="16356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tm.lrv.lt/uploads/tm/documents/files/BP%20analiz%C4%97%20(galutinis%20variantas)%202020%2003%2025.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3E4AC-8953-4A32-9AE2-EBC3BCC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40930</Words>
  <Characters>23331</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2021-08-12T13:47:00Z</dcterms:created>
  <dc:creator>Audronė Varnagirė</dc:creator>
  <cp:lastModifiedBy>Daiva Bliūdžiuvienė</cp:lastModifiedBy>
  <dcterms:modified xsi:type="dcterms:W3CDTF">2021-08-12T13:47:00Z</dcterms:modified>
  <cp:revision>2</cp:revision>
</cp:coreProperties>
</file>