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6A35B" w14:textId="620A207B" w:rsidR="00E52A27" w:rsidRPr="00990C7C" w:rsidRDefault="007A4DFD" w:rsidP="00983118">
      <w:pPr>
        <w:spacing w:after="0" w:line="240" w:lineRule="auto"/>
        <w:jc w:val="both"/>
        <w:rPr>
          <w:rFonts w:ascii="Times New Roman" w:hAnsi="Times New Roman" w:cs="Times New Roman"/>
          <w:b/>
          <w:bCs/>
          <w:sz w:val="24"/>
          <w:szCs w:val="24"/>
          <w:u w:val="single"/>
          <w:lang w:val="en-US"/>
        </w:rPr>
      </w:pPr>
      <w:r w:rsidRPr="00990C7C">
        <w:rPr>
          <w:rFonts w:ascii="Times New Roman" w:hAnsi="Times New Roman" w:cs="Times New Roman"/>
          <w:b/>
          <w:bCs/>
          <w:sz w:val="24"/>
          <w:szCs w:val="24"/>
          <w:u w:val="single"/>
        </w:rPr>
        <w:t>Papildoma informacija</w:t>
      </w:r>
    </w:p>
    <w:p w14:paraId="51A66602" w14:textId="77777777" w:rsidR="00E52A27" w:rsidRPr="00990C7C" w:rsidRDefault="00E52A27" w:rsidP="00983118">
      <w:pPr>
        <w:spacing w:after="0" w:line="240" w:lineRule="auto"/>
        <w:jc w:val="both"/>
        <w:rPr>
          <w:rFonts w:ascii="Times New Roman" w:hAnsi="Times New Roman" w:cs="Times New Roman"/>
          <w:b/>
          <w:bCs/>
          <w:sz w:val="24"/>
          <w:szCs w:val="24"/>
          <w:u w:val="single"/>
        </w:rPr>
      </w:pPr>
    </w:p>
    <w:p w14:paraId="6EDB6ADB" w14:textId="37B5B9D1" w:rsidR="009855B3" w:rsidRPr="00990C7C" w:rsidRDefault="007E591C" w:rsidP="00983118">
      <w:pPr>
        <w:spacing w:after="0" w:line="240" w:lineRule="auto"/>
        <w:jc w:val="both"/>
        <w:rPr>
          <w:rFonts w:ascii="Times New Roman" w:hAnsi="Times New Roman" w:cs="Times New Roman"/>
          <w:b/>
          <w:bCs/>
          <w:sz w:val="24"/>
          <w:szCs w:val="24"/>
          <w:u w:val="single"/>
        </w:rPr>
      </w:pPr>
      <w:r w:rsidRPr="00990C7C">
        <w:rPr>
          <w:rFonts w:ascii="Times New Roman" w:hAnsi="Times New Roman" w:cs="Times New Roman"/>
          <w:b/>
          <w:bCs/>
          <w:sz w:val="24"/>
          <w:szCs w:val="24"/>
          <w:u w:val="single"/>
        </w:rPr>
        <w:t>Teritorinis teisingos pertvarkos planas || Teisingos pertvarkos fondas</w:t>
      </w:r>
    </w:p>
    <w:p w14:paraId="1362316F" w14:textId="77777777" w:rsidR="00983118" w:rsidRPr="00990C7C" w:rsidRDefault="00983118" w:rsidP="00983118">
      <w:pPr>
        <w:spacing w:after="0" w:line="240" w:lineRule="auto"/>
        <w:jc w:val="both"/>
        <w:rPr>
          <w:rFonts w:ascii="Times New Roman" w:hAnsi="Times New Roman" w:cs="Times New Roman"/>
          <w:b/>
          <w:bCs/>
          <w:sz w:val="24"/>
          <w:szCs w:val="24"/>
          <w:u w:val="single"/>
        </w:rPr>
      </w:pPr>
    </w:p>
    <w:p w14:paraId="60BB7C4F" w14:textId="0256695D" w:rsidR="007E591C" w:rsidRPr="00990C7C" w:rsidRDefault="007E591C" w:rsidP="009F2E32">
      <w:pPr>
        <w:spacing w:after="0" w:line="240" w:lineRule="auto"/>
        <w:ind w:firstLine="567"/>
        <w:jc w:val="both"/>
        <w:rPr>
          <w:rFonts w:ascii="Times New Roman" w:hAnsi="Times New Roman" w:cs="Times New Roman"/>
          <w:sz w:val="24"/>
          <w:szCs w:val="24"/>
        </w:rPr>
      </w:pPr>
      <w:r w:rsidRPr="00990C7C">
        <w:rPr>
          <w:rFonts w:ascii="Times New Roman" w:hAnsi="Times New Roman" w:cs="Times New Roman"/>
          <w:sz w:val="24"/>
          <w:szCs w:val="24"/>
          <w:u w:val="single"/>
        </w:rPr>
        <w:t>Teisingos pertvarkos fondas</w:t>
      </w:r>
      <w:r w:rsidR="003A3087" w:rsidRPr="00990C7C">
        <w:rPr>
          <w:rFonts w:ascii="Times New Roman" w:hAnsi="Times New Roman" w:cs="Times New Roman"/>
          <w:sz w:val="24"/>
          <w:szCs w:val="24"/>
          <w:u w:val="single"/>
        </w:rPr>
        <w:t xml:space="preserve"> (toliau – TFP)</w:t>
      </w:r>
      <w:r w:rsidRPr="00990C7C">
        <w:rPr>
          <w:rFonts w:ascii="Times New Roman" w:hAnsi="Times New Roman" w:cs="Times New Roman"/>
          <w:sz w:val="24"/>
          <w:szCs w:val="24"/>
        </w:rPr>
        <w:t xml:space="preserve"> – tai Teisingos pertvarkos mechanizm</w:t>
      </w:r>
      <w:r w:rsidR="009F2E32" w:rsidRPr="00990C7C">
        <w:rPr>
          <w:rFonts w:ascii="Times New Roman" w:hAnsi="Times New Roman" w:cs="Times New Roman"/>
          <w:sz w:val="24"/>
          <w:szCs w:val="24"/>
        </w:rPr>
        <w:t>o</w:t>
      </w:r>
      <w:r w:rsidRPr="00990C7C">
        <w:rPr>
          <w:rFonts w:ascii="Times New Roman" w:hAnsi="Times New Roman" w:cs="Times New Roman"/>
          <w:sz w:val="24"/>
          <w:szCs w:val="24"/>
        </w:rPr>
        <w:t xml:space="preserve"> pirmasis ramstis, kuris skirtas „</w:t>
      </w:r>
      <w:r w:rsidRPr="00990C7C">
        <w:rPr>
          <w:rFonts w:ascii="Times New Roman" w:hAnsi="Times New Roman" w:cs="Times New Roman"/>
          <w:sz w:val="24"/>
          <w:szCs w:val="24"/>
          <w:shd w:val="clear" w:color="auto" w:fill="FFFFFF"/>
        </w:rPr>
        <w:t>teikti paramą teritorijoms, kurioms kyla didelių socialinių ir ekonomių uždavinių dėl Sąjungos perėjimo prie neutralaus poveikio klimatui ekonomikos iki 2050 m.“</w:t>
      </w:r>
      <w:r w:rsidR="009F2E32" w:rsidRPr="00990C7C">
        <w:rPr>
          <w:rStyle w:val="FootnoteReference"/>
          <w:rFonts w:ascii="Times New Roman" w:hAnsi="Times New Roman" w:cs="Times New Roman"/>
          <w:sz w:val="24"/>
          <w:szCs w:val="24"/>
          <w:shd w:val="clear" w:color="auto" w:fill="FFFFFF"/>
        </w:rPr>
        <w:footnoteReference w:id="1"/>
      </w:r>
    </w:p>
    <w:p w14:paraId="59653937" w14:textId="5DBDC51D" w:rsidR="007E591C" w:rsidRPr="00990C7C" w:rsidRDefault="007E591C" w:rsidP="009F2E32">
      <w:pPr>
        <w:spacing w:after="0" w:line="240" w:lineRule="auto"/>
        <w:ind w:firstLine="567"/>
        <w:jc w:val="both"/>
        <w:rPr>
          <w:rFonts w:ascii="Times New Roman" w:hAnsi="Times New Roman" w:cs="Times New Roman"/>
          <w:sz w:val="24"/>
          <w:szCs w:val="24"/>
        </w:rPr>
      </w:pPr>
      <w:r w:rsidRPr="00990C7C">
        <w:rPr>
          <w:rFonts w:ascii="Times New Roman" w:hAnsi="Times New Roman" w:cs="Times New Roman"/>
          <w:sz w:val="24"/>
          <w:szCs w:val="24"/>
        </w:rPr>
        <w:t>Tam, kad valstybė narė galėtų pasinaudoti Teisingos pertvarkos fondo teikiamomis investicijomis, reikalinga parengti Teritorinį teisingos pertvark</w:t>
      </w:r>
      <w:r w:rsidR="00097661" w:rsidRPr="00990C7C">
        <w:rPr>
          <w:rFonts w:ascii="Times New Roman" w:hAnsi="Times New Roman" w:cs="Times New Roman"/>
          <w:sz w:val="24"/>
          <w:szCs w:val="24"/>
        </w:rPr>
        <w:t>o</w:t>
      </w:r>
      <w:r w:rsidRPr="00990C7C">
        <w:rPr>
          <w:rFonts w:ascii="Times New Roman" w:hAnsi="Times New Roman" w:cs="Times New Roman"/>
          <w:sz w:val="24"/>
          <w:szCs w:val="24"/>
        </w:rPr>
        <w:t xml:space="preserve">s planą </w:t>
      </w:r>
      <w:r w:rsidR="00C27A59" w:rsidRPr="00990C7C">
        <w:rPr>
          <w:rFonts w:ascii="Times New Roman" w:hAnsi="Times New Roman" w:cs="Times New Roman"/>
          <w:sz w:val="24"/>
          <w:szCs w:val="24"/>
        </w:rPr>
        <w:t>(toliau – TTPP)</w:t>
      </w:r>
      <w:r w:rsidRPr="00990C7C">
        <w:rPr>
          <w:rFonts w:ascii="Times New Roman" w:hAnsi="Times New Roman" w:cs="Times New Roman"/>
          <w:sz w:val="24"/>
          <w:szCs w:val="24"/>
        </w:rPr>
        <w:t xml:space="preserve">, </w:t>
      </w:r>
      <w:r w:rsidR="00097661" w:rsidRPr="00990C7C">
        <w:rPr>
          <w:rFonts w:ascii="Times New Roman" w:hAnsi="Times New Roman" w:cs="Times New Roman"/>
          <w:sz w:val="24"/>
          <w:szCs w:val="24"/>
        </w:rPr>
        <w:t xml:space="preserve">kuris nustato teritorijas, </w:t>
      </w:r>
      <w:r w:rsidR="00097661" w:rsidRPr="00990C7C">
        <w:rPr>
          <w:rFonts w:ascii="Times New Roman" w:hAnsi="Times New Roman" w:cs="Times New Roman"/>
          <w:sz w:val="24"/>
          <w:szCs w:val="24"/>
          <w:shd w:val="clear" w:color="auto" w:fill="FFFFFF"/>
        </w:rPr>
        <w:t>kurioms dėl perėjimo prie klimatui neutralios ekonomikos daromas didžiausias neigiamas ekonominis ir socialinis poveikis, visų pirma dėl numatomo darbo vietų sumažėjimo iškastinio kuro gamybos ir naudojimo sektoriuje ir poreikio pertvarkyti šiltnamio efektą sukeliančiomis dujomis taršiausių pramonės įrenginių gamybos procesus.</w:t>
      </w:r>
    </w:p>
    <w:p w14:paraId="2DE5BD98" w14:textId="4A5600E9" w:rsidR="00A32CF9" w:rsidRPr="00990C7C" w:rsidRDefault="19D168D9" w:rsidP="19D168D9">
      <w:pPr>
        <w:spacing w:after="0" w:line="240" w:lineRule="auto"/>
        <w:ind w:firstLine="567"/>
        <w:jc w:val="both"/>
        <w:rPr>
          <w:rFonts w:ascii="Times New Roman" w:hAnsi="Times New Roman" w:cs="Times New Roman"/>
          <w:sz w:val="24"/>
          <w:szCs w:val="24"/>
        </w:rPr>
      </w:pPr>
      <w:r w:rsidRPr="00990C7C">
        <w:rPr>
          <w:rFonts w:ascii="Times New Roman" w:hAnsi="Times New Roman" w:cs="Times New Roman"/>
          <w:sz w:val="24"/>
          <w:szCs w:val="24"/>
        </w:rPr>
        <w:t xml:space="preserve">Lietuva, siekdama parengti TTPP pasinaudojo Europos Komisijos (toliau – EK)  Struktūrinių reformų paramos programa, pagal kurią EK  skirti ekspertai nuo 2020 m. lapkričio mėn. iki 2021 m. rugpjūčio mėn. atliko </w:t>
      </w:r>
      <w:proofErr w:type="spellStart"/>
      <w:r w:rsidRPr="00990C7C">
        <w:rPr>
          <w:rFonts w:ascii="Times New Roman" w:hAnsi="Times New Roman" w:cs="Times New Roman"/>
          <w:sz w:val="24"/>
          <w:szCs w:val="24"/>
        </w:rPr>
        <w:t>atliko</w:t>
      </w:r>
      <w:proofErr w:type="spellEnd"/>
      <w:r w:rsidRPr="00990C7C">
        <w:rPr>
          <w:rFonts w:ascii="Times New Roman" w:hAnsi="Times New Roman" w:cs="Times New Roman"/>
          <w:sz w:val="24"/>
          <w:szCs w:val="24"/>
        </w:rPr>
        <w:t xml:space="preserve"> išsamią analizę ir pateikė pasiūlymus, kokios priemonės efektyviausiai prisidėtų prie socialinių ir ekonominių pasekmių mažinimo ir kokia apimtimi galėtų būti finansuojamos TPF lėšomis Lietuvoje.</w:t>
      </w:r>
    </w:p>
    <w:p w14:paraId="66F0ABFC" w14:textId="508C2FBD" w:rsidR="00097661" w:rsidRPr="00990C7C" w:rsidRDefault="19D168D9" w:rsidP="009F2E32">
      <w:pPr>
        <w:spacing w:after="0" w:line="240" w:lineRule="auto"/>
        <w:ind w:firstLine="567"/>
        <w:jc w:val="both"/>
        <w:rPr>
          <w:rFonts w:ascii="Times New Roman" w:hAnsi="Times New Roman" w:cs="Times New Roman"/>
          <w:sz w:val="24"/>
          <w:szCs w:val="24"/>
        </w:rPr>
      </w:pPr>
      <w:r w:rsidRPr="00990C7C">
        <w:rPr>
          <w:rFonts w:ascii="Times New Roman" w:eastAsia="Times New Roman" w:hAnsi="Times New Roman" w:cs="Times New Roman"/>
          <w:sz w:val="24"/>
          <w:szCs w:val="24"/>
        </w:rPr>
        <w:t>EK šalies ataskaitoje Lietuva 2020 D priede įvardijo tris didžiausiu šiltnamio efektą sukeliančių dujų inte</w:t>
      </w:r>
      <w:r w:rsidR="00913EF5" w:rsidRPr="00990C7C">
        <w:rPr>
          <w:rFonts w:ascii="Times New Roman" w:eastAsia="Times New Roman" w:hAnsi="Times New Roman" w:cs="Times New Roman"/>
          <w:sz w:val="24"/>
          <w:szCs w:val="24"/>
        </w:rPr>
        <w:t>n</w:t>
      </w:r>
      <w:r w:rsidRPr="00990C7C">
        <w:rPr>
          <w:rFonts w:ascii="Times New Roman" w:eastAsia="Times New Roman" w:hAnsi="Times New Roman" w:cs="Times New Roman"/>
          <w:sz w:val="24"/>
          <w:szCs w:val="24"/>
        </w:rPr>
        <w:t>syvumu (ŠESD) pasižyminčias teritorijas: Kaunas (Achema), Šiauliai (Akmenės cementas) ir Telšiai (</w:t>
      </w:r>
      <w:proofErr w:type="spellStart"/>
      <w:r w:rsidRPr="00990C7C">
        <w:rPr>
          <w:rFonts w:ascii="Times New Roman" w:eastAsia="Times New Roman" w:hAnsi="Times New Roman" w:cs="Times New Roman"/>
          <w:sz w:val="24"/>
          <w:szCs w:val="24"/>
        </w:rPr>
        <w:t>Orlen</w:t>
      </w:r>
      <w:proofErr w:type="spellEnd"/>
      <w:r w:rsidRPr="00990C7C">
        <w:rPr>
          <w:rFonts w:ascii="Times New Roman" w:eastAsia="Times New Roman" w:hAnsi="Times New Roman" w:cs="Times New Roman"/>
          <w:sz w:val="24"/>
          <w:szCs w:val="24"/>
        </w:rPr>
        <w:t xml:space="preserve"> Lietuva). Tačiau Lietuva siekė šias teritorijas išplėsti ir ekspertams pateikė užduotį vertinti ir Klaipėdos regioną, dėl jame esančio Būtingės terminalo priklausiančio AB </w:t>
      </w:r>
      <w:proofErr w:type="spellStart"/>
      <w:r w:rsidRPr="00990C7C">
        <w:rPr>
          <w:rFonts w:ascii="Times New Roman" w:eastAsia="Times New Roman" w:hAnsi="Times New Roman" w:cs="Times New Roman"/>
          <w:sz w:val="24"/>
          <w:szCs w:val="24"/>
        </w:rPr>
        <w:t>Orlen</w:t>
      </w:r>
      <w:proofErr w:type="spellEnd"/>
      <w:r w:rsidRPr="00990C7C">
        <w:rPr>
          <w:rFonts w:ascii="Times New Roman" w:eastAsia="Times New Roman" w:hAnsi="Times New Roman" w:cs="Times New Roman"/>
          <w:sz w:val="24"/>
          <w:szCs w:val="24"/>
        </w:rPr>
        <w:t xml:space="preserve"> Lietuva.</w:t>
      </w:r>
    </w:p>
    <w:p w14:paraId="0263590F" w14:textId="0AA58F16" w:rsidR="00A32CF9" w:rsidRPr="00990C7C" w:rsidRDefault="19D168D9" w:rsidP="009F2E32">
      <w:pPr>
        <w:spacing w:after="0" w:line="240" w:lineRule="auto"/>
        <w:ind w:firstLine="567"/>
        <w:jc w:val="both"/>
        <w:rPr>
          <w:rFonts w:ascii="Times New Roman" w:hAnsi="Times New Roman" w:cs="Times New Roman"/>
          <w:sz w:val="24"/>
          <w:szCs w:val="24"/>
        </w:rPr>
      </w:pPr>
      <w:r w:rsidRPr="00990C7C">
        <w:rPr>
          <w:rFonts w:ascii="Times New Roman" w:hAnsi="Times New Roman" w:cs="Times New Roman"/>
          <w:sz w:val="24"/>
          <w:szCs w:val="24"/>
        </w:rPr>
        <w:t>Remiantis ekspertų atlikta socialinių, ekonominių ir aplinkosauginių kriterijų analize, kurioje atsižvelgta į svarbiausius ekonominius, socialinius ir aplinkosaugos veiksnius (pvz.: apdirbamosios gamybos svarba regiono ekonomikoje, išmetamųjų teršalų kiekis, užimtumas apdirbamosios gamybos srityje ir gyventojų skaičiaus mažėjimo rizika), patvirtina, jog būtent Kauno, Šiaulių ir Telšių regionai turėtų būti laikomi labiausiai nuo perėjimo prie mažai anglies dioksido į aplinką išskiriančių technologijų nukentėję, po jų kitu neigiamą poveikį patirsiančiu regionu būtų laikomas Klaipėdos regionas, kuriam ekspertai nustatė tik netiesioginį poveikį.</w:t>
      </w:r>
    </w:p>
    <w:p w14:paraId="7D0C8288" w14:textId="2D2E6BF0" w:rsidR="00A32CF9" w:rsidRPr="00990C7C" w:rsidRDefault="00DB37F1" w:rsidP="009F2E32">
      <w:pPr>
        <w:spacing w:after="0" w:line="240" w:lineRule="auto"/>
        <w:ind w:firstLine="567"/>
        <w:jc w:val="both"/>
        <w:rPr>
          <w:rFonts w:ascii="Times New Roman" w:hAnsi="Times New Roman" w:cs="Times New Roman"/>
          <w:sz w:val="24"/>
          <w:szCs w:val="24"/>
        </w:rPr>
      </w:pPr>
      <w:r w:rsidRPr="00990C7C">
        <w:rPr>
          <w:rFonts w:ascii="Times New Roman" w:hAnsi="Times New Roman" w:cs="Times New Roman"/>
          <w:sz w:val="24"/>
          <w:szCs w:val="24"/>
        </w:rPr>
        <w:t>Atlikę analizę e</w:t>
      </w:r>
      <w:r w:rsidR="004318D5" w:rsidRPr="00990C7C">
        <w:rPr>
          <w:rFonts w:ascii="Times New Roman" w:hAnsi="Times New Roman" w:cs="Times New Roman"/>
          <w:sz w:val="24"/>
          <w:szCs w:val="24"/>
        </w:rPr>
        <w:t xml:space="preserve">kspertai pasiūlė šias </w:t>
      </w:r>
      <w:r w:rsidR="004318D5" w:rsidRPr="00990C7C">
        <w:rPr>
          <w:rFonts w:ascii="Times New Roman" w:hAnsi="Times New Roman" w:cs="Times New Roman"/>
          <w:sz w:val="24"/>
          <w:szCs w:val="24"/>
          <w:u w:val="single"/>
        </w:rPr>
        <w:t>investicijų kryptis</w:t>
      </w:r>
      <w:r w:rsidR="004318D5" w:rsidRPr="00990C7C">
        <w:rPr>
          <w:rFonts w:ascii="Times New Roman" w:hAnsi="Times New Roman" w:cs="Times New Roman"/>
          <w:sz w:val="24"/>
          <w:szCs w:val="24"/>
        </w:rPr>
        <w:t>:</w:t>
      </w:r>
    </w:p>
    <w:p w14:paraId="515AF2B4" w14:textId="77777777" w:rsidR="004318D5" w:rsidRPr="00990C7C" w:rsidRDefault="004318D5" w:rsidP="009F2E32">
      <w:pPr>
        <w:spacing w:after="0" w:line="240" w:lineRule="auto"/>
        <w:ind w:firstLine="567"/>
        <w:jc w:val="both"/>
        <w:rPr>
          <w:rFonts w:ascii="Times New Roman" w:hAnsi="Times New Roman" w:cs="Times New Roman"/>
          <w:sz w:val="24"/>
          <w:szCs w:val="24"/>
        </w:rPr>
      </w:pPr>
      <w:r w:rsidRPr="00990C7C">
        <w:rPr>
          <w:rFonts w:ascii="Times New Roman" w:hAnsi="Times New Roman" w:cs="Times New Roman"/>
          <w:sz w:val="24"/>
          <w:szCs w:val="24"/>
        </w:rPr>
        <w:t xml:space="preserve">1. </w:t>
      </w:r>
      <w:r w:rsidRPr="00990C7C">
        <w:rPr>
          <w:rFonts w:ascii="Times New Roman" w:hAnsi="Times New Roman" w:cs="Times New Roman"/>
          <w:sz w:val="24"/>
          <w:szCs w:val="24"/>
          <w:lang w:eastAsia="en-GB"/>
        </w:rPr>
        <w:t>Veiksmai, susiję su trijų didžiausių teršėjų transformavimu (dekarbonizavimu)</w:t>
      </w:r>
      <w:r w:rsidRPr="00990C7C">
        <w:rPr>
          <w:rFonts w:ascii="Times New Roman" w:hAnsi="Times New Roman" w:cs="Times New Roman"/>
          <w:sz w:val="24"/>
          <w:szCs w:val="24"/>
        </w:rPr>
        <w:t>. Ši kryptis apima intervencijas, susijusias su didžiausių pramonės teršėjų pertvarka (ŠESD kiekio mažinimas), ir būtinus parengiamuosius veiksmus, kurių reikia imtis nacionaliniu lygiu;</w:t>
      </w:r>
    </w:p>
    <w:p w14:paraId="291DB510" w14:textId="320DA478" w:rsidR="004318D5" w:rsidRPr="00990C7C" w:rsidRDefault="19D168D9" w:rsidP="009F2E32">
      <w:pPr>
        <w:spacing w:after="0" w:line="240" w:lineRule="auto"/>
        <w:ind w:firstLine="567"/>
        <w:jc w:val="both"/>
        <w:rPr>
          <w:rFonts w:ascii="Times New Roman" w:hAnsi="Times New Roman" w:cs="Times New Roman"/>
          <w:sz w:val="24"/>
          <w:szCs w:val="24"/>
        </w:rPr>
      </w:pPr>
      <w:r w:rsidRPr="00990C7C">
        <w:rPr>
          <w:rFonts w:ascii="Times New Roman" w:hAnsi="Times New Roman" w:cs="Times New Roman"/>
          <w:sz w:val="24"/>
          <w:szCs w:val="24"/>
        </w:rPr>
        <w:t>2. Veiksmai, susiję su naujų ir tvarių darbo vietų kūrimu. Ši kryptis apima intervencijas, kurios pagerina sąlygas užsienio ir vietos investuotojams pradėti veiklas labiausiai paveiktose teritorijose, pritraukia užsienio ir vietos investuotojus, turinčius didelį užimtumo potencialą, ir remia vietos labai mažų, mažų ir vidutinių įmonių</w:t>
      </w:r>
      <w:r w:rsidR="00913EF5" w:rsidRPr="00990C7C">
        <w:rPr>
          <w:rFonts w:ascii="Times New Roman" w:hAnsi="Times New Roman" w:cs="Times New Roman"/>
          <w:sz w:val="24"/>
          <w:szCs w:val="24"/>
        </w:rPr>
        <w:t xml:space="preserve"> </w:t>
      </w:r>
      <w:r w:rsidRPr="00990C7C">
        <w:rPr>
          <w:rFonts w:ascii="Times New Roman" w:hAnsi="Times New Roman" w:cs="Times New Roman"/>
          <w:sz w:val="24"/>
          <w:szCs w:val="24"/>
        </w:rPr>
        <w:t>pertvarkos iniciatyvas.</w:t>
      </w:r>
    </w:p>
    <w:p w14:paraId="46B4C3AC" w14:textId="506B677C" w:rsidR="006D3391" w:rsidRPr="00990C7C" w:rsidRDefault="19D168D9" w:rsidP="009F2E32">
      <w:pPr>
        <w:spacing w:after="0" w:line="240" w:lineRule="auto"/>
        <w:ind w:firstLine="567"/>
        <w:jc w:val="both"/>
        <w:rPr>
          <w:rFonts w:ascii="Times New Roman" w:hAnsi="Times New Roman" w:cs="Times New Roman"/>
          <w:sz w:val="24"/>
          <w:szCs w:val="24"/>
        </w:rPr>
      </w:pPr>
      <w:r w:rsidRPr="00990C7C">
        <w:rPr>
          <w:rFonts w:ascii="Times New Roman" w:hAnsi="Times New Roman" w:cs="Times New Roman"/>
          <w:sz w:val="24"/>
          <w:szCs w:val="24"/>
        </w:rPr>
        <w:t>TPF</w:t>
      </w:r>
      <w:r w:rsidR="00913EF5" w:rsidRPr="00990C7C">
        <w:rPr>
          <w:rFonts w:ascii="Times New Roman" w:hAnsi="Times New Roman" w:cs="Times New Roman"/>
          <w:sz w:val="24"/>
          <w:szCs w:val="24"/>
        </w:rPr>
        <w:t xml:space="preserve"> </w:t>
      </w:r>
      <w:r w:rsidRPr="00990C7C">
        <w:rPr>
          <w:rFonts w:ascii="Times New Roman" w:hAnsi="Times New Roman" w:cs="Times New Roman"/>
          <w:sz w:val="24"/>
          <w:szCs w:val="24"/>
        </w:rPr>
        <w:t>lėšų paskirstymą siūlomoms intervencijoms ekspertai grindė šiais principais:</w:t>
      </w:r>
    </w:p>
    <w:p w14:paraId="1FC36AF6" w14:textId="2D103742" w:rsidR="006D3391" w:rsidRPr="00990C7C" w:rsidRDefault="006D3391" w:rsidP="009F2E32">
      <w:pPr>
        <w:spacing w:after="0" w:line="240" w:lineRule="auto"/>
        <w:ind w:firstLine="567"/>
        <w:jc w:val="both"/>
        <w:rPr>
          <w:rFonts w:ascii="Times New Roman" w:hAnsi="Times New Roman" w:cs="Times New Roman"/>
          <w:sz w:val="24"/>
          <w:szCs w:val="24"/>
        </w:rPr>
      </w:pPr>
      <w:r w:rsidRPr="00990C7C">
        <w:rPr>
          <w:rFonts w:ascii="Times New Roman" w:hAnsi="Times New Roman" w:cs="Times New Roman"/>
          <w:sz w:val="24"/>
          <w:szCs w:val="24"/>
        </w:rPr>
        <w:t>•</w:t>
      </w:r>
      <w:r w:rsidR="00913EF5" w:rsidRPr="00990C7C">
        <w:rPr>
          <w:rFonts w:ascii="Times New Roman" w:hAnsi="Times New Roman" w:cs="Times New Roman"/>
          <w:sz w:val="24"/>
          <w:szCs w:val="24"/>
        </w:rPr>
        <w:t xml:space="preserve"> </w:t>
      </w:r>
      <w:r w:rsidRPr="00990C7C">
        <w:rPr>
          <w:rFonts w:ascii="Times New Roman" w:hAnsi="Times New Roman" w:cs="Times New Roman"/>
          <w:sz w:val="24"/>
          <w:szCs w:val="24"/>
        </w:rPr>
        <w:t xml:space="preserve">pirmenybė teikiama investicijoms taršiausiose pramonės įmonėse (didžiausių teršėjų </w:t>
      </w:r>
      <w:proofErr w:type="spellStart"/>
      <w:r w:rsidRPr="00990C7C">
        <w:rPr>
          <w:rFonts w:ascii="Times New Roman" w:hAnsi="Times New Roman" w:cs="Times New Roman"/>
          <w:sz w:val="24"/>
          <w:szCs w:val="24"/>
        </w:rPr>
        <w:t>dekarbonizacija</w:t>
      </w:r>
      <w:proofErr w:type="spellEnd"/>
      <w:r w:rsidRPr="00990C7C">
        <w:rPr>
          <w:rFonts w:ascii="Times New Roman" w:hAnsi="Times New Roman" w:cs="Times New Roman"/>
          <w:sz w:val="24"/>
          <w:szCs w:val="24"/>
        </w:rPr>
        <w:t>);</w:t>
      </w:r>
    </w:p>
    <w:p w14:paraId="26EB322A" w14:textId="46DD99D3" w:rsidR="006D3391" w:rsidRPr="00990C7C" w:rsidRDefault="006D3391" w:rsidP="009F2E32">
      <w:pPr>
        <w:spacing w:after="0" w:line="240" w:lineRule="auto"/>
        <w:ind w:firstLine="567"/>
        <w:jc w:val="both"/>
        <w:rPr>
          <w:rFonts w:ascii="Times New Roman" w:hAnsi="Times New Roman" w:cs="Times New Roman"/>
          <w:sz w:val="24"/>
          <w:szCs w:val="24"/>
        </w:rPr>
      </w:pPr>
      <w:r w:rsidRPr="00990C7C">
        <w:rPr>
          <w:rFonts w:ascii="Times New Roman" w:hAnsi="Times New Roman" w:cs="Times New Roman"/>
          <w:sz w:val="24"/>
          <w:szCs w:val="24"/>
        </w:rPr>
        <w:t>• ne visi trijų pramonės įmonių planuojami pertvarkos projektai bus parengti ir įgyvendinti per galimą tam laiką.</w:t>
      </w:r>
    </w:p>
    <w:p w14:paraId="1C3E4518" w14:textId="382CD850" w:rsidR="006D3391" w:rsidRPr="00990C7C" w:rsidRDefault="19D168D9" w:rsidP="009F2E32">
      <w:pPr>
        <w:spacing w:after="0" w:line="240" w:lineRule="auto"/>
        <w:ind w:firstLine="567"/>
        <w:jc w:val="both"/>
        <w:rPr>
          <w:rFonts w:ascii="Times New Roman" w:hAnsi="Times New Roman" w:cs="Times New Roman"/>
          <w:sz w:val="24"/>
          <w:szCs w:val="24"/>
        </w:rPr>
      </w:pPr>
      <w:r w:rsidRPr="00990C7C">
        <w:rPr>
          <w:rFonts w:ascii="Times New Roman" w:hAnsi="Times New Roman" w:cs="Times New Roman"/>
          <w:sz w:val="24"/>
          <w:szCs w:val="24"/>
        </w:rPr>
        <w:t xml:space="preserve">Atsižvelgdami į tai, ekspertai pasiūlė skirti 130 mln. EUR (48 proc.) TPF lėšų trijų pramonės įmonių dekarbonizacijos projektams parengti ir įgyvendinti (1 intervencija. Transformuoti taršią pramonę). Likę 143 mln. EUR (52 proc.) TPF lėšų turėtų būti nukreipti į alternatyvių žalių ir tvarių darbo vietų kūrimą labiausiai paveiktose teritorijose. </w:t>
      </w:r>
    </w:p>
    <w:p w14:paraId="0A6AF845" w14:textId="1569CF5D" w:rsidR="006D3391" w:rsidRPr="00990C7C" w:rsidRDefault="006D3391" w:rsidP="009F2E32">
      <w:pPr>
        <w:spacing w:after="0" w:line="240" w:lineRule="auto"/>
        <w:ind w:firstLine="567"/>
        <w:jc w:val="both"/>
        <w:rPr>
          <w:rFonts w:ascii="Times New Roman" w:hAnsi="Times New Roman" w:cs="Times New Roman"/>
          <w:sz w:val="24"/>
          <w:szCs w:val="24"/>
        </w:rPr>
      </w:pPr>
      <w:r w:rsidRPr="00990C7C">
        <w:rPr>
          <w:rFonts w:ascii="Times New Roman" w:hAnsi="Times New Roman" w:cs="Times New Roman"/>
          <w:sz w:val="24"/>
          <w:szCs w:val="24"/>
        </w:rPr>
        <w:t xml:space="preserve">Ekspertai kiekvienai iš savivaldybių pasiūlė šį </w:t>
      </w:r>
      <w:r w:rsidRPr="00990C7C">
        <w:rPr>
          <w:rFonts w:ascii="Times New Roman" w:hAnsi="Times New Roman" w:cs="Times New Roman"/>
          <w:sz w:val="24"/>
          <w:szCs w:val="24"/>
          <w:u w:val="single"/>
        </w:rPr>
        <w:t>priemonių rinkinį</w:t>
      </w:r>
      <w:r w:rsidRPr="00990C7C">
        <w:rPr>
          <w:rFonts w:ascii="Times New Roman" w:hAnsi="Times New Roman" w:cs="Times New Roman"/>
          <w:sz w:val="24"/>
          <w:szCs w:val="24"/>
        </w:rPr>
        <w:t>:</w:t>
      </w:r>
    </w:p>
    <w:p w14:paraId="1EFDC898" w14:textId="5E332246" w:rsidR="006D3391" w:rsidRPr="00990C7C" w:rsidRDefault="006D3391" w:rsidP="009F2E32">
      <w:pPr>
        <w:spacing w:after="0" w:line="240" w:lineRule="auto"/>
        <w:ind w:firstLine="567"/>
        <w:jc w:val="both"/>
        <w:rPr>
          <w:rFonts w:ascii="Times New Roman" w:hAnsi="Times New Roman" w:cs="Times New Roman"/>
          <w:sz w:val="24"/>
          <w:szCs w:val="24"/>
          <w:lang w:eastAsia="lt-LT"/>
        </w:rPr>
      </w:pPr>
      <w:r w:rsidRPr="00990C7C">
        <w:rPr>
          <w:rFonts w:ascii="Times New Roman" w:hAnsi="Times New Roman" w:cs="Times New Roman"/>
          <w:i/>
          <w:iCs/>
          <w:sz w:val="24"/>
          <w:szCs w:val="24"/>
        </w:rPr>
        <w:t xml:space="preserve">1.1. </w:t>
      </w:r>
      <w:proofErr w:type="spellStart"/>
      <w:r w:rsidRPr="00990C7C">
        <w:rPr>
          <w:rFonts w:ascii="Times New Roman" w:hAnsi="Times New Roman" w:cs="Times New Roman"/>
          <w:i/>
          <w:iCs/>
          <w:sz w:val="24"/>
          <w:szCs w:val="24"/>
        </w:rPr>
        <w:t>Dekarbonizuoti</w:t>
      </w:r>
      <w:proofErr w:type="spellEnd"/>
      <w:r w:rsidRPr="00990C7C">
        <w:rPr>
          <w:rFonts w:ascii="Times New Roman" w:hAnsi="Times New Roman" w:cs="Times New Roman"/>
          <w:i/>
          <w:iCs/>
          <w:sz w:val="24"/>
          <w:szCs w:val="24"/>
        </w:rPr>
        <w:t xml:space="preserve"> ATL pramonę </w:t>
      </w:r>
      <w:r w:rsidRPr="00990C7C">
        <w:rPr>
          <w:rFonts w:ascii="Times New Roman" w:hAnsi="Times New Roman" w:cs="Times New Roman"/>
          <w:sz w:val="24"/>
          <w:szCs w:val="24"/>
          <w:lang w:eastAsia="lt-LT"/>
        </w:rPr>
        <w:t>(finansuojami taršiausių pramonės įmonių projektai/galimybių studijos</w:t>
      </w:r>
      <w:r w:rsidRPr="00990C7C">
        <w:rPr>
          <w:rFonts w:ascii="Times New Roman" w:hAnsi="Times New Roman" w:cs="Times New Roman"/>
          <w:sz w:val="24"/>
          <w:szCs w:val="24"/>
        </w:rPr>
        <w:t>)</w:t>
      </w:r>
      <w:r w:rsidRPr="00990C7C">
        <w:rPr>
          <w:rFonts w:ascii="Times New Roman" w:hAnsi="Times New Roman" w:cs="Times New Roman"/>
          <w:sz w:val="24"/>
          <w:szCs w:val="24"/>
          <w:lang w:eastAsia="lt-LT"/>
        </w:rPr>
        <w:t>;</w:t>
      </w:r>
    </w:p>
    <w:p w14:paraId="0905385A" w14:textId="535AE6CD" w:rsidR="006D3391" w:rsidRPr="00990C7C" w:rsidRDefault="006D3391" w:rsidP="009F2E32">
      <w:pPr>
        <w:spacing w:after="0" w:line="240" w:lineRule="auto"/>
        <w:ind w:firstLine="567"/>
        <w:jc w:val="both"/>
        <w:rPr>
          <w:rFonts w:ascii="Times New Roman" w:hAnsi="Times New Roman" w:cs="Times New Roman"/>
          <w:sz w:val="24"/>
          <w:szCs w:val="24"/>
          <w:lang w:eastAsia="lt-LT"/>
        </w:rPr>
      </w:pPr>
      <w:r w:rsidRPr="00990C7C">
        <w:rPr>
          <w:rFonts w:ascii="Times New Roman" w:hAnsi="Times New Roman" w:cs="Times New Roman"/>
          <w:i/>
          <w:iCs/>
          <w:sz w:val="24"/>
          <w:szCs w:val="24"/>
          <w:lang w:eastAsia="lt-LT"/>
        </w:rPr>
        <w:lastRenderedPageBreak/>
        <w:t xml:space="preserve">2.1. Pagerinti sąlygas ir vietos ekosistemą užsienio ir vietos investuotojams </w:t>
      </w:r>
      <w:r w:rsidRPr="00990C7C">
        <w:rPr>
          <w:rFonts w:ascii="Times New Roman" w:hAnsi="Times New Roman" w:cs="Times New Roman"/>
          <w:sz w:val="24"/>
          <w:szCs w:val="24"/>
          <w:lang w:eastAsia="lt-LT"/>
        </w:rPr>
        <w:t>(priemonė, skirta projektams Akmenės raj., Jonavos raj. ir Mažeikių raj. savivaldybėse);</w:t>
      </w:r>
    </w:p>
    <w:p w14:paraId="284F92F6" w14:textId="5BBD59EC" w:rsidR="006D3391" w:rsidRPr="00990C7C" w:rsidRDefault="006D3391" w:rsidP="009F2E32">
      <w:pPr>
        <w:spacing w:after="0" w:line="240" w:lineRule="auto"/>
        <w:ind w:firstLine="567"/>
        <w:jc w:val="both"/>
        <w:rPr>
          <w:rFonts w:ascii="Times New Roman" w:hAnsi="Times New Roman" w:cs="Times New Roman"/>
          <w:sz w:val="24"/>
          <w:szCs w:val="24"/>
          <w:lang w:eastAsia="lt-LT"/>
        </w:rPr>
      </w:pPr>
      <w:r w:rsidRPr="00990C7C">
        <w:rPr>
          <w:rFonts w:ascii="Times New Roman" w:hAnsi="Times New Roman" w:cs="Times New Roman"/>
          <w:sz w:val="24"/>
          <w:szCs w:val="24"/>
          <w:lang w:eastAsia="lt-LT"/>
        </w:rPr>
        <w:t>2</w:t>
      </w:r>
      <w:r w:rsidRPr="00990C7C">
        <w:rPr>
          <w:rFonts w:ascii="Times New Roman" w:hAnsi="Times New Roman" w:cs="Times New Roman"/>
          <w:i/>
          <w:iCs/>
          <w:sz w:val="24"/>
          <w:szCs w:val="24"/>
          <w:lang w:eastAsia="lt-LT"/>
        </w:rPr>
        <w:t xml:space="preserve">.2. Pritraukti užsienio ir vietos investuotojus su dideliu darbo vietų kūrimo potencialu </w:t>
      </w:r>
      <w:r w:rsidRPr="00990C7C">
        <w:rPr>
          <w:rFonts w:ascii="Times New Roman" w:hAnsi="Times New Roman" w:cs="Times New Roman"/>
          <w:sz w:val="24"/>
          <w:szCs w:val="24"/>
          <w:lang w:eastAsia="lt-LT"/>
        </w:rPr>
        <w:t>(skirta projektams Akmenės raj., Jonavos raj. ir Mažeikių raj. savivaldybėse);</w:t>
      </w:r>
    </w:p>
    <w:p w14:paraId="05A4D14A" w14:textId="390F35D5" w:rsidR="006D3391" w:rsidRPr="00990C7C" w:rsidRDefault="006D3391" w:rsidP="009F2E32">
      <w:pPr>
        <w:spacing w:after="0" w:line="240" w:lineRule="auto"/>
        <w:ind w:firstLine="567"/>
        <w:jc w:val="both"/>
        <w:rPr>
          <w:rFonts w:ascii="Times New Roman" w:hAnsi="Times New Roman" w:cs="Times New Roman"/>
          <w:sz w:val="24"/>
          <w:szCs w:val="24"/>
          <w:lang w:eastAsia="lt-LT"/>
        </w:rPr>
      </w:pPr>
      <w:r w:rsidRPr="00990C7C">
        <w:rPr>
          <w:rFonts w:ascii="Times New Roman" w:hAnsi="Times New Roman" w:cs="Times New Roman"/>
          <w:sz w:val="24"/>
          <w:szCs w:val="24"/>
          <w:lang w:eastAsia="lt-LT"/>
        </w:rPr>
        <w:t>2</w:t>
      </w:r>
      <w:r w:rsidRPr="00990C7C">
        <w:rPr>
          <w:rFonts w:ascii="Times New Roman" w:hAnsi="Times New Roman" w:cs="Times New Roman"/>
          <w:i/>
          <w:iCs/>
          <w:sz w:val="24"/>
          <w:szCs w:val="24"/>
          <w:lang w:eastAsia="lt-LT"/>
        </w:rPr>
        <w:t xml:space="preserve">.3. Vystyti pramonės įmones, siekiant jų transformacijos, veiklos įvairinimo, modernizavimo ir pertvarkymo </w:t>
      </w:r>
      <w:r w:rsidRPr="00990C7C">
        <w:rPr>
          <w:rFonts w:ascii="Times New Roman" w:hAnsi="Times New Roman" w:cs="Times New Roman"/>
          <w:sz w:val="24"/>
          <w:szCs w:val="24"/>
          <w:lang w:eastAsia="lt-LT"/>
        </w:rPr>
        <w:t xml:space="preserve">(skirta įmonėms veikiančioms Kauno, Klaipėdos, Šiaulių ir Telšių regionuose). </w:t>
      </w:r>
    </w:p>
    <w:p w14:paraId="1791034C" w14:textId="77777777" w:rsidR="00983118" w:rsidRPr="00990C7C" w:rsidRDefault="00983118" w:rsidP="009F2E32">
      <w:pPr>
        <w:spacing w:after="0" w:line="240" w:lineRule="auto"/>
        <w:ind w:firstLine="567"/>
        <w:jc w:val="both"/>
        <w:rPr>
          <w:rFonts w:ascii="Times New Roman" w:hAnsi="Times New Roman" w:cs="Times New Roman"/>
          <w:sz w:val="24"/>
          <w:szCs w:val="24"/>
          <w:lang w:eastAsia="lt-LT"/>
        </w:rPr>
      </w:pPr>
    </w:p>
    <w:p w14:paraId="3803303A" w14:textId="131D7CAE" w:rsidR="006C2114" w:rsidRPr="00990C7C" w:rsidRDefault="009F2E32" w:rsidP="009F2E32">
      <w:pPr>
        <w:spacing w:after="0" w:line="240" w:lineRule="auto"/>
        <w:ind w:firstLine="567"/>
        <w:jc w:val="both"/>
        <w:rPr>
          <w:rFonts w:ascii="Times New Roman" w:hAnsi="Times New Roman" w:cs="Times New Roman"/>
          <w:sz w:val="24"/>
          <w:szCs w:val="24"/>
          <w:lang w:eastAsia="lt-LT"/>
        </w:rPr>
      </w:pPr>
      <w:r w:rsidRPr="00990C7C">
        <w:rPr>
          <w:rFonts w:ascii="Times New Roman" w:hAnsi="Times New Roman" w:cs="Times New Roman"/>
          <w:sz w:val="24"/>
          <w:szCs w:val="24"/>
          <w:u w:val="single"/>
          <w:lang w:eastAsia="lt-LT"/>
        </w:rPr>
        <w:t xml:space="preserve">Ekspertų analizės atlikimo metu ir </w:t>
      </w:r>
      <w:r w:rsidR="007A4DFD" w:rsidRPr="00990C7C">
        <w:rPr>
          <w:rFonts w:ascii="Times New Roman" w:hAnsi="Times New Roman" w:cs="Times New Roman"/>
          <w:sz w:val="24"/>
          <w:szCs w:val="24"/>
          <w:u w:val="single"/>
          <w:lang w:eastAsia="lt-LT"/>
        </w:rPr>
        <w:t xml:space="preserve">atlikus </w:t>
      </w:r>
      <w:r w:rsidR="00DB37F1" w:rsidRPr="00990C7C">
        <w:rPr>
          <w:rFonts w:ascii="Times New Roman" w:hAnsi="Times New Roman" w:cs="Times New Roman"/>
          <w:sz w:val="24"/>
          <w:szCs w:val="24"/>
          <w:u w:val="single"/>
          <w:lang w:eastAsia="lt-LT"/>
        </w:rPr>
        <w:t>analizę nemažai aplinkybių pasikeitė</w:t>
      </w:r>
      <w:r w:rsidR="006C2114" w:rsidRPr="00990C7C">
        <w:rPr>
          <w:rFonts w:ascii="Times New Roman" w:hAnsi="Times New Roman" w:cs="Times New Roman"/>
          <w:sz w:val="24"/>
          <w:szCs w:val="24"/>
          <w:lang w:eastAsia="lt-LT"/>
        </w:rPr>
        <w:t>:</w:t>
      </w:r>
    </w:p>
    <w:p w14:paraId="6B9E94A9" w14:textId="2B734D1B" w:rsidR="009F2E32" w:rsidRPr="00990C7C" w:rsidRDefault="19D168D9" w:rsidP="009F2E32">
      <w:pPr>
        <w:pStyle w:val="ListParagraph"/>
        <w:numPr>
          <w:ilvl w:val="0"/>
          <w:numId w:val="2"/>
        </w:numPr>
        <w:tabs>
          <w:tab w:val="left" w:pos="709"/>
        </w:tabs>
        <w:spacing w:after="0" w:line="240" w:lineRule="auto"/>
        <w:ind w:left="0" w:firstLine="567"/>
        <w:jc w:val="both"/>
        <w:rPr>
          <w:rFonts w:ascii="Times New Roman" w:hAnsi="Times New Roman" w:cs="Times New Roman"/>
          <w:sz w:val="24"/>
          <w:szCs w:val="24"/>
          <w:lang w:eastAsia="lt-LT"/>
        </w:rPr>
      </w:pPr>
      <w:r w:rsidRPr="00990C7C">
        <w:rPr>
          <w:rFonts w:ascii="Times New Roman" w:hAnsi="Times New Roman" w:cs="Times New Roman"/>
          <w:sz w:val="24"/>
          <w:szCs w:val="24"/>
          <w:lang w:eastAsia="lt-LT"/>
        </w:rPr>
        <w:t xml:space="preserve">Parengtas EK tarnybų darbinis dokumentas dėl TTPP, kuriame pateiktas TPF reglamento nuostatų išaiškinimas, pagal kurį išaiškinta, kad TTPP turi būti skirtas konkrečioms teritorijoms, kurioms dėl pertvarkos bus daromas didžiausias neigiamas </w:t>
      </w:r>
      <w:r w:rsidRPr="00990C7C">
        <w:rPr>
          <w:rFonts w:ascii="Times New Roman" w:hAnsi="Times New Roman" w:cs="Times New Roman"/>
          <w:i/>
          <w:iCs/>
          <w:sz w:val="24"/>
          <w:szCs w:val="24"/>
        </w:rPr>
        <w:t>ekonominis ir socialinis poveikis</w:t>
      </w:r>
      <w:r w:rsidRPr="00990C7C">
        <w:rPr>
          <w:rFonts w:ascii="Times New Roman" w:hAnsi="Times New Roman" w:cs="Times New Roman"/>
          <w:sz w:val="24"/>
          <w:szCs w:val="24"/>
        </w:rPr>
        <w:t xml:space="preserve">, visų pirma dėl numatomo </w:t>
      </w:r>
      <w:r w:rsidRPr="00990C7C">
        <w:rPr>
          <w:rFonts w:ascii="Times New Roman" w:hAnsi="Times New Roman" w:cs="Times New Roman"/>
          <w:i/>
          <w:iCs/>
          <w:sz w:val="24"/>
          <w:szCs w:val="24"/>
        </w:rPr>
        <w:t>darbo vietų sumažėjimo</w:t>
      </w:r>
      <w:r w:rsidRPr="00990C7C">
        <w:rPr>
          <w:rFonts w:ascii="Times New Roman" w:hAnsi="Times New Roman" w:cs="Times New Roman"/>
          <w:sz w:val="24"/>
          <w:szCs w:val="24"/>
        </w:rPr>
        <w:t xml:space="preserve"> ir šiltnamio efektą sukeliančiomis dujomis taršiausių </w:t>
      </w:r>
      <w:r w:rsidRPr="00990C7C">
        <w:rPr>
          <w:rFonts w:ascii="Times New Roman" w:hAnsi="Times New Roman" w:cs="Times New Roman"/>
          <w:i/>
          <w:iCs/>
          <w:sz w:val="24"/>
          <w:szCs w:val="24"/>
        </w:rPr>
        <w:t>pramonės įrenginių gamybos procesų pertvarkymo</w:t>
      </w:r>
      <w:r w:rsidRPr="00990C7C">
        <w:rPr>
          <w:rFonts w:ascii="Times New Roman" w:hAnsi="Times New Roman" w:cs="Times New Roman"/>
          <w:sz w:val="24"/>
          <w:szCs w:val="24"/>
        </w:rPr>
        <w:t>. Remiantis ekspertų analize Klaipėdos regionui nenustatytas reikšmingas poveikis, todėl atsižvelgus į šią nuostatą Klaipėdos regionui TPF lėšos nenumatomos.</w:t>
      </w:r>
    </w:p>
    <w:p w14:paraId="5A3A3DFF" w14:textId="77777777" w:rsidR="009F2E32" w:rsidRPr="00990C7C" w:rsidRDefault="002F451A" w:rsidP="009F2E32">
      <w:pPr>
        <w:pStyle w:val="ListParagraph"/>
        <w:numPr>
          <w:ilvl w:val="0"/>
          <w:numId w:val="2"/>
        </w:numPr>
        <w:tabs>
          <w:tab w:val="left" w:pos="709"/>
        </w:tabs>
        <w:spacing w:after="0" w:line="240" w:lineRule="auto"/>
        <w:ind w:left="0" w:firstLine="567"/>
        <w:jc w:val="both"/>
        <w:rPr>
          <w:rFonts w:ascii="Times New Roman" w:hAnsi="Times New Roman" w:cs="Times New Roman"/>
          <w:sz w:val="24"/>
          <w:szCs w:val="24"/>
          <w:lang w:eastAsia="lt-LT"/>
        </w:rPr>
      </w:pPr>
      <w:r w:rsidRPr="00990C7C">
        <w:rPr>
          <w:rFonts w:ascii="Times New Roman" w:hAnsi="Times New Roman" w:cs="Times New Roman"/>
          <w:sz w:val="24"/>
          <w:szCs w:val="24"/>
        </w:rPr>
        <w:t>Klimato kaitos ir valdymo darbotvarkėje, kuriai Lietuvos Respublikos Seimas pritarė š. m. birželio 28 d. nustatyti ambicingesni tikslai pramonės sektoriui: ATL prekybos sistemoje dalyvaujantis sektorius iki 2045 metų turi atsisakyti iškastinio kuro panaudojimo gamybos procesuose; o iki 2050 metų diegiant CO</w:t>
      </w:r>
      <w:r w:rsidRPr="00990C7C">
        <w:rPr>
          <w:rFonts w:ascii="Times New Roman" w:hAnsi="Times New Roman" w:cs="Times New Roman"/>
          <w:sz w:val="24"/>
          <w:szCs w:val="24"/>
          <w:vertAlign w:val="subscript"/>
        </w:rPr>
        <w:t xml:space="preserve">2 </w:t>
      </w:r>
      <w:r w:rsidRPr="00990C7C">
        <w:rPr>
          <w:rFonts w:ascii="Times New Roman" w:hAnsi="Times New Roman" w:cs="Times New Roman"/>
          <w:sz w:val="24"/>
          <w:szCs w:val="24"/>
        </w:rPr>
        <w:t>sugavimo ir panaudojimo technologijas užtikrinti 0 emisijas pramonės įmonėse.</w:t>
      </w:r>
    </w:p>
    <w:p w14:paraId="6AFA8690" w14:textId="6866EC0A" w:rsidR="009F2E32" w:rsidRPr="00990C7C" w:rsidRDefault="19D168D9" w:rsidP="009F2E32">
      <w:pPr>
        <w:pStyle w:val="ListParagraph"/>
        <w:numPr>
          <w:ilvl w:val="0"/>
          <w:numId w:val="2"/>
        </w:numPr>
        <w:tabs>
          <w:tab w:val="left" w:pos="709"/>
        </w:tabs>
        <w:spacing w:after="0" w:line="240" w:lineRule="auto"/>
        <w:ind w:left="0" w:firstLine="567"/>
        <w:jc w:val="both"/>
        <w:rPr>
          <w:rFonts w:ascii="Times New Roman" w:hAnsi="Times New Roman" w:cs="Times New Roman"/>
          <w:sz w:val="24"/>
          <w:szCs w:val="24"/>
          <w:lang w:eastAsia="lt-LT"/>
        </w:rPr>
      </w:pPr>
      <w:bookmarkStart w:id="0" w:name="_Hlk89840273"/>
      <w:r w:rsidRPr="00990C7C">
        <w:rPr>
          <w:rFonts w:ascii="Times New Roman" w:hAnsi="Times New Roman" w:cs="Times New Roman"/>
          <w:sz w:val="24"/>
          <w:szCs w:val="24"/>
        </w:rPr>
        <w:t>Nacionalinės sistemos nebuvimas siekiant skatinti CO</w:t>
      </w:r>
      <w:r w:rsidRPr="00990C7C">
        <w:rPr>
          <w:rFonts w:ascii="Times New Roman" w:hAnsi="Times New Roman" w:cs="Times New Roman"/>
          <w:sz w:val="24"/>
          <w:szCs w:val="24"/>
          <w:vertAlign w:val="subscript"/>
        </w:rPr>
        <w:t>2</w:t>
      </w:r>
      <w:r w:rsidRPr="00990C7C">
        <w:rPr>
          <w:rFonts w:ascii="Times New Roman" w:hAnsi="Times New Roman" w:cs="Times New Roman"/>
          <w:sz w:val="24"/>
          <w:szCs w:val="24"/>
        </w:rPr>
        <w:t xml:space="preserve"> sugavimo ir panaudojimo technologijų panaudojimą pramonės įmonėse</w:t>
      </w:r>
      <w:r w:rsidR="00A9795C" w:rsidRPr="00990C7C">
        <w:rPr>
          <w:rFonts w:ascii="Times New Roman" w:hAnsi="Times New Roman" w:cs="Times New Roman"/>
          <w:sz w:val="24"/>
          <w:szCs w:val="24"/>
        </w:rPr>
        <w:t xml:space="preserve"> (analizės atlikimo metu ši aplinkybė nebuvo įvertinta ekspertų, todėl buvo pasiūlytos veiklos, susijusios su CO</w:t>
      </w:r>
      <w:r w:rsidR="00A9795C" w:rsidRPr="00990C7C">
        <w:rPr>
          <w:rFonts w:ascii="Times New Roman" w:hAnsi="Times New Roman" w:cs="Times New Roman"/>
          <w:sz w:val="24"/>
          <w:szCs w:val="24"/>
          <w:vertAlign w:val="subscript"/>
        </w:rPr>
        <w:t>2</w:t>
      </w:r>
      <w:r w:rsidR="00A9795C" w:rsidRPr="00990C7C">
        <w:rPr>
          <w:rFonts w:ascii="Times New Roman" w:hAnsi="Times New Roman" w:cs="Times New Roman"/>
          <w:sz w:val="24"/>
          <w:szCs w:val="24"/>
        </w:rPr>
        <w:t xml:space="preserve"> sugavimo ir panaudojimo technologijų diegimus pramonės įmonėse).</w:t>
      </w:r>
    </w:p>
    <w:bookmarkEnd w:id="0"/>
    <w:p w14:paraId="5C1444D9" w14:textId="77113A67" w:rsidR="002F451A" w:rsidRPr="00990C7C" w:rsidRDefault="002F451A" w:rsidP="003E2721">
      <w:pPr>
        <w:pStyle w:val="ListParagraph"/>
        <w:numPr>
          <w:ilvl w:val="0"/>
          <w:numId w:val="2"/>
        </w:numPr>
        <w:tabs>
          <w:tab w:val="left" w:pos="709"/>
          <w:tab w:val="left" w:pos="1134"/>
        </w:tabs>
        <w:spacing w:after="0" w:line="240" w:lineRule="auto"/>
        <w:ind w:left="0" w:firstLine="567"/>
        <w:jc w:val="both"/>
        <w:rPr>
          <w:rFonts w:ascii="Times New Roman" w:hAnsi="Times New Roman" w:cs="Times New Roman"/>
          <w:sz w:val="24"/>
          <w:szCs w:val="24"/>
          <w:lang w:eastAsia="lt-LT"/>
        </w:rPr>
      </w:pPr>
      <w:r w:rsidRPr="00990C7C">
        <w:rPr>
          <w:rFonts w:ascii="Times New Roman" w:hAnsi="Times New Roman" w:cs="Times New Roman"/>
          <w:sz w:val="24"/>
          <w:szCs w:val="24"/>
        </w:rPr>
        <w:t>Pakitęs ir tikslesnis savivaldybių ir įmonių poreikis įgyvendinti projektus, prisidėsiančios prie neutralaus poveikio klimatui ekonomikos vystymosi.</w:t>
      </w:r>
    </w:p>
    <w:p w14:paraId="6F6DE944" w14:textId="77777777" w:rsidR="009F2E32" w:rsidRPr="00990C7C" w:rsidRDefault="009F2E32" w:rsidP="009F2E32">
      <w:pPr>
        <w:spacing w:after="0" w:line="240" w:lineRule="auto"/>
        <w:ind w:firstLine="567"/>
        <w:jc w:val="both"/>
        <w:rPr>
          <w:rFonts w:ascii="Times New Roman" w:hAnsi="Times New Roman" w:cs="Times New Roman"/>
          <w:sz w:val="24"/>
          <w:szCs w:val="24"/>
          <w:lang w:eastAsia="lt-LT"/>
        </w:rPr>
      </w:pPr>
    </w:p>
    <w:p w14:paraId="75CE5393" w14:textId="11A3643A" w:rsidR="002F451A" w:rsidRPr="00990C7C" w:rsidRDefault="002F451A" w:rsidP="009F2E32">
      <w:pPr>
        <w:spacing w:after="0" w:line="240" w:lineRule="auto"/>
        <w:ind w:firstLine="567"/>
        <w:jc w:val="both"/>
        <w:rPr>
          <w:rFonts w:ascii="Times New Roman" w:hAnsi="Times New Roman" w:cs="Times New Roman"/>
          <w:sz w:val="24"/>
          <w:szCs w:val="24"/>
          <w:lang w:eastAsia="lt-LT"/>
        </w:rPr>
      </w:pPr>
      <w:r w:rsidRPr="00990C7C">
        <w:rPr>
          <w:rFonts w:ascii="Times New Roman" w:hAnsi="Times New Roman" w:cs="Times New Roman"/>
          <w:sz w:val="24"/>
          <w:szCs w:val="24"/>
          <w:lang w:eastAsia="lt-LT"/>
        </w:rPr>
        <w:t xml:space="preserve">Įvertinus šias aplinkybes ir vykusių diskusijų su suinteresuotų savivaldybių, regioninės plėtros tarybų, įmonių, socialinių ekonominių partnerių atstovais išvadas, </w:t>
      </w:r>
      <w:r w:rsidRPr="00990C7C">
        <w:rPr>
          <w:rFonts w:ascii="Times New Roman" w:hAnsi="Times New Roman" w:cs="Times New Roman"/>
          <w:b/>
          <w:bCs/>
          <w:sz w:val="24"/>
          <w:szCs w:val="24"/>
          <w:lang w:eastAsia="lt-LT"/>
        </w:rPr>
        <w:t>siūlome</w:t>
      </w:r>
      <w:r w:rsidRPr="00990C7C">
        <w:rPr>
          <w:rFonts w:ascii="Times New Roman" w:hAnsi="Times New Roman" w:cs="Times New Roman"/>
          <w:sz w:val="24"/>
          <w:szCs w:val="24"/>
          <w:lang w:eastAsia="lt-LT"/>
        </w:rPr>
        <w:t xml:space="preserve"> išlaikyti ekspertų pasiūlytas </w:t>
      </w:r>
      <w:r w:rsidR="000678A4" w:rsidRPr="00990C7C">
        <w:rPr>
          <w:rFonts w:ascii="Times New Roman" w:hAnsi="Times New Roman" w:cs="Times New Roman"/>
          <w:b/>
          <w:bCs/>
          <w:sz w:val="24"/>
          <w:szCs w:val="24"/>
          <w:u w:val="single"/>
          <w:lang w:eastAsia="lt-LT"/>
        </w:rPr>
        <w:t>TPF</w:t>
      </w:r>
      <w:r w:rsidRPr="00990C7C">
        <w:rPr>
          <w:rFonts w:ascii="Times New Roman" w:hAnsi="Times New Roman" w:cs="Times New Roman"/>
          <w:sz w:val="24"/>
          <w:szCs w:val="24"/>
          <w:u w:val="single"/>
          <w:lang w:eastAsia="lt-LT"/>
        </w:rPr>
        <w:t xml:space="preserve"> investicijų kryptis</w:t>
      </w:r>
      <w:r w:rsidRPr="00990C7C">
        <w:rPr>
          <w:rFonts w:ascii="Times New Roman" w:hAnsi="Times New Roman" w:cs="Times New Roman"/>
          <w:sz w:val="24"/>
          <w:szCs w:val="24"/>
          <w:lang w:eastAsia="lt-LT"/>
        </w:rPr>
        <w:t xml:space="preserve"> investuojant į pramonės dekarbonizaciją (1) ir tvarių darbo vietų kūrimą (2).</w:t>
      </w:r>
    </w:p>
    <w:p w14:paraId="0501E272" w14:textId="0BF2CFFC" w:rsidR="009F2E32" w:rsidRPr="00990C7C" w:rsidRDefault="00DB37F1" w:rsidP="009F2E32">
      <w:pPr>
        <w:spacing w:after="0" w:line="240" w:lineRule="auto"/>
        <w:ind w:firstLine="567"/>
        <w:jc w:val="both"/>
        <w:rPr>
          <w:rFonts w:ascii="Times New Roman" w:hAnsi="Times New Roman" w:cs="Times New Roman"/>
          <w:sz w:val="24"/>
          <w:szCs w:val="24"/>
          <w:lang w:eastAsia="lt-LT"/>
        </w:rPr>
      </w:pPr>
      <w:r w:rsidRPr="00990C7C">
        <w:rPr>
          <w:rFonts w:ascii="Times New Roman" w:hAnsi="Times New Roman" w:cs="Times New Roman"/>
          <w:sz w:val="24"/>
          <w:szCs w:val="24"/>
          <w:lang w:eastAsia="lt-LT"/>
        </w:rPr>
        <w:t>Siūlomos TPF investicijų kryptys ir veiklos:</w:t>
      </w:r>
    </w:p>
    <w:p w14:paraId="07AB6A2C" w14:textId="01EB8C2A" w:rsidR="00DB37F1" w:rsidRPr="00990C7C" w:rsidRDefault="002F451A" w:rsidP="00DB37F1">
      <w:pPr>
        <w:pStyle w:val="ListParagraph"/>
        <w:numPr>
          <w:ilvl w:val="0"/>
          <w:numId w:val="3"/>
        </w:numPr>
        <w:tabs>
          <w:tab w:val="left" w:pos="851"/>
        </w:tabs>
        <w:spacing w:after="0" w:line="240" w:lineRule="auto"/>
        <w:ind w:hanging="153"/>
        <w:jc w:val="both"/>
        <w:rPr>
          <w:rFonts w:ascii="Times New Roman" w:hAnsi="Times New Roman" w:cs="Times New Roman"/>
          <w:sz w:val="24"/>
          <w:szCs w:val="24"/>
          <w:lang w:eastAsia="lt-LT"/>
        </w:rPr>
      </w:pPr>
      <w:r w:rsidRPr="00990C7C">
        <w:rPr>
          <w:rFonts w:ascii="Times New Roman" w:hAnsi="Times New Roman" w:cs="Times New Roman"/>
          <w:b/>
          <w:bCs/>
          <w:sz w:val="24"/>
          <w:szCs w:val="24"/>
          <w:u w:val="single"/>
          <w:lang w:eastAsia="lt-LT"/>
        </w:rPr>
        <w:t>Pramonės dekarbonizacijos veiklos:</w:t>
      </w:r>
    </w:p>
    <w:p w14:paraId="6B8E910F" w14:textId="5B157EC6" w:rsidR="00DB37F1" w:rsidRPr="00990C7C" w:rsidRDefault="00DB37F1" w:rsidP="00DB37F1">
      <w:pPr>
        <w:pStyle w:val="ListParagraph"/>
        <w:numPr>
          <w:ilvl w:val="1"/>
          <w:numId w:val="3"/>
        </w:numPr>
        <w:tabs>
          <w:tab w:val="left" w:pos="851"/>
        </w:tabs>
        <w:spacing w:after="0" w:line="240" w:lineRule="auto"/>
        <w:ind w:left="0" w:firstLine="567"/>
        <w:jc w:val="both"/>
        <w:rPr>
          <w:rFonts w:ascii="Times New Roman" w:hAnsi="Times New Roman" w:cs="Times New Roman"/>
          <w:sz w:val="24"/>
          <w:szCs w:val="24"/>
          <w:lang w:eastAsia="lt-LT"/>
        </w:rPr>
      </w:pPr>
      <w:r w:rsidRPr="00990C7C">
        <w:rPr>
          <w:rFonts w:ascii="Times New Roman" w:hAnsi="Times New Roman" w:cs="Times New Roman"/>
          <w:sz w:val="24"/>
          <w:szCs w:val="24"/>
          <w:lang w:eastAsia="lt-LT"/>
        </w:rPr>
        <w:t>Elektrolizės integravimo į amoniako agregatą (30% H</w:t>
      </w:r>
      <w:r w:rsidRPr="00990C7C">
        <w:rPr>
          <w:rFonts w:ascii="Times New Roman" w:hAnsi="Times New Roman" w:cs="Times New Roman"/>
          <w:sz w:val="24"/>
          <w:szCs w:val="24"/>
          <w:vertAlign w:val="subscript"/>
          <w:lang w:eastAsia="lt-LT"/>
        </w:rPr>
        <w:t>2</w:t>
      </w:r>
      <w:r w:rsidRPr="00990C7C">
        <w:rPr>
          <w:rFonts w:ascii="Times New Roman" w:hAnsi="Times New Roman" w:cs="Times New Roman"/>
          <w:sz w:val="24"/>
          <w:szCs w:val="24"/>
          <w:lang w:eastAsia="lt-LT"/>
        </w:rPr>
        <w:t xml:space="preserve"> pakeitimas) I etapas. Projekto vertė:  270 mln. Eur, siūloma skirti 122,65 mln. Eur TPF lėšų.</w:t>
      </w:r>
    </w:p>
    <w:p w14:paraId="796A80B4" w14:textId="0161C8B3" w:rsidR="00DB37F1" w:rsidRPr="00990C7C" w:rsidRDefault="19D168D9" w:rsidP="003E2721">
      <w:pPr>
        <w:pStyle w:val="ListParagraph"/>
        <w:numPr>
          <w:ilvl w:val="1"/>
          <w:numId w:val="3"/>
        </w:numPr>
        <w:tabs>
          <w:tab w:val="left" w:pos="851"/>
        </w:tabs>
        <w:spacing w:after="0" w:line="240" w:lineRule="auto"/>
        <w:ind w:left="0" w:firstLine="567"/>
        <w:jc w:val="both"/>
        <w:rPr>
          <w:rFonts w:ascii="Times New Roman" w:hAnsi="Times New Roman" w:cs="Times New Roman"/>
          <w:sz w:val="24"/>
          <w:szCs w:val="24"/>
          <w:lang w:eastAsia="lt-LT"/>
        </w:rPr>
      </w:pPr>
      <w:r w:rsidRPr="00990C7C">
        <w:rPr>
          <w:rFonts w:ascii="Times New Roman" w:hAnsi="Times New Roman" w:cs="Times New Roman"/>
          <w:sz w:val="24"/>
          <w:szCs w:val="24"/>
          <w:lang w:eastAsia="lt-LT"/>
        </w:rPr>
        <w:t>CO2 sugavimo ir saugojimo, vandenilio ir kitų inovatyvių technologijų panaudojimo galimybės (galimybių studija). Projekto vertė (TPF lėšos): 0,5 mln. Eur.</w:t>
      </w:r>
    </w:p>
    <w:p w14:paraId="080137AB" w14:textId="04F807FC" w:rsidR="002F451A" w:rsidRPr="00990C7C" w:rsidRDefault="00983118" w:rsidP="003E2721">
      <w:pPr>
        <w:pStyle w:val="ListParagraph"/>
        <w:numPr>
          <w:ilvl w:val="0"/>
          <w:numId w:val="3"/>
        </w:numPr>
        <w:tabs>
          <w:tab w:val="left" w:pos="851"/>
        </w:tabs>
        <w:ind w:hanging="153"/>
        <w:rPr>
          <w:rFonts w:ascii="Times New Roman" w:hAnsi="Times New Roman" w:cs="Times New Roman"/>
          <w:b/>
          <w:bCs/>
          <w:sz w:val="24"/>
          <w:szCs w:val="24"/>
          <w:u w:val="single"/>
          <w:lang w:eastAsia="lt-LT"/>
        </w:rPr>
      </w:pPr>
      <w:r w:rsidRPr="00990C7C">
        <w:rPr>
          <w:rFonts w:ascii="Times New Roman" w:hAnsi="Times New Roman" w:cs="Times New Roman"/>
          <w:b/>
          <w:bCs/>
          <w:sz w:val="24"/>
          <w:szCs w:val="24"/>
          <w:u w:val="single"/>
          <w:lang w:eastAsia="lt-LT"/>
        </w:rPr>
        <w:t>Tvarių darbo vietų kūrimo veiklos:</w:t>
      </w:r>
    </w:p>
    <w:p w14:paraId="00B07C27" w14:textId="524FB93F" w:rsidR="00E14FD9" w:rsidRPr="00990C7C" w:rsidRDefault="19D168D9" w:rsidP="003E2721">
      <w:pPr>
        <w:pStyle w:val="ListParagraph"/>
        <w:numPr>
          <w:ilvl w:val="1"/>
          <w:numId w:val="3"/>
        </w:numPr>
        <w:tabs>
          <w:tab w:val="left" w:pos="709"/>
        </w:tabs>
        <w:spacing w:after="0" w:line="240" w:lineRule="auto"/>
        <w:ind w:left="0" w:firstLine="567"/>
        <w:jc w:val="both"/>
        <w:rPr>
          <w:rFonts w:ascii="Times New Roman" w:hAnsi="Times New Roman" w:cs="Times New Roman"/>
          <w:sz w:val="24"/>
          <w:szCs w:val="24"/>
        </w:rPr>
      </w:pPr>
      <w:r w:rsidRPr="00990C7C">
        <w:rPr>
          <w:rFonts w:ascii="Times New Roman" w:hAnsi="Times New Roman" w:cs="Times New Roman"/>
          <w:sz w:val="24"/>
          <w:szCs w:val="24"/>
          <w:lang w:eastAsia="lt-LT"/>
        </w:rPr>
        <w:t xml:space="preserve"> Sąlygų ir vietos ekosistemos užsienio ir vietos investuotojams pagerinimas. Investuojama į kiekvienos iš savivaldybių projektus, kuriais kuriami arba plėtojami LEZ, pramonės parkas ar pramoninė teritorija. TPF lėšos: 8,6 mln. Eur (Jonavos raj. savivaldybė); 27 mln. Eur (Akmenės raj. savivaldybė); 10,25 mln. Eur (Mažeikių raj. savivaldybė).</w:t>
      </w:r>
    </w:p>
    <w:p w14:paraId="78920608" w14:textId="36F1156F" w:rsidR="003B34AD" w:rsidRPr="00990C7C" w:rsidRDefault="00983118" w:rsidP="003E2721">
      <w:pPr>
        <w:pStyle w:val="ListParagraph"/>
        <w:numPr>
          <w:ilvl w:val="1"/>
          <w:numId w:val="3"/>
        </w:numPr>
        <w:tabs>
          <w:tab w:val="left" w:pos="709"/>
        </w:tabs>
        <w:spacing w:after="0" w:line="240" w:lineRule="auto"/>
        <w:ind w:left="0" w:firstLine="567"/>
        <w:jc w:val="both"/>
        <w:rPr>
          <w:rFonts w:ascii="Times New Roman" w:hAnsi="Times New Roman" w:cs="Times New Roman"/>
          <w:sz w:val="24"/>
          <w:szCs w:val="24"/>
        </w:rPr>
      </w:pPr>
      <w:r w:rsidRPr="00990C7C">
        <w:rPr>
          <w:rFonts w:ascii="Times New Roman" w:hAnsi="Times New Roman" w:cs="Times New Roman"/>
          <w:sz w:val="24"/>
          <w:szCs w:val="24"/>
        </w:rPr>
        <w:t>Užsienio ir vietos investuotojų su dideliu darbo vietų kūrimo potencialu pritraukimas. Numatoma investuoti į: užsienio ir vietos investuotojų pritraukimą; darbuotojų ir darbo ieškančių asmenų kvalifikacijos kėlimą ir perkvalifikavimą</w:t>
      </w:r>
      <w:r w:rsidR="00A16731" w:rsidRPr="00990C7C">
        <w:rPr>
          <w:rFonts w:ascii="Times New Roman" w:hAnsi="Times New Roman" w:cs="Times New Roman"/>
          <w:sz w:val="24"/>
          <w:szCs w:val="24"/>
        </w:rPr>
        <w:t xml:space="preserve">, </w:t>
      </w:r>
      <w:r w:rsidRPr="00990C7C">
        <w:rPr>
          <w:rFonts w:ascii="Times New Roman" w:hAnsi="Times New Roman" w:cs="Times New Roman"/>
          <w:sz w:val="24"/>
          <w:szCs w:val="24"/>
        </w:rPr>
        <w:t>esamų studijų programų pritaikymą arba naujų kūrimą, atsižvelgiant į vietos darbo rinkos poreikius. TPF lėšos: 19 mln. Eur (Akmenės raj. sav.); 21 mln. Eur (Jonavos raj. sav.); 27 mln. Eur (Mažeikių raj. sav.).</w:t>
      </w:r>
    </w:p>
    <w:p w14:paraId="5934034C" w14:textId="1495E948" w:rsidR="00CE5068" w:rsidRPr="00990C7C" w:rsidRDefault="19D168D9" w:rsidP="001023B9">
      <w:pPr>
        <w:pStyle w:val="ListParagraph"/>
        <w:numPr>
          <w:ilvl w:val="1"/>
          <w:numId w:val="3"/>
        </w:numPr>
        <w:tabs>
          <w:tab w:val="left" w:pos="709"/>
        </w:tabs>
        <w:spacing w:after="0" w:line="240" w:lineRule="auto"/>
        <w:ind w:left="0" w:firstLine="567"/>
        <w:jc w:val="both"/>
        <w:rPr>
          <w:rFonts w:ascii="Times New Roman" w:hAnsi="Times New Roman" w:cs="Times New Roman"/>
          <w:sz w:val="24"/>
          <w:szCs w:val="24"/>
        </w:rPr>
        <w:sectPr w:rsidR="00CE5068" w:rsidRPr="00990C7C" w:rsidSect="00983118">
          <w:footerReference w:type="default" r:id="rId8"/>
          <w:pgSz w:w="11906" w:h="16838"/>
          <w:pgMar w:top="1134" w:right="567" w:bottom="1134" w:left="1701" w:header="567" w:footer="567" w:gutter="0"/>
          <w:cols w:space="1296"/>
          <w:docGrid w:linePitch="360"/>
        </w:sectPr>
      </w:pPr>
      <w:r w:rsidRPr="00990C7C">
        <w:rPr>
          <w:rFonts w:ascii="Times New Roman" w:hAnsi="Times New Roman" w:cs="Times New Roman"/>
          <w:sz w:val="24"/>
          <w:szCs w:val="24"/>
        </w:rPr>
        <w:t xml:space="preserve">Pramonės įmonių, siekiant jų transformacijos, veiklos įvairinimo, modernizavimo ir pertvarkymo, vystymas. Numatomos gamybinės investicijos, į technologinį </w:t>
      </w:r>
      <w:proofErr w:type="spellStart"/>
      <w:r w:rsidRPr="00990C7C">
        <w:rPr>
          <w:rFonts w:ascii="Times New Roman" w:hAnsi="Times New Roman" w:cs="Times New Roman"/>
          <w:sz w:val="24"/>
          <w:szCs w:val="24"/>
        </w:rPr>
        <w:t>eko</w:t>
      </w:r>
      <w:proofErr w:type="spellEnd"/>
      <w:r w:rsidRPr="00990C7C">
        <w:rPr>
          <w:rFonts w:ascii="Times New Roman" w:hAnsi="Times New Roman" w:cs="Times New Roman"/>
          <w:sz w:val="24"/>
          <w:szCs w:val="24"/>
        </w:rPr>
        <w:t xml:space="preserve">-inovacijų ir pažangių technologijų diegimą, investicijos į mokslinius tyrimus ir inovacines veiklas/procesus, plėtojant bendradarbiavimu tarp įmonių, tyrimų centrų ir universitetų, kai tai susiję su alternatyvaus kuro </w:t>
      </w:r>
      <w:r w:rsidRPr="00990C7C">
        <w:rPr>
          <w:rFonts w:ascii="Times New Roman" w:hAnsi="Times New Roman" w:cs="Times New Roman"/>
          <w:sz w:val="24"/>
          <w:szCs w:val="24"/>
        </w:rPr>
        <w:lastRenderedPageBreak/>
        <w:t xml:space="preserve">įdiegimu pramonės įmonėse, Kauno, Šiaulių ir Telšių regionuose. TPF lėšos: 37 mln. Eur (Kauno </w:t>
      </w:r>
      <w:proofErr w:type="spellStart"/>
      <w:r w:rsidRPr="00990C7C">
        <w:rPr>
          <w:rFonts w:ascii="Times New Roman" w:hAnsi="Times New Roman" w:cs="Times New Roman"/>
          <w:sz w:val="24"/>
          <w:szCs w:val="24"/>
        </w:rPr>
        <w:t>apsk</w:t>
      </w:r>
      <w:proofErr w:type="spellEnd"/>
      <w:r w:rsidRPr="00990C7C">
        <w:rPr>
          <w:rFonts w:ascii="Times New Roman" w:hAnsi="Times New Roman" w:cs="Times New Roman"/>
          <w:sz w:val="24"/>
          <w:szCs w:val="24"/>
        </w:rPr>
        <w:t xml:space="preserve">., Šiaulių </w:t>
      </w:r>
      <w:proofErr w:type="spellStart"/>
      <w:r w:rsidRPr="00990C7C">
        <w:rPr>
          <w:rFonts w:ascii="Times New Roman" w:hAnsi="Times New Roman" w:cs="Times New Roman"/>
          <w:sz w:val="24"/>
          <w:szCs w:val="24"/>
        </w:rPr>
        <w:t>apsk</w:t>
      </w:r>
      <w:proofErr w:type="spellEnd"/>
      <w:r w:rsidRPr="00990C7C">
        <w:rPr>
          <w:rFonts w:ascii="Times New Roman" w:hAnsi="Times New Roman" w:cs="Times New Roman"/>
          <w:sz w:val="24"/>
          <w:szCs w:val="24"/>
        </w:rPr>
        <w:t xml:space="preserve">., Telšių </w:t>
      </w:r>
      <w:proofErr w:type="spellStart"/>
      <w:r w:rsidRPr="00990C7C">
        <w:rPr>
          <w:rFonts w:ascii="Times New Roman" w:hAnsi="Times New Roman" w:cs="Times New Roman"/>
          <w:sz w:val="24"/>
          <w:szCs w:val="24"/>
        </w:rPr>
        <w:t>apsk</w:t>
      </w:r>
      <w:proofErr w:type="spellEnd"/>
      <w:r w:rsidRPr="00990C7C">
        <w:rPr>
          <w:rFonts w:ascii="Times New Roman" w:hAnsi="Times New Roman" w:cs="Times New Roman"/>
          <w:sz w:val="24"/>
          <w:szCs w:val="24"/>
        </w:rPr>
        <w:t>.).</w:t>
      </w:r>
    </w:p>
    <w:p w14:paraId="58D748C8" w14:textId="28540A15" w:rsidR="00CE5068" w:rsidRPr="00990C7C" w:rsidRDefault="00CE5068" w:rsidP="009D663D">
      <w:pPr>
        <w:spacing w:after="0" w:line="240" w:lineRule="auto"/>
        <w:jc w:val="both"/>
        <w:rPr>
          <w:rFonts w:ascii="Times New Roman" w:hAnsi="Times New Roman" w:cs="Times New Roman"/>
          <w:b/>
          <w:bCs/>
          <w:sz w:val="24"/>
          <w:szCs w:val="24"/>
        </w:rPr>
      </w:pPr>
      <w:r w:rsidRPr="00990C7C">
        <w:rPr>
          <w:rFonts w:ascii="Times New Roman" w:hAnsi="Times New Roman" w:cs="Times New Roman"/>
          <w:b/>
          <w:bCs/>
          <w:sz w:val="24"/>
          <w:szCs w:val="24"/>
          <w:u w:val="single"/>
        </w:rPr>
        <w:lastRenderedPageBreak/>
        <w:t>Papildoma analitinė informacija</w:t>
      </w:r>
    </w:p>
    <w:p w14:paraId="339BAA26" w14:textId="75DB4A45" w:rsidR="00CE5068" w:rsidRPr="00990C7C" w:rsidRDefault="00CE5068" w:rsidP="00CE5068">
      <w:pPr>
        <w:spacing w:after="0" w:line="240" w:lineRule="auto"/>
        <w:jc w:val="both"/>
        <w:rPr>
          <w:rFonts w:ascii="Times New Roman" w:hAnsi="Times New Roman" w:cs="Times New Roman"/>
          <w:sz w:val="24"/>
          <w:szCs w:val="24"/>
        </w:rPr>
      </w:pPr>
    </w:p>
    <w:tbl>
      <w:tblPr>
        <w:tblStyle w:val="TableGrid"/>
        <w:tblW w:w="15506" w:type="dxa"/>
        <w:tblLook w:val="04A0" w:firstRow="1" w:lastRow="0" w:firstColumn="1" w:lastColumn="0" w:noHBand="0" w:noVBand="1"/>
      </w:tblPr>
      <w:tblGrid>
        <w:gridCol w:w="6456"/>
        <w:gridCol w:w="9050"/>
        <w:tblGridChange w:id="1">
          <w:tblGrid>
            <w:gridCol w:w="6456"/>
            <w:gridCol w:w="9050"/>
          </w:tblGrid>
        </w:tblGridChange>
      </w:tblGrid>
      <w:tr w:rsidR="00EC4173" w:rsidRPr="00990C7C" w14:paraId="4946A874" w14:textId="77777777" w:rsidTr="00EC4173">
        <w:tc>
          <w:tcPr>
            <w:tcW w:w="6374" w:type="dxa"/>
          </w:tcPr>
          <w:p w14:paraId="48C6025F" w14:textId="7E60673C" w:rsidR="00CE5068" w:rsidRPr="00990C7C" w:rsidRDefault="006E7F9C" w:rsidP="00CE5068">
            <w:pPr>
              <w:jc w:val="both"/>
              <w:rPr>
                <w:rFonts w:ascii="Times New Roman" w:hAnsi="Times New Roman" w:cs="Times New Roman"/>
                <w:sz w:val="24"/>
                <w:szCs w:val="24"/>
              </w:rPr>
            </w:pPr>
            <w:r w:rsidRPr="00990C7C">
              <w:rPr>
                <w:rFonts w:ascii="Times New Roman" w:hAnsi="Times New Roman" w:cs="Times New Roman"/>
                <w:sz w:val="24"/>
                <w:szCs w:val="24"/>
              </w:rPr>
              <w:drawing>
                <wp:inline distT="0" distB="0" distL="0" distR="0" wp14:anchorId="730D3224" wp14:editId="1940FB66">
                  <wp:extent cx="3860798" cy="21717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46624" cy="2276227"/>
                          </a:xfrm>
                          <a:prstGeom prst="rect">
                            <a:avLst/>
                          </a:prstGeom>
                        </pic:spPr>
                      </pic:pic>
                    </a:graphicData>
                  </a:graphic>
                </wp:inline>
              </w:drawing>
            </w:r>
          </w:p>
        </w:tc>
        <w:tc>
          <w:tcPr>
            <w:tcW w:w="9132" w:type="dxa"/>
          </w:tcPr>
          <w:p w14:paraId="6C001DC8" w14:textId="0AD1EEC8" w:rsidR="006E7F9C" w:rsidRPr="00990C7C" w:rsidRDefault="006E7F9C" w:rsidP="006E7F9C">
            <w:pPr>
              <w:autoSpaceDE w:val="0"/>
              <w:autoSpaceDN w:val="0"/>
              <w:adjustRightInd w:val="0"/>
              <w:rPr>
                <w:rFonts w:ascii="Times New Roman" w:eastAsia="Times New Roman" w:hAnsi="Times New Roman" w:cs="Times New Roman"/>
                <w:color w:val="000000"/>
                <w:kern w:val="24"/>
              </w:rPr>
            </w:pPr>
            <w:r w:rsidRPr="00990C7C">
              <w:rPr>
                <w:rFonts w:ascii="Times New Roman" w:eastAsia="Times New Roman" w:hAnsi="Times New Roman" w:cs="Times New Roman"/>
                <w:color w:val="000000"/>
                <w:kern w:val="24"/>
              </w:rPr>
              <w:t xml:space="preserve">Šie tikslai rodo, kad iki 2030 m. didžiausias pertvarkos politikos dėmesys bus skiriamas energetikos ir transporto sektoriui. Dėl to ateityje padidės santykinė pramonės ir žemės ūkio išmetamų teršalų dalis visame išmetamų ŠESD kiekyje. Ši tendencija reiškia, kad iki 2040 m. Žemės ūkis ir pramonė bus pagrindiniai išmetamųjų teršalų šaltiniai Lietuvoje. Todėl daugiau pastangų reikės skirti ir šiems sektoriams </w:t>
            </w:r>
            <w:proofErr w:type="spellStart"/>
            <w:r w:rsidRPr="00990C7C">
              <w:rPr>
                <w:rFonts w:ascii="Times New Roman" w:eastAsia="Times New Roman" w:hAnsi="Times New Roman" w:cs="Times New Roman"/>
                <w:color w:val="000000"/>
                <w:kern w:val="24"/>
              </w:rPr>
              <w:t>dekarbonizuoti</w:t>
            </w:r>
            <w:proofErr w:type="spellEnd"/>
            <w:r w:rsidRPr="00990C7C">
              <w:rPr>
                <w:rFonts w:ascii="Times New Roman" w:eastAsia="Times New Roman" w:hAnsi="Times New Roman" w:cs="Times New Roman"/>
                <w:color w:val="000000"/>
                <w:kern w:val="24"/>
              </w:rPr>
              <w:t>.</w:t>
            </w:r>
          </w:p>
          <w:p w14:paraId="5B837917" w14:textId="77777777" w:rsidR="006E7F9C" w:rsidRPr="00990C7C" w:rsidRDefault="006E7F9C" w:rsidP="006E7F9C">
            <w:pPr>
              <w:autoSpaceDE w:val="0"/>
              <w:autoSpaceDN w:val="0"/>
              <w:adjustRightInd w:val="0"/>
              <w:rPr>
                <w:rFonts w:ascii="Times New Roman" w:eastAsia="Times New Roman" w:hAnsi="Times New Roman" w:cs="Times New Roman"/>
                <w:color w:val="000000"/>
                <w:kern w:val="24"/>
              </w:rPr>
            </w:pPr>
          </w:p>
          <w:p w14:paraId="0FF04925" w14:textId="77777777" w:rsidR="006E7F9C" w:rsidRPr="00990C7C" w:rsidRDefault="006E7F9C" w:rsidP="006E7F9C">
            <w:pPr>
              <w:autoSpaceDE w:val="0"/>
              <w:autoSpaceDN w:val="0"/>
              <w:adjustRightInd w:val="0"/>
              <w:rPr>
                <w:rFonts w:ascii="Times New Roman" w:eastAsia="Times New Roman" w:hAnsi="Times New Roman" w:cs="Times New Roman"/>
                <w:color w:val="000000"/>
                <w:kern w:val="24"/>
              </w:rPr>
            </w:pPr>
          </w:p>
          <w:p w14:paraId="1032D0F5" w14:textId="77777777" w:rsidR="006E7F9C" w:rsidRPr="00990C7C" w:rsidRDefault="006E7F9C" w:rsidP="006E7F9C">
            <w:pPr>
              <w:autoSpaceDE w:val="0"/>
              <w:autoSpaceDN w:val="0"/>
              <w:adjustRightInd w:val="0"/>
              <w:rPr>
                <w:rFonts w:ascii="Times New Roman" w:hAnsi="Times New Roman" w:cs="Times New Roman"/>
                <w:color w:val="000000"/>
                <w:kern w:val="24"/>
              </w:rPr>
            </w:pPr>
          </w:p>
          <w:p w14:paraId="0887098B" w14:textId="77777777" w:rsidR="006E7F9C" w:rsidRPr="00990C7C" w:rsidRDefault="006E7F9C" w:rsidP="006E7F9C">
            <w:pPr>
              <w:autoSpaceDE w:val="0"/>
              <w:autoSpaceDN w:val="0"/>
              <w:adjustRightInd w:val="0"/>
              <w:rPr>
                <w:rFonts w:ascii="Times New Roman" w:hAnsi="Times New Roman" w:cs="Times New Roman"/>
                <w:color w:val="000000"/>
                <w:kern w:val="24"/>
              </w:rPr>
            </w:pPr>
          </w:p>
          <w:p w14:paraId="6F55CA81" w14:textId="379CD223" w:rsidR="00CE5068" w:rsidRPr="00990C7C" w:rsidRDefault="00CE5068" w:rsidP="00CE5068">
            <w:pPr>
              <w:jc w:val="both"/>
              <w:rPr>
                <w:rFonts w:ascii="Times New Roman" w:hAnsi="Times New Roman" w:cs="Times New Roman"/>
              </w:rPr>
            </w:pPr>
          </w:p>
        </w:tc>
      </w:tr>
      <w:tr w:rsidR="00EC4173" w:rsidRPr="00990C7C" w14:paraId="48ECFA83" w14:textId="77777777" w:rsidTr="00EC4173">
        <w:tc>
          <w:tcPr>
            <w:tcW w:w="6374" w:type="dxa"/>
          </w:tcPr>
          <w:p w14:paraId="19F2A81A" w14:textId="428DE66F" w:rsidR="006E7F9C" w:rsidRPr="00990C7C" w:rsidRDefault="005043F0" w:rsidP="00CE5068">
            <w:pPr>
              <w:jc w:val="both"/>
              <w:rPr>
                <w:rFonts w:ascii="Times New Roman" w:hAnsi="Times New Roman" w:cs="Times New Roman"/>
                <w:noProof/>
                <w:sz w:val="24"/>
                <w:szCs w:val="24"/>
              </w:rPr>
            </w:pPr>
            <w:r w:rsidRPr="00990C7C">
              <w:rPr>
                <w:rFonts w:ascii="Times New Roman" w:hAnsi="Times New Roman" w:cs="Times New Roman"/>
                <w:noProof/>
                <w:sz w:val="24"/>
                <w:szCs w:val="24"/>
              </w:rPr>
              <w:drawing>
                <wp:inline distT="0" distB="0" distL="0" distR="0" wp14:anchorId="58CE0CC9" wp14:editId="36C12676">
                  <wp:extent cx="3849510" cy="21653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65041" cy="2174086"/>
                          </a:xfrm>
                          <a:prstGeom prst="rect">
                            <a:avLst/>
                          </a:prstGeom>
                        </pic:spPr>
                      </pic:pic>
                    </a:graphicData>
                  </a:graphic>
                </wp:inline>
              </w:drawing>
            </w:r>
          </w:p>
        </w:tc>
        <w:tc>
          <w:tcPr>
            <w:tcW w:w="9132" w:type="dxa"/>
          </w:tcPr>
          <w:p w14:paraId="3F3C8033" w14:textId="77777777" w:rsidR="005043F0" w:rsidRPr="00990C7C" w:rsidRDefault="005043F0" w:rsidP="005043F0">
            <w:pPr>
              <w:autoSpaceDE w:val="0"/>
              <w:autoSpaceDN w:val="0"/>
              <w:adjustRightInd w:val="0"/>
              <w:rPr>
                <w:rFonts w:ascii="Times New Roman" w:eastAsia="Times New Roman" w:hAnsi="Times New Roman" w:cs="Times New Roman"/>
                <w:color w:val="000000"/>
                <w:kern w:val="24"/>
              </w:rPr>
            </w:pPr>
            <w:r w:rsidRPr="00990C7C">
              <w:rPr>
                <w:rFonts w:ascii="Times New Roman" w:eastAsia="Times New Roman" w:hAnsi="Times New Roman" w:cs="Times New Roman"/>
                <w:color w:val="000000"/>
                <w:kern w:val="24"/>
              </w:rPr>
              <w:t xml:space="preserve">Lietuvoje pramoninių išmetamų teršalų kiekis sudaro maždaug ketvirtadalį visų ŠESD išmetimų. 2010–2018 m. pramoninių išmetamų teršalų kiekis padidėjo 14%, palyginti su 4,8 MtCO2-ekv. iki 5,1 MtCO2-ekv., o tai daugiausia galima paaiškinti padidėjusia pramonės produkcija. </w:t>
            </w:r>
          </w:p>
          <w:p w14:paraId="0F0F0A82" w14:textId="26A35A19" w:rsidR="005043F0" w:rsidRPr="00990C7C" w:rsidRDefault="005043F0" w:rsidP="005043F0">
            <w:pPr>
              <w:autoSpaceDE w:val="0"/>
              <w:autoSpaceDN w:val="0"/>
              <w:adjustRightInd w:val="0"/>
              <w:rPr>
                <w:rFonts w:ascii="Times New Roman" w:eastAsia="Times New Roman" w:hAnsi="Times New Roman" w:cs="Times New Roman"/>
                <w:color w:val="000000"/>
                <w:kern w:val="24"/>
              </w:rPr>
            </w:pPr>
            <w:r w:rsidRPr="00990C7C">
              <w:rPr>
                <w:rFonts w:ascii="Times New Roman" w:eastAsia="Times New Roman" w:hAnsi="Times New Roman" w:cs="Times New Roman"/>
                <w:color w:val="000000"/>
                <w:kern w:val="24"/>
              </w:rPr>
              <w:t>Pramoninės taršos intensyvumas Lietuvoje yra pakankamai didelis, lyginant su 27 ES šalių vidurkiu</w:t>
            </w:r>
            <w:r w:rsidRPr="00990C7C">
              <w:rPr>
                <w:rFonts w:ascii="Times New Roman" w:eastAsia="Times New Roman" w:hAnsi="Times New Roman" w:cs="Times New Roman"/>
                <w:color w:val="000000"/>
                <w:kern w:val="24"/>
              </w:rPr>
              <w:t>, t</w:t>
            </w:r>
            <w:r w:rsidRPr="00990C7C">
              <w:rPr>
                <w:rFonts w:ascii="Times New Roman" w:eastAsia="Times New Roman" w:hAnsi="Times New Roman" w:cs="Times New Roman"/>
                <w:color w:val="000000"/>
                <w:kern w:val="24"/>
              </w:rPr>
              <w:t xml:space="preserve">ačiau taip yra dėl to, kad energijai imlios pramonės šakos sudaro gana didelę Lietuvos gamybos sektoriaus dalį. </w:t>
            </w:r>
            <w:r w:rsidRPr="00990C7C">
              <w:rPr>
                <w:rFonts w:ascii="Times New Roman" w:eastAsia="Times New Roman" w:hAnsi="Times New Roman" w:cs="Times New Roman"/>
                <w:color w:val="000000"/>
                <w:kern w:val="24"/>
                <w:lang w:val="en-GB"/>
              </w:rPr>
              <w:t> </w:t>
            </w:r>
          </w:p>
          <w:p w14:paraId="0D27BF92" w14:textId="685BFD1E" w:rsidR="006E7F9C" w:rsidRPr="00990C7C" w:rsidRDefault="005043F0" w:rsidP="00990C7C">
            <w:pPr>
              <w:autoSpaceDE w:val="0"/>
              <w:autoSpaceDN w:val="0"/>
              <w:adjustRightInd w:val="0"/>
              <w:rPr>
                <w:rFonts w:ascii="Times New Roman" w:eastAsia="Times New Roman" w:hAnsi="Times New Roman" w:cs="Times New Roman"/>
                <w:color w:val="000000"/>
                <w:kern w:val="24"/>
              </w:rPr>
            </w:pPr>
            <w:r w:rsidRPr="00990C7C">
              <w:rPr>
                <w:rFonts w:ascii="Times New Roman" w:eastAsia="Times New Roman" w:hAnsi="Times New Roman" w:cs="Times New Roman"/>
                <w:color w:val="000000"/>
                <w:kern w:val="24"/>
              </w:rPr>
              <w:t>Lietuvoje bendras pramonės išmetamų teršalų kiekis nuo 2010 m. iki 2018 m. išaugo 13% - nuo 5,4 MtCO</w:t>
            </w:r>
            <w:r w:rsidRPr="00990C7C">
              <w:rPr>
                <w:rFonts w:ascii="Times New Roman" w:eastAsia="Times New Roman" w:hAnsi="Times New Roman" w:cs="Times New Roman"/>
                <w:color w:val="000000"/>
                <w:kern w:val="24"/>
                <w:vertAlign w:val="subscript"/>
              </w:rPr>
              <w:t>2</w:t>
            </w:r>
            <w:r w:rsidRPr="00990C7C">
              <w:rPr>
                <w:rFonts w:ascii="Times New Roman" w:eastAsia="Times New Roman" w:hAnsi="Times New Roman" w:cs="Times New Roman"/>
                <w:color w:val="000000"/>
                <w:kern w:val="24"/>
              </w:rPr>
              <w:t>e iki 6,1 MtCO</w:t>
            </w:r>
            <w:r w:rsidRPr="00990C7C">
              <w:rPr>
                <w:rFonts w:ascii="Times New Roman" w:eastAsia="Times New Roman" w:hAnsi="Times New Roman" w:cs="Times New Roman"/>
                <w:color w:val="000000"/>
                <w:kern w:val="24"/>
                <w:vertAlign w:val="subscript"/>
              </w:rPr>
              <w:t>2</w:t>
            </w:r>
            <w:r w:rsidRPr="00990C7C">
              <w:rPr>
                <w:rFonts w:ascii="Times New Roman" w:eastAsia="Times New Roman" w:hAnsi="Times New Roman" w:cs="Times New Roman"/>
                <w:color w:val="000000"/>
                <w:kern w:val="24"/>
              </w:rPr>
              <w:t>e</w:t>
            </w:r>
            <w:r w:rsidR="00B64612" w:rsidRPr="00990C7C">
              <w:rPr>
                <w:rFonts w:ascii="Times New Roman" w:eastAsia="Times New Roman" w:hAnsi="Times New Roman" w:cs="Times New Roman"/>
                <w:color w:val="000000"/>
                <w:kern w:val="24"/>
              </w:rPr>
              <w:t xml:space="preserve">. </w:t>
            </w:r>
            <w:r w:rsidRPr="00990C7C">
              <w:rPr>
                <w:rFonts w:ascii="Times New Roman" w:eastAsia="Times New Roman" w:hAnsi="Times New Roman" w:cs="Times New Roman"/>
                <w:color w:val="000000"/>
                <w:kern w:val="24"/>
              </w:rPr>
              <w:t>Į bendrą apyvartinių taršos leidimų prekybos apimtį, įskaitant energetikos sektorių, išmetama pramoninė išmetamųjų teršalų dalis (1 4 pav.), O elektros ir šildymo emisijos sudaro daug mažesnę (ir mažėjančią) dalį. Bendrame ATLPS išmetamų teršalų kiekyje, į kurį įeina ir energetikos sektorius, pramoniniai išmetamieji teršalai sudaro didžiausią išmetamųjų teršalų dalį</w:t>
            </w:r>
            <w:r w:rsidR="00B64612" w:rsidRPr="00990C7C">
              <w:rPr>
                <w:rFonts w:ascii="Times New Roman" w:eastAsia="Times New Roman" w:hAnsi="Times New Roman" w:cs="Times New Roman"/>
                <w:color w:val="000000"/>
                <w:kern w:val="24"/>
              </w:rPr>
              <w:t xml:space="preserve">, </w:t>
            </w:r>
            <w:r w:rsidRPr="00990C7C">
              <w:rPr>
                <w:rFonts w:ascii="Times New Roman" w:eastAsia="Times New Roman" w:hAnsi="Times New Roman" w:cs="Times New Roman"/>
                <w:color w:val="000000"/>
                <w:kern w:val="24"/>
              </w:rPr>
              <w:t>tuo tarpu energijos ir šildymo metu išmetamų teršalų dalis yra daug mažesnė (ir mažėja).</w:t>
            </w:r>
          </w:p>
        </w:tc>
      </w:tr>
      <w:tr w:rsidR="00EC4173" w:rsidRPr="00990C7C" w14:paraId="7EEAFD8A" w14:textId="77777777" w:rsidTr="00EC4173">
        <w:tc>
          <w:tcPr>
            <w:tcW w:w="6374" w:type="dxa"/>
          </w:tcPr>
          <w:p w14:paraId="672C5EA7" w14:textId="2EE2252C" w:rsidR="006E7F9C" w:rsidRPr="00990C7C" w:rsidRDefault="00B64612" w:rsidP="00CE5068">
            <w:pPr>
              <w:jc w:val="both"/>
              <w:rPr>
                <w:rFonts w:ascii="Times New Roman" w:hAnsi="Times New Roman" w:cs="Times New Roman"/>
                <w:noProof/>
                <w:sz w:val="24"/>
                <w:szCs w:val="24"/>
              </w:rPr>
            </w:pPr>
            <w:r w:rsidRPr="00990C7C">
              <w:rPr>
                <w:rFonts w:ascii="Times New Roman" w:hAnsi="Times New Roman" w:cs="Times New Roman"/>
                <w:noProof/>
                <w:sz w:val="24"/>
                <w:szCs w:val="24"/>
              </w:rPr>
              <w:lastRenderedPageBreak/>
              <w:drawing>
                <wp:inline distT="0" distB="0" distL="0" distR="0" wp14:anchorId="34B8E2C0" wp14:editId="35676A9D">
                  <wp:extent cx="3898900" cy="2193132"/>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46854" cy="2220106"/>
                          </a:xfrm>
                          <a:prstGeom prst="rect">
                            <a:avLst/>
                          </a:prstGeom>
                        </pic:spPr>
                      </pic:pic>
                    </a:graphicData>
                  </a:graphic>
                </wp:inline>
              </w:drawing>
            </w:r>
          </w:p>
        </w:tc>
        <w:tc>
          <w:tcPr>
            <w:tcW w:w="9132" w:type="dxa"/>
          </w:tcPr>
          <w:p w14:paraId="6B1D3357" w14:textId="77777777" w:rsidR="00B64612" w:rsidRPr="00990C7C" w:rsidRDefault="00B64612" w:rsidP="00B64612">
            <w:pPr>
              <w:autoSpaceDE w:val="0"/>
              <w:autoSpaceDN w:val="0"/>
              <w:adjustRightInd w:val="0"/>
              <w:rPr>
                <w:rFonts w:ascii="Times New Roman" w:eastAsia="Times New Roman" w:hAnsi="Times New Roman" w:cs="Times New Roman"/>
                <w:color w:val="000000"/>
                <w:kern w:val="24"/>
              </w:rPr>
            </w:pPr>
            <w:r w:rsidRPr="00990C7C">
              <w:rPr>
                <w:rFonts w:ascii="Times New Roman" w:eastAsia="Times New Roman" w:hAnsi="Times New Roman" w:cs="Times New Roman"/>
                <w:color w:val="000000"/>
                <w:kern w:val="24"/>
              </w:rPr>
              <w:t xml:space="preserve">Išmetamųjų teršalų kiekius vertinant iš sektorių perspektyvos, galima pastebėti, kad daugiausia pramoninių teršalų Lietuvoje sugeneruoja trys sektoriai, </w:t>
            </w:r>
            <w:proofErr w:type="spellStart"/>
            <w:r w:rsidRPr="00990C7C">
              <w:rPr>
                <w:rFonts w:ascii="Times New Roman" w:eastAsia="Times New Roman" w:hAnsi="Times New Roman" w:cs="Times New Roman"/>
                <w:color w:val="000000"/>
                <w:kern w:val="24"/>
              </w:rPr>
              <w:t>t.y</w:t>
            </w:r>
            <w:proofErr w:type="spellEnd"/>
            <w:r w:rsidRPr="00990C7C">
              <w:rPr>
                <w:rFonts w:ascii="Times New Roman" w:eastAsia="Times New Roman" w:hAnsi="Times New Roman" w:cs="Times New Roman"/>
                <w:color w:val="000000"/>
                <w:kern w:val="24"/>
              </w:rPr>
              <w:t xml:space="preserve">. trąšų, naftos perdirbimo ir cemento gamybos sektorius. 2013–2019 m. laikotarpiu šios trys pramonės šakos kartu į aplinką išleido apytiksliai 95% visų pramoninių ATLPS išmetamųjų teršalų. </w:t>
            </w:r>
          </w:p>
          <w:p w14:paraId="5A476DE4" w14:textId="77777777" w:rsidR="00B64612" w:rsidRPr="00990C7C" w:rsidRDefault="00B64612" w:rsidP="00B64612">
            <w:pPr>
              <w:autoSpaceDE w:val="0"/>
              <w:autoSpaceDN w:val="0"/>
              <w:adjustRightInd w:val="0"/>
              <w:jc w:val="both"/>
              <w:rPr>
                <w:rFonts w:ascii="Times New Roman" w:eastAsia="Times New Roman" w:hAnsi="Times New Roman" w:cs="Times New Roman"/>
                <w:color w:val="000000"/>
                <w:kern w:val="24"/>
              </w:rPr>
            </w:pPr>
            <w:r w:rsidRPr="00990C7C">
              <w:rPr>
                <w:rFonts w:ascii="Times New Roman" w:eastAsia="Times New Roman" w:hAnsi="Times New Roman" w:cs="Times New Roman"/>
                <w:color w:val="000000"/>
                <w:kern w:val="24"/>
              </w:rPr>
              <w:t xml:space="preserve">Pažymėtina ir tai, kad Lietuvos pramonės sektoriaus išmetamų teršalų kiekio tikslai (sumažinti taršą -13%) ir ES lygmeniu siūloma didesnė ES ATLPS riba (sumažinti taršą -63%) labai skiriasi, o tai reiškia, kad Lietuvos pramonei per ateinančius 10 metų reikės žymiai sumažinti išmetamų teršalų kiekius (arba pirkti papildomus leidimus). </w:t>
            </w:r>
          </w:p>
          <w:p w14:paraId="014FA337" w14:textId="77777777" w:rsidR="00B64612" w:rsidRPr="00990C7C" w:rsidRDefault="00B64612" w:rsidP="00B64612">
            <w:pPr>
              <w:autoSpaceDE w:val="0"/>
              <w:autoSpaceDN w:val="0"/>
              <w:adjustRightInd w:val="0"/>
              <w:rPr>
                <w:rFonts w:ascii="Times New Roman" w:hAnsi="Times New Roman" w:cs="Times New Roman"/>
                <w:color w:val="000000"/>
                <w:kern w:val="24"/>
              </w:rPr>
            </w:pPr>
          </w:p>
          <w:p w14:paraId="2C381784" w14:textId="77777777" w:rsidR="006E7F9C" w:rsidRPr="00990C7C" w:rsidRDefault="006E7F9C" w:rsidP="00CE5068">
            <w:pPr>
              <w:jc w:val="both"/>
              <w:rPr>
                <w:rFonts w:ascii="Times New Roman" w:hAnsi="Times New Roman" w:cs="Times New Roman"/>
              </w:rPr>
            </w:pPr>
          </w:p>
        </w:tc>
      </w:tr>
      <w:tr w:rsidR="00EC4173" w:rsidRPr="00990C7C" w14:paraId="76347E76" w14:textId="77777777" w:rsidTr="00EC4173">
        <w:tc>
          <w:tcPr>
            <w:tcW w:w="6374" w:type="dxa"/>
          </w:tcPr>
          <w:p w14:paraId="19E5B94B" w14:textId="4B2A9158" w:rsidR="006E7F9C" w:rsidRPr="00990C7C" w:rsidRDefault="006E7F9C" w:rsidP="006E7F9C">
            <w:pPr>
              <w:jc w:val="both"/>
              <w:rPr>
                <w:rFonts w:ascii="Times New Roman" w:hAnsi="Times New Roman" w:cs="Times New Roman"/>
                <w:noProof/>
                <w:sz w:val="24"/>
                <w:szCs w:val="24"/>
              </w:rPr>
            </w:pPr>
            <w:r w:rsidRPr="00990C7C">
              <w:rPr>
                <w:rFonts w:ascii="Times New Roman" w:hAnsi="Times New Roman" w:cs="Times New Roman"/>
                <w:noProof/>
                <w:sz w:val="24"/>
                <w:szCs w:val="24"/>
              </w:rPr>
              <w:drawing>
                <wp:inline distT="0" distB="0" distL="0" distR="0" wp14:anchorId="3B16AA25" wp14:editId="547FEA68">
                  <wp:extent cx="3962400" cy="222885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75511" cy="2348727"/>
                          </a:xfrm>
                          <a:prstGeom prst="rect">
                            <a:avLst/>
                          </a:prstGeom>
                        </pic:spPr>
                      </pic:pic>
                    </a:graphicData>
                  </a:graphic>
                </wp:inline>
              </w:drawing>
            </w:r>
          </w:p>
        </w:tc>
        <w:tc>
          <w:tcPr>
            <w:tcW w:w="9132" w:type="dxa"/>
          </w:tcPr>
          <w:p w14:paraId="1D02243A" w14:textId="229600E2" w:rsidR="006E7F9C" w:rsidRPr="00990C7C" w:rsidRDefault="006E7F9C" w:rsidP="006E7F9C">
            <w:pPr>
              <w:jc w:val="both"/>
              <w:rPr>
                <w:rFonts w:ascii="Times New Roman" w:hAnsi="Times New Roman" w:cs="Times New Roman"/>
              </w:rPr>
            </w:pPr>
            <w:r w:rsidRPr="00990C7C">
              <w:rPr>
                <w:rFonts w:ascii="Times New Roman" w:hAnsi="Times New Roman" w:cs="Times New Roman"/>
              </w:rPr>
              <w:t>Trąšų sektorius yra didžiausias pramoninių išmetamųjų teršalų šaltinis Lietuvoje, atsakingas už apytiksliai 50% pramonės ATLPS išmetamųjų teršalų. Išmetamuosius teršalus galima suskirstyti į amoniako ir azoto rūgšties gamybos išmetamuosius teršalus. Diagramoje matyti, kad su amoniako gamyba susiję išmetamieji teršalai sudaro didžiausią šio sektoriaus išmetamųjų teršalų dalį. Tarpas tarp amoniako ir azoto rūgšties gamyklų bei bendro išmetamųjų teršalų kiekio labiausiai susijęs su kogeneracinėje jėgainėje kuro deginimo metu išmetamais teršalais. 2014-2018 m. laikotarpiu emisijų intensyvumas azoto rūgšties gamykloje ženkliai sumažėjo. Tai galima paaiškinti tuo, jog vienas azoto rūgšties gamybos įrenginys buvo modernizuotas, dėl to ženkliai sumažėjo išmetamųjų teršalų kiekiai, o 2015 m. pradėtas naudoti kitas naujas įrenginys, kurį paleidus emisijų intensyvumas buvo palyginti žemas. Kita vertus, amoniako gamybos sektoriaus išmetamų teršalų kiekis tuo pat laikotarpiu išliko labai stabilus</w:t>
            </w:r>
            <w:r w:rsidRPr="00990C7C">
              <w:rPr>
                <w:rFonts w:ascii="Times New Roman" w:hAnsi="Times New Roman" w:cs="Times New Roman"/>
                <w:lang w:val="en-US"/>
              </w:rPr>
              <w:t xml:space="preserve">. </w:t>
            </w:r>
            <w:r w:rsidRPr="00990C7C">
              <w:rPr>
                <w:rFonts w:ascii="Times New Roman" w:hAnsi="Times New Roman" w:cs="Times New Roman"/>
              </w:rPr>
              <w:t>Vertinant amoniako gamybos išmetamųjų teršalų intensyvumą, Lietuvos amoniako pramonės išmetamųjų teršalų intensyvumas vis dar yra gerokai didesnis nei 2013 m. ATLPS etalonas, o kitame ATLPS etape (2021–2030 m.) šis etalonas bus sumažintas dar 3% . Dėl to dabartinis išmetamųjų teršalų intensyvumas yra apie 23% didesnis nei kito ATLPS etapo etalonas, be to šis įrenginys sudaro didelę dalį visų Lietuvoje išmetamų teršalų.</w:t>
            </w:r>
          </w:p>
        </w:tc>
      </w:tr>
      <w:tr w:rsidR="00EC4173" w:rsidRPr="00990C7C" w14:paraId="2F75FF65" w14:textId="77777777" w:rsidTr="00EC4173">
        <w:tc>
          <w:tcPr>
            <w:tcW w:w="6374" w:type="dxa"/>
          </w:tcPr>
          <w:p w14:paraId="36B95211" w14:textId="71A1116B" w:rsidR="006E7F9C" w:rsidRPr="00990C7C" w:rsidRDefault="006E7F9C" w:rsidP="006E7F9C">
            <w:pPr>
              <w:jc w:val="both"/>
              <w:rPr>
                <w:rFonts w:ascii="Times New Roman" w:hAnsi="Times New Roman" w:cs="Times New Roman"/>
                <w:sz w:val="24"/>
                <w:szCs w:val="24"/>
              </w:rPr>
            </w:pPr>
            <w:r w:rsidRPr="00990C7C">
              <w:rPr>
                <w:rFonts w:ascii="Times New Roman" w:hAnsi="Times New Roman" w:cs="Times New Roman"/>
                <w:noProof/>
                <w:sz w:val="24"/>
                <w:szCs w:val="24"/>
              </w:rPr>
              <w:lastRenderedPageBreak/>
              <w:drawing>
                <wp:inline distT="0" distB="0" distL="0" distR="0" wp14:anchorId="4B261B53" wp14:editId="14CF5C8B">
                  <wp:extent cx="3956050" cy="2225279"/>
                  <wp:effectExtent l="0" t="0" r="635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38500" cy="2271657"/>
                          </a:xfrm>
                          <a:prstGeom prst="rect">
                            <a:avLst/>
                          </a:prstGeom>
                        </pic:spPr>
                      </pic:pic>
                    </a:graphicData>
                  </a:graphic>
                </wp:inline>
              </w:drawing>
            </w:r>
          </w:p>
        </w:tc>
        <w:tc>
          <w:tcPr>
            <w:tcW w:w="9132" w:type="dxa"/>
          </w:tcPr>
          <w:p w14:paraId="550FDDDB" w14:textId="562B7512" w:rsidR="006E7F9C" w:rsidRPr="00990C7C" w:rsidRDefault="006E7F9C" w:rsidP="006E7F9C">
            <w:pPr>
              <w:jc w:val="both"/>
              <w:rPr>
                <w:rFonts w:ascii="Times New Roman" w:hAnsi="Times New Roman" w:cs="Times New Roman"/>
              </w:rPr>
            </w:pPr>
            <w:r w:rsidRPr="00990C7C">
              <w:rPr>
                <w:rFonts w:ascii="Times New Roman" w:hAnsi="Times New Roman" w:cs="Times New Roman"/>
              </w:rPr>
              <w:t>Paskutiniame ATLPS etape (III etapas - 2014–2020 m.) Mažeikių naftos perdirbimo gamykla Lietuvoje buvo atsakinga už maždaug 32% viso išmetamų ŠESD kiekio arba 8,5% visos šalies taršos. Lietuvos naftos perdirbimo gamykla yra palyginti maža, jos metinis gamybos pajėgumas siekia 9,5 Mt/a, o tai atitinka 1,7% viso ES naftos perdirbimo pajėgumo. Šios naftos perdirbimo gamyklos dėka Lietuva gali patenkinti vidaus paklausą naftos pagrindu gaminamam kurui, taip pat eksportuoti naftos produktus, tačiau gamyba šioje perdirbimo įmonėje priklauso nuo naftos žaliavos importo, aprūpinančio ją pradine žaliava. Anksčiau nafta buvo tiekiama Rusijos naftos vamzdynais, tačiau šiuo metu tiekimas vyksta per Būtingės terminalus Klaipėdos regione. Naftos perdirbimo įrangos sudėtingumas yra 10,3 palyginti su 7,3 vidurkiu Europoje, o tai reiškia, kad ši gamykla turi pajėgumų perdirbti naftą, ir dėl to joje gaunama likutinių alyvų dalis yra mažesnė. Šie pajėgumai suteikia galimybę naftos perdirbimo gamyklai perdirbti (pigesnes) sunkesnes žaliavas ir pagaminti daugiau vertingų tarpinio distiliato (pvz.: į gazolį/dyzeliną panašių) produktų.</w:t>
            </w:r>
          </w:p>
          <w:p w14:paraId="27859AE2" w14:textId="6BD2DAC3" w:rsidR="006E7F9C" w:rsidRPr="00990C7C" w:rsidRDefault="006E7F9C" w:rsidP="006E7F9C">
            <w:pPr>
              <w:jc w:val="both"/>
              <w:rPr>
                <w:rFonts w:ascii="Times New Roman" w:hAnsi="Times New Roman" w:cs="Times New Roman"/>
              </w:rPr>
            </w:pPr>
            <w:r w:rsidRPr="00990C7C">
              <w:rPr>
                <w:rFonts w:ascii="Times New Roman" w:hAnsi="Times New Roman" w:cs="Times New Roman"/>
              </w:rPr>
              <w:t>2014–2018 m. laikotarpiu Mažeikių naftos perdirbimo produktų gamykla stipriai pagerino savo išmetamų ŠESD rodiklius. Šiuo laikotarpiu savitasis išmetamų teršalų kiekis sumažėjo 14% nuo 30,1 kg CO</w:t>
            </w:r>
            <w:r w:rsidRPr="00990C7C">
              <w:rPr>
                <w:rFonts w:ascii="Times New Roman" w:hAnsi="Times New Roman" w:cs="Times New Roman"/>
                <w:vertAlign w:val="subscript"/>
              </w:rPr>
              <w:t>2</w:t>
            </w:r>
            <w:r w:rsidRPr="00990C7C">
              <w:rPr>
                <w:rFonts w:ascii="Times New Roman" w:hAnsi="Times New Roman" w:cs="Times New Roman"/>
              </w:rPr>
              <w:t>/CWT 2014 metais iki 26,0 CO</w:t>
            </w:r>
            <w:r w:rsidRPr="00990C7C">
              <w:rPr>
                <w:rFonts w:ascii="Times New Roman" w:hAnsi="Times New Roman" w:cs="Times New Roman"/>
                <w:vertAlign w:val="subscript"/>
              </w:rPr>
              <w:t>2</w:t>
            </w:r>
            <w:r w:rsidRPr="00990C7C">
              <w:rPr>
                <w:rFonts w:ascii="Times New Roman" w:hAnsi="Times New Roman" w:cs="Times New Roman"/>
              </w:rPr>
              <w:t xml:space="preserve">/CWT 2018 metais. 2015 m. naftos perdirbimo įmonė viršijo 2013 metų lyginamąja normą, o 2016 metais jos savitasis išmetamų teršalų kiekis vis dar buvo 6,3% didesnis už 10% efektyviausiai dirbančių įrenginių Europoje. 2018 metais savitasis išmetamų teršalų kiekis dar labiau sumažėjo ir beveik atitiko 2016–2017 metų 10% efektyviausiai veikiančių įrenginių rodiklius, tačiau vis dar išlieka 16% didesnis už kitame ATLPS etape naftos perdirbimo gamykloms numatytas lyginamąsias vertes. </w:t>
            </w:r>
          </w:p>
          <w:p w14:paraId="7E8E2D8A" w14:textId="365D6220" w:rsidR="006E7F9C" w:rsidRPr="00990C7C" w:rsidRDefault="006E7F9C" w:rsidP="006E7F9C">
            <w:pPr>
              <w:jc w:val="both"/>
              <w:rPr>
                <w:rFonts w:ascii="Times New Roman" w:hAnsi="Times New Roman" w:cs="Times New Roman"/>
              </w:rPr>
            </w:pPr>
            <w:r w:rsidRPr="00990C7C">
              <w:rPr>
                <w:rFonts w:ascii="Times New Roman" w:hAnsi="Times New Roman" w:cs="Times New Roman"/>
              </w:rPr>
              <w:t>2019 m. naftos perdirbimo gamyklos išmetamo CO</w:t>
            </w:r>
            <w:r w:rsidRPr="00990C7C">
              <w:rPr>
                <w:rFonts w:ascii="Times New Roman" w:hAnsi="Times New Roman" w:cs="Times New Roman"/>
                <w:vertAlign w:val="subscript"/>
              </w:rPr>
              <w:t>2</w:t>
            </w:r>
            <w:r w:rsidRPr="00990C7C">
              <w:rPr>
                <w:rFonts w:ascii="Times New Roman" w:hAnsi="Times New Roman" w:cs="Times New Roman"/>
              </w:rPr>
              <w:t xml:space="preserve"> kiekis sudarė 1 599 384 tCO</w:t>
            </w:r>
            <w:r w:rsidRPr="00990C7C">
              <w:rPr>
                <w:rFonts w:ascii="Times New Roman" w:hAnsi="Times New Roman" w:cs="Times New Roman"/>
                <w:vertAlign w:val="subscript"/>
              </w:rPr>
              <w:t>2</w:t>
            </w:r>
            <w:r w:rsidRPr="00990C7C">
              <w:rPr>
                <w:rFonts w:ascii="Times New Roman" w:hAnsi="Times New Roman" w:cs="Times New Roman"/>
              </w:rPr>
              <w:t>, iš kurių 43% sudarė degant kurui, įskaitant gamtines dujas, išmetamas CO</w:t>
            </w:r>
            <w:r w:rsidRPr="00990C7C">
              <w:rPr>
                <w:rFonts w:ascii="Times New Roman" w:hAnsi="Times New Roman" w:cs="Times New Roman"/>
                <w:vertAlign w:val="subscript"/>
              </w:rPr>
              <w:t>2</w:t>
            </w:r>
            <w:r w:rsidRPr="00990C7C">
              <w:rPr>
                <w:rFonts w:ascii="Times New Roman" w:hAnsi="Times New Roman" w:cs="Times New Roman"/>
              </w:rPr>
              <w:t xml:space="preserve">, 26% - deginant koksą katalizinio </w:t>
            </w:r>
            <w:proofErr w:type="spellStart"/>
            <w:r w:rsidRPr="00990C7C">
              <w:rPr>
                <w:rFonts w:ascii="Times New Roman" w:hAnsi="Times New Roman" w:cs="Times New Roman"/>
              </w:rPr>
              <w:t>krekingo</w:t>
            </w:r>
            <w:proofErr w:type="spellEnd"/>
            <w:r w:rsidRPr="00990C7C">
              <w:rPr>
                <w:rFonts w:ascii="Times New Roman" w:hAnsi="Times New Roman" w:cs="Times New Roman"/>
              </w:rPr>
              <w:t xml:space="preserve"> metu, 17% - vandenilio gamybos metu išmetamas CO</w:t>
            </w:r>
            <w:r w:rsidRPr="00990C7C">
              <w:rPr>
                <w:rFonts w:ascii="Times New Roman" w:hAnsi="Times New Roman" w:cs="Times New Roman"/>
                <w:vertAlign w:val="subscript"/>
              </w:rPr>
              <w:t>2</w:t>
            </w:r>
            <w:r w:rsidRPr="00990C7C">
              <w:rPr>
                <w:rFonts w:ascii="Times New Roman" w:hAnsi="Times New Roman" w:cs="Times New Roman"/>
              </w:rPr>
              <w:t xml:space="preserve"> ir 13% - iš šiluminės elektrinės išmetamas CO</w:t>
            </w:r>
            <w:r w:rsidRPr="00990C7C">
              <w:rPr>
                <w:rFonts w:ascii="Times New Roman" w:hAnsi="Times New Roman" w:cs="Times New Roman"/>
                <w:vertAlign w:val="subscript"/>
              </w:rPr>
              <w:t>2</w:t>
            </w:r>
            <w:r w:rsidRPr="00990C7C">
              <w:rPr>
                <w:rFonts w:ascii="Times New Roman" w:hAnsi="Times New Roman" w:cs="Times New Roman"/>
              </w:rPr>
              <w:t>.</w:t>
            </w:r>
          </w:p>
        </w:tc>
      </w:tr>
      <w:tr w:rsidR="00EC4173" w:rsidRPr="00990C7C" w14:paraId="1DC5C4AE" w14:textId="77777777" w:rsidTr="00EC4173">
        <w:tc>
          <w:tcPr>
            <w:tcW w:w="6374" w:type="dxa"/>
          </w:tcPr>
          <w:p w14:paraId="5CD38DB2" w14:textId="729F7DF7" w:rsidR="006E7F9C" w:rsidRPr="00990C7C" w:rsidRDefault="006E7F9C" w:rsidP="006E7F9C">
            <w:pPr>
              <w:jc w:val="both"/>
              <w:rPr>
                <w:rFonts w:ascii="Times New Roman" w:hAnsi="Times New Roman" w:cs="Times New Roman"/>
                <w:sz w:val="24"/>
                <w:szCs w:val="24"/>
              </w:rPr>
            </w:pPr>
            <w:r w:rsidRPr="00990C7C">
              <w:rPr>
                <w:rFonts w:ascii="Times New Roman" w:hAnsi="Times New Roman" w:cs="Times New Roman"/>
                <w:noProof/>
                <w:sz w:val="24"/>
                <w:szCs w:val="24"/>
              </w:rPr>
              <w:drawing>
                <wp:inline distT="0" distB="0" distL="0" distR="0" wp14:anchorId="6BB06088" wp14:editId="3BF5F0FE">
                  <wp:extent cx="3949700" cy="2221708"/>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34749" cy="2269548"/>
                          </a:xfrm>
                          <a:prstGeom prst="rect">
                            <a:avLst/>
                          </a:prstGeom>
                        </pic:spPr>
                      </pic:pic>
                    </a:graphicData>
                  </a:graphic>
                </wp:inline>
              </w:drawing>
            </w:r>
          </w:p>
        </w:tc>
        <w:tc>
          <w:tcPr>
            <w:tcW w:w="9132" w:type="dxa"/>
          </w:tcPr>
          <w:p w14:paraId="6C7427EB" w14:textId="77777777" w:rsidR="006E7F9C" w:rsidRPr="00990C7C" w:rsidRDefault="006E7F9C" w:rsidP="006E7F9C">
            <w:pPr>
              <w:jc w:val="both"/>
              <w:rPr>
                <w:rFonts w:ascii="Times New Roman" w:hAnsi="Times New Roman" w:cs="Times New Roman"/>
              </w:rPr>
            </w:pPr>
            <w:r w:rsidRPr="00990C7C">
              <w:rPr>
                <w:rFonts w:ascii="Times New Roman" w:hAnsi="Times New Roman" w:cs="Times New Roman"/>
              </w:rPr>
              <w:t xml:space="preserve">ES ATLPS III etapo metu cemento gamyba vidutiniškai sudarė 15,5% visų ATLPS išmetamųjų teršalų ir 4% visų vidaus išmetamųjų teršalų. 2014–2018 m. Lietuvos gamykla per metus pagamino vidutiniškai 872 </w:t>
            </w:r>
            <w:proofErr w:type="spellStart"/>
            <w:r w:rsidRPr="00990C7C">
              <w:rPr>
                <w:rFonts w:ascii="Times New Roman" w:hAnsi="Times New Roman" w:cs="Times New Roman"/>
              </w:rPr>
              <w:t>kt</w:t>
            </w:r>
            <w:proofErr w:type="spellEnd"/>
            <w:r w:rsidRPr="00990C7C">
              <w:rPr>
                <w:rFonts w:ascii="Times New Roman" w:hAnsi="Times New Roman" w:cs="Times New Roman"/>
              </w:rPr>
              <w:t xml:space="preserve"> pilkojo cemento klinkerio, o tai beveik atitinka 0,8% ES gamybos pajėgumų. Esant tokiam klinkerio gamybos lygiui, gamyklos metinis cemento gamybos pajėgumas yra 1,8 mln. tonų. </w:t>
            </w:r>
          </w:p>
          <w:p w14:paraId="3F2C5FBA" w14:textId="77777777" w:rsidR="006E7F9C" w:rsidRPr="00990C7C" w:rsidRDefault="006E7F9C" w:rsidP="006E7F9C">
            <w:pPr>
              <w:jc w:val="both"/>
              <w:rPr>
                <w:rFonts w:ascii="Times New Roman" w:hAnsi="Times New Roman" w:cs="Times New Roman"/>
              </w:rPr>
            </w:pPr>
            <w:r w:rsidRPr="00990C7C">
              <w:rPr>
                <w:rFonts w:ascii="Times New Roman" w:hAnsi="Times New Roman" w:cs="Times New Roman"/>
              </w:rPr>
              <w:t> </w:t>
            </w:r>
          </w:p>
          <w:p w14:paraId="3AEFD4DC" w14:textId="754E1938" w:rsidR="006E7F9C" w:rsidRPr="00990C7C" w:rsidRDefault="006E7F9C" w:rsidP="006E7F9C">
            <w:pPr>
              <w:jc w:val="both"/>
              <w:rPr>
                <w:rFonts w:ascii="Times New Roman" w:hAnsi="Times New Roman" w:cs="Times New Roman"/>
              </w:rPr>
            </w:pPr>
            <w:r w:rsidRPr="00990C7C">
              <w:rPr>
                <w:rFonts w:ascii="Times New Roman" w:hAnsi="Times New Roman" w:cs="Times New Roman"/>
              </w:rPr>
              <w:t>2014–2015 m. cemento gamykla stipriai pagerino savo išmetamų teršalų kiekių rodiklius, tačiau po šio laikotarpio savitųjų išmetamųjų teršalų mažėjimo tendencijos nematyti. 2018 m. cemento gamybos proceso metu išmetamų šiltnamio efektą sukeliančių dujų intensyvumas Lietuvoje vis dar buvo 16% didesnis už 2013 m. lyginamąją vertę ir 23% didesnis už 2016 ir 2017 m. 10% efektyviausiai veikusių ES įrenginių rodiklius. Norint pasiekti numatomą orientacinį lygį kitam ETS etapui, išmetamų teršalų intensyvumas turi sumažėti 22%.</w:t>
            </w:r>
          </w:p>
        </w:tc>
      </w:tr>
      <w:tr w:rsidR="00EC4173" w:rsidRPr="00990C7C" w14:paraId="5DCC522D" w14:textId="77777777" w:rsidTr="00EC4173">
        <w:tc>
          <w:tcPr>
            <w:tcW w:w="6374" w:type="dxa"/>
          </w:tcPr>
          <w:p w14:paraId="471708FF" w14:textId="5AED146B" w:rsidR="006E7F9C" w:rsidRPr="00990C7C" w:rsidRDefault="006E7F9C" w:rsidP="006E7F9C">
            <w:pPr>
              <w:jc w:val="both"/>
              <w:rPr>
                <w:rFonts w:ascii="Times New Roman" w:hAnsi="Times New Roman" w:cs="Times New Roman"/>
                <w:sz w:val="24"/>
                <w:szCs w:val="24"/>
              </w:rPr>
            </w:pPr>
            <w:r w:rsidRPr="00990C7C">
              <w:rPr>
                <w:rFonts w:ascii="Times New Roman" w:hAnsi="Times New Roman" w:cs="Times New Roman"/>
                <w:noProof/>
                <w:sz w:val="24"/>
                <w:szCs w:val="24"/>
              </w:rPr>
              <w:lastRenderedPageBreak/>
              <w:drawing>
                <wp:inline distT="0" distB="0" distL="0" distR="0" wp14:anchorId="5435286F" wp14:editId="51A9FBEB">
                  <wp:extent cx="3949700" cy="22217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98043" cy="2248898"/>
                          </a:xfrm>
                          <a:prstGeom prst="rect">
                            <a:avLst/>
                          </a:prstGeom>
                        </pic:spPr>
                      </pic:pic>
                    </a:graphicData>
                  </a:graphic>
                </wp:inline>
              </w:drawing>
            </w:r>
          </w:p>
        </w:tc>
        <w:tc>
          <w:tcPr>
            <w:tcW w:w="9132" w:type="dxa"/>
          </w:tcPr>
          <w:p w14:paraId="1549F54B" w14:textId="77777777" w:rsidR="006E7F9C" w:rsidRPr="00990C7C" w:rsidRDefault="006E7F9C" w:rsidP="006E7F9C">
            <w:pPr>
              <w:jc w:val="both"/>
              <w:rPr>
                <w:rFonts w:ascii="Times New Roman" w:hAnsi="Times New Roman" w:cs="Times New Roman"/>
              </w:rPr>
            </w:pPr>
            <w:r w:rsidRPr="00990C7C">
              <w:rPr>
                <w:rFonts w:ascii="Times New Roman" w:hAnsi="Times New Roman" w:cs="Times New Roman"/>
              </w:rPr>
              <w:t>Lietuvos populiacija mažėja ir sensta, dėl to mažėja ir darbo jėga. Bendras darbingo amžiaus gyventojų skaičius per pastarąjį dešimtmetį sumažėjo daugiau nei 13%, o 6 regionuose sumažėjo daugiau kaip 20%. Pavyzdžiui, Utenos apskritis prarado beveik 25% darbingo amžiaus gyventojų, o Tauragėje, Panevėžyje ir Alytuje šis skaičius yra apie 21%.</w:t>
            </w:r>
          </w:p>
          <w:p w14:paraId="5153FFBC" w14:textId="77777777" w:rsidR="006E7F9C" w:rsidRPr="00990C7C" w:rsidRDefault="006E7F9C" w:rsidP="006E7F9C">
            <w:pPr>
              <w:jc w:val="both"/>
              <w:rPr>
                <w:rFonts w:ascii="Times New Roman" w:hAnsi="Times New Roman" w:cs="Times New Roman"/>
              </w:rPr>
            </w:pPr>
            <w:r w:rsidRPr="00990C7C">
              <w:rPr>
                <w:rFonts w:ascii="Times New Roman" w:hAnsi="Times New Roman" w:cs="Times New Roman"/>
              </w:rPr>
              <w:t> </w:t>
            </w:r>
          </w:p>
          <w:p w14:paraId="1E869FB3" w14:textId="77777777" w:rsidR="006E7F9C" w:rsidRPr="00990C7C" w:rsidRDefault="006E7F9C" w:rsidP="006E7F9C">
            <w:pPr>
              <w:jc w:val="both"/>
              <w:rPr>
                <w:rFonts w:ascii="Times New Roman" w:hAnsi="Times New Roman" w:cs="Times New Roman"/>
              </w:rPr>
            </w:pPr>
            <w:r w:rsidRPr="00990C7C">
              <w:rPr>
                <w:rFonts w:ascii="Times New Roman" w:hAnsi="Times New Roman" w:cs="Times New Roman"/>
              </w:rPr>
              <w:t xml:space="preserve">Nepaisant šios tendencijos, apskritai nedarbo lygis nuo 2010 metų mažėjo, nors nuo 2018 m. šiek tiek padidėjo, ypač Tauragėje, Panevėžyje ir Marijampolėje. Tai yra regionai, kuriuose namų ūkių pajamos taip pat yra pačios žemiausios. </w:t>
            </w:r>
          </w:p>
          <w:p w14:paraId="59C10AE8" w14:textId="77777777" w:rsidR="006E7F9C" w:rsidRPr="00990C7C" w:rsidRDefault="006E7F9C" w:rsidP="006E7F9C">
            <w:pPr>
              <w:jc w:val="both"/>
              <w:rPr>
                <w:rFonts w:ascii="Times New Roman" w:hAnsi="Times New Roman" w:cs="Times New Roman"/>
              </w:rPr>
            </w:pPr>
          </w:p>
        </w:tc>
      </w:tr>
      <w:tr w:rsidR="00EC4173" w:rsidRPr="00990C7C" w14:paraId="25A73514" w14:textId="77777777" w:rsidTr="00EC4173">
        <w:tc>
          <w:tcPr>
            <w:tcW w:w="6374" w:type="dxa"/>
          </w:tcPr>
          <w:p w14:paraId="027977C5" w14:textId="12C87526" w:rsidR="006E7F9C" w:rsidRPr="00990C7C" w:rsidRDefault="006E7F9C" w:rsidP="006E7F9C">
            <w:pPr>
              <w:jc w:val="both"/>
              <w:rPr>
                <w:rFonts w:ascii="Times New Roman" w:hAnsi="Times New Roman" w:cs="Times New Roman"/>
                <w:sz w:val="24"/>
                <w:szCs w:val="24"/>
              </w:rPr>
            </w:pPr>
            <w:r w:rsidRPr="00990C7C">
              <w:rPr>
                <w:rFonts w:ascii="Times New Roman" w:hAnsi="Times New Roman" w:cs="Times New Roman"/>
                <w:noProof/>
                <w:sz w:val="24"/>
                <w:szCs w:val="24"/>
              </w:rPr>
              <w:drawing>
                <wp:inline distT="0" distB="0" distL="0" distR="0" wp14:anchorId="2F42FEB5" wp14:editId="34B99D32">
                  <wp:extent cx="3949700" cy="2221705"/>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05620" cy="2253160"/>
                          </a:xfrm>
                          <a:prstGeom prst="rect">
                            <a:avLst/>
                          </a:prstGeom>
                        </pic:spPr>
                      </pic:pic>
                    </a:graphicData>
                  </a:graphic>
                </wp:inline>
              </w:drawing>
            </w:r>
          </w:p>
        </w:tc>
        <w:tc>
          <w:tcPr>
            <w:tcW w:w="9132" w:type="dxa"/>
          </w:tcPr>
          <w:p w14:paraId="17E0D362" w14:textId="06B7B295" w:rsidR="006E7F9C" w:rsidRPr="00990C7C" w:rsidRDefault="006E7F9C" w:rsidP="006E7F9C">
            <w:pPr>
              <w:jc w:val="both"/>
              <w:rPr>
                <w:rFonts w:ascii="Times New Roman" w:hAnsi="Times New Roman" w:cs="Times New Roman"/>
              </w:rPr>
            </w:pPr>
            <w:r w:rsidRPr="00990C7C">
              <w:rPr>
                <w:rFonts w:ascii="Times New Roman" w:hAnsi="Times New Roman" w:cs="Times New Roman"/>
              </w:rPr>
              <w:t xml:space="preserve">Poveikis nacionalinei BVP ir užimtumui yra reikšmingas, nes didelė visų 3 bendrovių tiekėjų dalis veikia už regionų ribų, kitose šalies vietose (ar užsienyje). Apskaičiuota, kad </w:t>
            </w:r>
            <w:r w:rsidRPr="00990C7C">
              <w:rPr>
                <w:rFonts w:ascii="Times New Roman" w:hAnsi="Times New Roman" w:cs="Times New Roman"/>
                <w:b/>
                <w:bCs/>
              </w:rPr>
              <w:t>apie 810 mln. EUR BVP nacionalinėje ekonomikoje (2% visos BVP) ir apie 25 000 darbo vietų yra tiesiogiai ar netiesiogiai susijusios su šiais 3 objektais. Kitaip tariant, kiekvienam 3 objektų darbuotojui vidutiniškai tenka dar 7 visoje šalyje dirbantys darbuotojai</w:t>
            </w:r>
            <w:r w:rsidRPr="00990C7C">
              <w:rPr>
                <w:rFonts w:ascii="Times New Roman" w:hAnsi="Times New Roman" w:cs="Times New Roman"/>
              </w:rPr>
              <w:t>. Tai yra bendras šių 3 įrenginių socialinės ir ekonominės rizikos ekonomikai dydis.</w:t>
            </w:r>
            <w:r w:rsidRPr="00990C7C">
              <w:rPr>
                <w:rFonts w:ascii="Times New Roman" w:hAnsi="Times New Roman" w:cs="Times New Roman"/>
                <w:b/>
                <w:bCs/>
              </w:rPr>
              <w:t xml:space="preserve"> </w:t>
            </w:r>
          </w:p>
          <w:p w14:paraId="271A0CB4" w14:textId="77777777" w:rsidR="006E7F9C" w:rsidRPr="00990C7C" w:rsidRDefault="006E7F9C" w:rsidP="006E7F9C">
            <w:pPr>
              <w:jc w:val="both"/>
              <w:rPr>
                <w:rFonts w:ascii="Times New Roman" w:hAnsi="Times New Roman" w:cs="Times New Roman"/>
              </w:rPr>
            </w:pPr>
            <w:r w:rsidRPr="00990C7C">
              <w:rPr>
                <w:rFonts w:ascii="Times New Roman" w:hAnsi="Times New Roman" w:cs="Times New Roman"/>
              </w:rPr>
              <w:t> </w:t>
            </w:r>
          </w:p>
          <w:p w14:paraId="08F477DE" w14:textId="7B83045D" w:rsidR="006E7F9C" w:rsidRPr="00990C7C" w:rsidRDefault="006E7F9C" w:rsidP="006E7F9C">
            <w:pPr>
              <w:jc w:val="both"/>
              <w:rPr>
                <w:rFonts w:ascii="Times New Roman" w:hAnsi="Times New Roman" w:cs="Times New Roman"/>
              </w:rPr>
            </w:pPr>
            <w:r w:rsidRPr="00990C7C">
              <w:rPr>
                <w:rFonts w:ascii="Times New Roman" w:hAnsi="Times New Roman" w:cs="Times New Roman"/>
              </w:rPr>
              <w:t>Be to, verta atkreipti dėmesį į 3 įrenginių, kurie yra itin svarbūs darbdaviai savivaldybių lygmeniu, socialinę ir ekonominę svarbą. Jie taip pat netiesiogiai prisideda prie tolesnio darbo vietų kūrimo ir sudaro didelę savivaldybių BVP dalį. AB „Achema“ trąšų gamybos įmonėje tiesiogiai dirba 13% savivaldybės darbo jėgos, „Akmenės cemento“ įmonėje - 12%, AB „</w:t>
            </w:r>
            <w:proofErr w:type="spellStart"/>
            <w:r w:rsidRPr="00990C7C">
              <w:rPr>
                <w:rFonts w:ascii="Times New Roman" w:hAnsi="Times New Roman" w:cs="Times New Roman"/>
              </w:rPr>
              <w:t>Orlen</w:t>
            </w:r>
            <w:proofErr w:type="spellEnd"/>
            <w:r w:rsidRPr="00990C7C">
              <w:rPr>
                <w:rFonts w:ascii="Times New Roman" w:hAnsi="Times New Roman" w:cs="Times New Roman"/>
              </w:rPr>
              <w:t xml:space="preserve"> Lietuva“ naftos perdirbimo gamykloje Mažeikiuose – 8%. Naftos perdirbimo produktų gamykla yra tiesiogiai ir netiesiogiai susijusi su 53% savivaldybėje esančių darbo vietų. Kadangi darbo vietos atitinkamose įmonėse taip pat yra gerai apmokamos (viršija regiono vidurkį), galimi jų veiklų pokyčiai turėtų didelės įtakos ir pragyvenimo lygiui atitinkamuose regionuose bei savivaldybėse.</w:t>
            </w:r>
          </w:p>
        </w:tc>
      </w:tr>
      <w:tr w:rsidR="00EC4173" w:rsidRPr="00990C7C" w14:paraId="5C2AEBAD" w14:textId="77777777" w:rsidTr="00EC4173">
        <w:tc>
          <w:tcPr>
            <w:tcW w:w="6374" w:type="dxa"/>
          </w:tcPr>
          <w:p w14:paraId="1AABF7EE" w14:textId="6176A277" w:rsidR="006E7F9C" w:rsidRPr="00990C7C" w:rsidRDefault="006E7F9C" w:rsidP="006E7F9C">
            <w:pPr>
              <w:jc w:val="both"/>
              <w:rPr>
                <w:rFonts w:ascii="Times New Roman" w:hAnsi="Times New Roman" w:cs="Times New Roman"/>
                <w:sz w:val="24"/>
                <w:szCs w:val="24"/>
              </w:rPr>
            </w:pPr>
            <w:r w:rsidRPr="00990C7C">
              <w:rPr>
                <w:rFonts w:ascii="Times New Roman" w:hAnsi="Times New Roman" w:cs="Times New Roman"/>
                <w:noProof/>
              </w:rPr>
              <w:lastRenderedPageBreak/>
              <w:drawing>
                <wp:inline distT="0" distB="0" distL="0" distR="0" wp14:anchorId="1F43A8D7" wp14:editId="48AD3D63">
                  <wp:extent cx="3949700" cy="2221707"/>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94721" cy="2247031"/>
                          </a:xfrm>
                          <a:prstGeom prst="rect">
                            <a:avLst/>
                          </a:prstGeom>
                        </pic:spPr>
                      </pic:pic>
                    </a:graphicData>
                  </a:graphic>
                </wp:inline>
              </w:drawing>
            </w:r>
          </w:p>
        </w:tc>
        <w:tc>
          <w:tcPr>
            <w:tcW w:w="9132" w:type="dxa"/>
          </w:tcPr>
          <w:p w14:paraId="07A0D2F6" w14:textId="130919F6" w:rsidR="006E7F9C" w:rsidRPr="00990C7C" w:rsidRDefault="006E7F9C" w:rsidP="006E7F9C">
            <w:pPr>
              <w:jc w:val="both"/>
              <w:rPr>
                <w:rFonts w:ascii="Times New Roman" w:hAnsi="Times New Roman" w:cs="Times New Roman"/>
              </w:rPr>
            </w:pPr>
            <w:r w:rsidRPr="00990C7C">
              <w:rPr>
                <w:rFonts w:ascii="Times New Roman" w:hAnsi="Times New Roman" w:cs="Times New Roman"/>
              </w:rPr>
              <w:t xml:space="preserve">Siekiant patvirtinti tolesnei analizei atrinktų regionų pagrįstumą, ekspertai atliko įvairiais kriterijais paremtą analizę. Šioje analizėje buvo išskirti svarbiausi ekonominiai, socialiniai ir aplinkosaugos aspektai, kokį poveikį tai galėtų turėti kiekvienam regionui, atsižvelgiant į teisingos pertvarkos pavojus, išmetamųjų teršalų kiekius ir kontekstinius veiksnius. </w:t>
            </w:r>
          </w:p>
          <w:p w14:paraId="3FC9D214" w14:textId="5F35A611" w:rsidR="006E7F9C" w:rsidRPr="00990C7C" w:rsidRDefault="006E7F9C" w:rsidP="006E7F9C">
            <w:pPr>
              <w:jc w:val="both"/>
              <w:rPr>
                <w:rFonts w:ascii="Times New Roman" w:hAnsi="Times New Roman" w:cs="Times New Roman"/>
              </w:rPr>
            </w:pPr>
            <w:r w:rsidRPr="00990C7C">
              <w:rPr>
                <w:rFonts w:ascii="Times New Roman" w:hAnsi="Times New Roman" w:cs="Times New Roman"/>
                <w:b/>
                <w:bCs/>
              </w:rPr>
              <w:t xml:space="preserve">Išmetamųjų teršalų mažinimas pramonėje buvo nustatytas kaip pagrindinis </w:t>
            </w:r>
            <w:proofErr w:type="spellStart"/>
            <w:r w:rsidRPr="00990C7C">
              <w:rPr>
                <w:rFonts w:ascii="Times New Roman" w:hAnsi="Times New Roman" w:cs="Times New Roman"/>
                <w:b/>
                <w:bCs/>
              </w:rPr>
              <w:t>teritoriškai</w:t>
            </w:r>
            <w:proofErr w:type="spellEnd"/>
            <w:r w:rsidRPr="00990C7C">
              <w:rPr>
                <w:rFonts w:ascii="Times New Roman" w:hAnsi="Times New Roman" w:cs="Times New Roman"/>
                <w:b/>
                <w:bCs/>
              </w:rPr>
              <w:t xml:space="preserve"> kintantis išmetamųjų teršalų šaltinis, ir šaltinis, kuriame yra reikšmingiausia </w:t>
            </w:r>
            <w:proofErr w:type="spellStart"/>
            <w:r w:rsidRPr="00990C7C">
              <w:rPr>
                <w:rFonts w:ascii="Times New Roman" w:hAnsi="Times New Roman" w:cs="Times New Roman"/>
                <w:b/>
                <w:bCs/>
              </w:rPr>
              <w:t>teritoriškai</w:t>
            </w:r>
            <w:proofErr w:type="spellEnd"/>
            <w:r w:rsidRPr="00990C7C">
              <w:rPr>
                <w:rFonts w:ascii="Times New Roman" w:hAnsi="Times New Roman" w:cs="Times New Roman"/>
                <w:b/>
                <w:bCs/>
              </w:rPr>
              <w:t xml:space="preserve"> kintanti socialinė ir ekonominė rizika. </w:t>
            </w:r>
            <w:r w:rsidRPr="00990C7C">
              <w:rPr>
                <w:rFonts w:ascii="Times New Roman" w:hAnsi="Times New Roman" w:cs="Times New Roman"/>
              </w:rPr>
              <w:t xml:space="preserve">Todėl analizėje daugiausia dėmesio skirta rodikliams, susijusiems su gamyba ir pramone. Kiti dideli išmetamųjų teršalų šaltiniai, tokie kaip transportas ir energija, nors skiriasi, visų pirma, atsižvelgiant į gyventojų skaičių, atskiruose regionuose skiriasi ne tuo pačiu dydžiu, be to, buvo įvertinta, kad dėl perėjimo prie neutralaus poveikio klimatui ekonomikos socialinė ir ekonominė rizika yra mažesnė. Energetikos atveju taip yra todėl, kad iškastinės energijos sektorius Lietuvoje jau yra gana mažas, o transportui mažinant išmetamų teršalų kiekį, pvz. dėl transporto priemonių parkų elektrifikavimo, tai neturėtų nepagrįstai paveikti esamų ekonominių veiklos rūšių (mažai gaminančių transporto priemonių) ar turėti ypač koncentruotą regioninį ekonominį poveikį. </w:t>
            </w:r>
          </w:p>
          <w:p w14:paraId="3C8D1146" w14:textId="77777777" w:rsidR="006E7F9C" w:rsidRPr="00990C7C" w:rsidRDefault="006E7F9C" w:rsidP="006E7F9C">
            <w:pPr>
              <w:jc w:val="both"/>
              <w:rPr>
                <w:rFonts w:ascii="Times New Roman" w:hAnsi="Times New Roman" w:cs="Times New Roman"/>
              </w:rPr>
            </w:pPr>
            <w:r w:rsidRPr="00990C7C">
              <w:rPr>
                <w:rFonts w:ascii="Times New Roman" w:hAnsi="Times New Roman" w:cs="Times New Roman"/>
              </w:rPr>
              <w:t xml:space="preserve">Ekonominiai veiksniai orientuoti į santykinę apdirbamosios gamybos sektorių reikšmę regiono ekonomikoje, kurią rodo jos bendra pridėtinė vertė. Socialiniai veiksniai atspindi santykinę užimtumo svarbą apdirbamojoje gamyboje, taip pat keletą bendrų socialinių ir ekonominių rodiklių, tokių kaip nedarbo lygis, vidutinės pajamos ir gyventojų skaičiaus mažėjimo rizika (tai procentinis skirtumas tarp regionų gyventojų 2015 m. ir 2019 m.). </w:t>
            </w:r>
          </w:p>
          <w:p w14:paraId="52532E7A" w14:textId="77777777" w:rsidR="006E7F9C" w:rsidRPr="00990C7C" w:rsidRDefault="006E7F9C" w:rsidP="006E7F9C">
            <w:pPr>
              <w:jc w:val="both"/>
              <w:rPr>
                <w:rFonts w:ascii="Times New Roman" w:hAnsi="Times New Roman" w:cs="Times New Roman"/>
              </w:rPr>
            </w:pPr>
          </w:p>
        </w:tc>
      </w:tr>
      <w:tr w:rsidR="00EC4173" w:rsidRPr="00990C7C" w14:paraId="15B2E45B" w14:textId="77777777" w:rsidTr="00EC4173">
        <w:tc>
          <w:tcPr>
            <w:tcW w:w="6374" w:type="dxa"/>
          </w:tcPr>
          <w:p w14:paraId="75A03CD6" w14:textId="0C651048" w:rsidR="006E7F9C" w:rsidRPr="00990C7C" w:rsidRDefault="006E7F9C" w:rsidP="006E7F9C">
            <w:pPr>
              <w:jc w:val="both"/>
              <w:rPr>
                <w:rFonts w:ascii="Times New Roman" w:hAnsi="Times New Roman" w:cs="Times New Roman"/>
                <w:sz w:val="24"/>
                <w:szCs w:val="24"/>
              </w:rPr>
            </w:pPr>
            <w:r w:rsidRPr="00990C7C">
              <w:rPr>
                <w:rFonts w:ascii="Times New Roman" w:hAnsi="Times New Roman" w:cs="Times New Roman"/>
                <w:noProof/>
              </w:rPr>
              <w:drawing>
                <wp:inline distT="0" distB="0" distL="0" distR="0" wp14:anchorId="1C2E5833" wp14:editId="6C0B5479">
                  <wp:extent cx="3962400" cy="2228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27998" cy="2265749"/>
                          </a:xfrm>
                          <a:prstGeom prst="rect">
                            <a:avLst/>
                          </a:prstGeom>
                        </pic:spPr>
                      </pic:pic>
                    </a:graphicData>
                  </a:graphic>
                </wp:inline>
              </w:drawing>
            </w:r>
          </w:p>
        </w:tc>
        <w:tc>
          <w:tcPr>
            <w:tcW w:w="9132" w:type="dxa"/>
          </w:tcPr>
          <w:p w14:paraId="5CD3F622" w14:textId="24189420" w:rsidR="006E7F9C" w:rsidRPr="00990C7C" w:rsidRDefault="006E7F9C" w:rsidP="006E7F9C">
            <w:pPr>
              <w:jc w:val="both"/>
              <w:rPr>
                <w:rFonts w:ascii="Times New Roman" w:hAnsi="Times New Roman" w:cs="Times New Roman"/>
              </w:rPr>
            </w:pPr>
            <w:proofErr w:type="spellStart"/>
            <w:r w:rsidRPr="00990C7C">
              <w:rPr>
                <w:rFonts w:ascii="Times New Roman" w:hAnsi="Times New Roman" w:cs="Times New Roman"/>
                <w:lang w:val="en-US"/>
              </w:rPr>
              <w:t>Remiantis</w:t>
            </w:r>
            <w:proofErr w:type="spellEnd"/>
            <w:r w:rsidRPr="00990C7C">
              <w:rPr>
                <w:rFonts w:ascii="Times New Roman" w:hAnsi="Times New Roman" w:cs="Times New Roman"/>
                <w:lang w:val="en-US"/>
              </w:rPr>
              <w:t xml:space="preserve"> </w:t>
            </w:r>
            <w:proofErr w:type="spellStart"/>
            <w:r w:rsidRPr="00990C7C">
              <w:rPr>
                <w:rFonts w:ascii="Times New Roman" w:hAnsi="Times New Roman" w:cs="Times New Roman"/>
                <w:lang w:val="en-US"/>
              </w:rPr>
              <w:t>atlikta</w:t>
            </w:r>
            <w:proofErr w:type="spellEnd"/>
            <w:r w:rsidRPr="00990C7C">
              <w:rPr>
                <w:rFonts w:ascii="Times New Roman" w:hAnsi="Times New Roman" w:cs="Times New Roman"/>
                <w:lang w:val="en-US"/>
              </w:rPr>
              <w:t xml:space="preserve"> </w:t>
            </w:r>
            <w:r w:rsidRPr="00990C7C">
              <w:rPr>
                <w:rFonts w:ascii="Times New Roman" w:hAnsi="Times New Roman" w:cs="Times New Roman"/>
              </w:rPr>
              <w:t>socialinių, ekonominių ir aplinkosauginių kriterijų analize, kurioje atsižvelgta į svarbiausius ekonominius, socialinius ir aplinkosaugos veiksnius (pvz.: apdirbamosios gamybos svarba regiono ekonomikoje, išmetamųjų teršalų kiekis, užimtumas apdirbamosios gamybos srityje ir gyventojų skaičiaus mažėjimo rizika), patvirtina, jog būtent Kauno, Šiaulių ir Telšių bei Klaipėdos regionai turėtų būti laikomi labiausiai nuo perėjimo prie mažai anglies dioksido į aplinką išskiriančių technologijų nukentėję teritorijos</w:t>
            </w:r>
          </w:p>
          <w:p w14:paraId="1F4ADAA6" w14:textId="77777777" w:rsidR="006E7F9C" w:rsidRPr="00990C7C" w:rsidRDefault="006E7F9C" w:rsidP="006E7F9C">
            <w:pPr>
              <w:jc w:val="both"/>
              <w:rPr>
                <w:rFonts w:ascii="Times New Roman" w:hAnsi="Times New Roman" w:cs="Times New Roman"/>
              </w:rPr>
            </w:pPr>
          </w:p>
        </w:tc>
      </w:tr>
      <w:tr w:rsidR="00B64612" w:rsidRPr="003E2721" w14:paraId="12A72B3D" w14:textId="77777777" w:rsidTr="00EC4173">
        <w:tc>
          <w:tcPr>
            <w:tcW w:w="6374" w:type="dxa"/>
          </w:tcPr>
          <w:p w14:paraId="0AEF2691" w14:textId="5B1A9920" w:rsidR="006E7F9C" w:rsidRPr="00990C7C" w:rsidRDefault="006E7F9C" w:rsidP="006E7F9C">
            <w:pPr>
              <w:jc w:val="both"/>
              <w:rPr>
                <w:rFonts w:ascii="Times New Roman" w:hAnsi="Times New Roman" w:cs="Times New Roman"/>
                <w:sz w:val="24"/>
                <w:szCs w:val="24"/>
              </w:rPr>
            </w:pPr>
            <w:r w:rsidRPr="00990C7C">
              <w:rPr>
                <w:rFonts w:ascii="Times New Roman" w:hAnsi="Times New Roman" w:cs="Times New Roman"/>
                <w:noProof/>
              </w:rPr>
              <w:lastRenderedPageBreak/>
              <w:drawing>
                <wp:inline distT="0" distB="0" distL="0" distR="0" wp14:anchorId="267146E7" wp14:editId="158EC01A">
                  <wp:extent cx="3962400" cy="2228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007922" cy="2254456"/>
                          </a:xfrm>
                          <a:prstGeom prst="rect">
                            <a:avLst/>
                          </a:prstGeom>
                        </pic:spPr>
                      </pic:pic>
                    </a:graphicData>
                  </a:graphic>
                </wp:inline>
              </w:drawing>
            </w:r>
          </w:p>
        </w:tc>
        <w:tc>
          <w:tcPr>
            <w:tcW w:w="9132" w:type="dxa"/>
          </w:tcPr>
          <w:p w14:paraId="2B48C5F6" w14:textId="14B9F629" w:rsidR="006E7F9C" w:rsidRPr="00990C7C" w:rsidRDefault="006E7F9C" w:rsidP="006E7F9C">
            <w:pPr>
              <w:jc w:val="both"/>
              <w:rPr>
                <w:rFonts w:ascii="Times New Roman" w:hAnsi="Times New Roman" w:cs="Times New Roman"/>
              </w:rPr>
            </w:pPr>
            <w:r w:rsidRPr="00990C7C">
              <w:rPr>
                <w:rFonts w:ascii="Times New Roman" w:hAnsi="Times New Roman" w:cs="Times New Roman"/>
              </w:rPr>
              <w:t>Taigi atlikta analizė parodė, kad užimtumo dalis apdirbamojoje pramonėje, palyginti su kitais sektoriais, ir darbo vietų, susijusių su didžiausiais teršėjais, dalis yra didžiausia Jonavos, Mažeikių ir Akmenės rajonų savivaldybėse. Manoma, kad Mažeikių savivaldybei teks susidurti su reikšmingiausiu iššūkiu, nes čia užimtumas priklauso nuo sektoriaus, kuris patiria nuosmukį (naftos perdirbimo gamykla), o dauguma ES fondų (įskaitant TPF) neleidžia finansuoti veiklų, susijusių su iškastiniu kuru. Įvertintas neigiamas poveikis Klaipėdos regionui yra labiau netiesioginis dėl galimo uosto ir transporto paslaugų bei kito tarpinio vartojimo paklausos iš „</w:t>
            </w:r>
            <w:proofErr w:type="spellStart"/>
            <w:r w:rsidRPr="00990C7C">
              <w:rPr>
                <w:rFonts w:ascii="Times New Roman" w:hAnsi="Times New Roman" w:cs="Times New Roman"/>
              </w:rPr>
              <w:t>Orlen</w:t>
            </w:r>
            <w:proofErr w:type="spellEnd"/>
            <w:r w:rsidRPr="00990C7C">
              <w:rPr>
                <w:rFonts w:ascii="Times New Roman" w:hAnsi="Times New Roman" w:cs="Times New Roman"/>
              </w:rPr>
              <w:t xml:space="preserve"> Lietuva“ pusės sumažėjimo. Todėl Klaipėdos regione nėra tiesiogiai paveiktos (-ų) savivaldybės (-</w:t>
            </w:r>
            <w:proofErr w:type="spellStart"/>
            <w:r w:rsidRPr="00990C7C">
              <w:rPr>
                <w:rFonts w:ascii="Times New Roman" w:hAnsi="Times New Roman" w:cs="Times New Roman"/>
              </w:rPr>
              <w:t>ių</w:t>
            </w:r>
            <w:proofErr w:type="spellEnd"/>
            <w:r w:rsidRPr="00990C7C">
              <w:rPr>
                <w:rFonts w:ascii="Times New Roman" w:hAnsi="Times New Roman" w:cs="Times New Roman"/>
              </w:rPr>
              <w:t>).</w:t>
            </w:r>
          </w:p>
          <w:p w14:paraId="13A7424C" w14:textId="77777777" w:rsidR="006E7F9C" w:rsidRPr="00990C7C" w:rsidRDefault="006E7F9C" w:rsidP="006E7F9C">
            <w:pPr>
              <w:jc w:val="both"/>
              <w:rPr>
                <w:rFonts w:ascii="Times New Roman" w:hAnsi="Times New Roman" w:cs="Times New Roman"/>
              </w:rPr>
            </w:pPr>
          </w:p>
        </w:tc>
      </w:tr>
    </w:tbl>
    <w:p w14:paraId="05827A5F" w14:textId="3B80E694" w:rsidR="00CE5068" w:rsidRPr="003E2721" w:rsidRDefault="00CE5068" w:rsidP="009D663D">
      <w:pPr>
        <w:spacing w:after="0" w:line="240" w:lineRule="auto"/>
        <w:jc w:val="both"/>
        <w:rPr>
          <w:rFonts w:ascii="Times New Roman" w:hAnsi="Times New Roman" w:cs="Times New Roman"/>
          <w:sz w:val="24"/>
          <w:szCs w:val="24"/>
        </w:rPr>
      </w:pPr>
      <w:r w:rsidRPr="003E2721">
        <w:rPr>
          <w:rFonts w:ascii="Times New Roman" w:hAnsi="Times New Roman" w:cs="Times New Roman"/>
          <w:noProof/>
        </w:rPr>
        <w:t xml:space="preserve">    </w:t>
      </w:r>
    </w:p>
    <w:sectPr w:rsidR="00CE5068" w:rsidRPr="003E2721" w:rsidSect="009D663D">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8E074" w14:textId="77777777" w:rsidR="00027A57" w:rsidRDefault="00027A57" w:rsidP="006D3391">
      <w:pPr>
        <w:spacing w:after="0" w:line="240" w:lineRule="auto"/>
      </w:pPr>
      <w:r>
        <w:separator/>
      </w:r>
    </w:p>
  </w:endnote>
  <w:endnote w:type="continuationSeparator" w:id="0">
    <w:p w14:paraId="641BF1C1" w14:textId="77777777" w:rsidR="00027A57" w:rsidRDefault="00027A57" w:rsidP="006D3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4244616"/>
      <w:docPartObj>
        <w:docPartGallery w:val="Page Numbers (Bottom of Page)"/>
        <w:docPartUnique/>
      </w:docPartObj>
    </w:sdtPr>
    <w:sdtEndPr/>
    <w:sdtContent>
      <w:p w14:paraId="759D08E7" w14:textId="49506440" w:rsidR="009D663D" w:rsidRPr="00E52A27" w:rsidRDefault="009D663D">
        <w:pPr>
          <w:pStyle w:val="Footer"/>
          <w:jc w:val="center"/>
          <w:rPr>
            <w:rFonts w:ascii="Times New Roman" w:hAnsi="Times New Roman" w:cs="Times New Roman"/>
          </w:rPr>
        </w:pPr>
        <w:r w:rsidRPr="00E52A27">
          <w:rPr>
            <w:rFonts w:ascii="Times New Roman" w:hAnsi="Times New Roman" w:cs="Times New Roman"/>
          </w:rPr>
          <w:fldChar w:fldCharType="begin"/>
        </w:r>
        <w:r w:rsidRPr="00E52A27">
          <w:rPr>
            <w:rFonts w:ascii="Times New Roman" w:hAnsi="Times New Roman" w:cs="Times New Roman"/>
          </w:rPr>
          <w:instrText>PAGE   \* MERGEFORMAT</w:instrText>
        </w:r>
        <w:r w:rsidRPr="00E52A27">
          <w:rPr>
            <w:rFonts w:ascii="Times New Roman" w:hAnsi="Times New Roman" w:cs="Times New Roman"/>
          </w:rPr>
          <w:fldChar w:fldCharType="separate"/>
        </w:r>
        <w:r w:rsidRPr="00E52A27">
          <w:rPr>
            <w:rFonts w:ascii="Times New Roman" w:hAnsi="Times New Roman" w:cs="Times New Roman"/>
          </w:rPr>
          <w:t>2</w:t>
        </w:r>
        <w:r w:rsidRPr="00E52A27">
          <w:rPr>
            <w:rFonts w:ascii="Times New Roman" w:hAnsi="Times New Roman" w:cs="Times New Roman"/>
          </w:rPr>
          <w:fldChar w:fldCharType="end"/>
        </w:r>
      </w:p>
    </w:sdtContent>
  </w:sdt>
  <w:p w14:paraId="024388DC" w14:textId="77777777" w:rsidR="009D663D" w:rsidRPr="00E52A27" w:rsidRDefault="009D663D">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D3E78" w14:textId="77777777" w:rsidR="00027A57" w:rsidRDefault="00027A57" w:rsidP="006D3391">
      <w:pPr>
        <w:spacing w:after="0" w:line="240" w:lineRule="auto"/>
      </w:pPr>
      <w:r>
        <w:separator/>
      </w:r>
    </w:p>
  </w:footnote>
  <w:footnote w:type="continuationSeparator" w:id="0">
    <w:p w14:paraId="70881519" w14:textId="77777777" w:rsidR="00027A57" w:rsidRDefault="00027A57" w:rsidP="006D3391">
      <w:pPr>
        <w:spacing w:after="0" w:line="240" w:lineRule="auto"/>
      </w:pPr>
      <w:r>
        <w:continuationSeparator/>
      </w:r>
    </w:p>
  </w:footnote>
  <w:footnote w:id="1">
    <w:p w14:paraId="48316C51" w14:textId="21CC7F73" w:rsidR="009F2E32" w:rsidRDefault="009F2E32" w:rsidP="009F2E32">
      <w:pPr>
        <w:pStyle w:val="rfrenceinstitutionnelle"/>
        <w:shd w:val="clear" w:color="auto" w:fill="FFFFFF"/>
        <w:spacing w:before="0" w:beforeAutospacing="0" w:after="0" w:afterAutospacing="0"/>
        <w:jc w:val="both"/>
        <w:rPr>
          <w:color w:val="444444"/>
          <w:sz w:val="27"/>
          <w:szCs w:val="27"/>
        </w:rPr>
      </w:pPr>
      <w:r>
        <w:rPr>
          <w:rStyle w:val="FootnoteReference"/>
        </w:rPr>
        <w:footnoteRef/>
      </w:r>
      <w:r>
        <w:t xml:space="preserve"> </w:t>
      </w:r>
      <w:r w:rsidRPr="009F2E32">
        <w:rPr>
          <w:sz w:val="20"/>
          <w:szCs w:val="20"/>
        </w:rPr>
        <w:t xml:space="preserve">Europos Parlamento ir Tarybos reglamentas, kuriuo įsteigiamas Teisingos pertvarkos fondas (COM(2020) 22 </w:t>
      </w:r>
      <w:proofErr w:type="spellStart"/>
      <w:r w:rsidRPr="009F2E32">
        <w:rPr>
          <w:sz w:val="20"/>
          <w:szCs w:val="20"/>
        </w:rPr>
        <w:t>final</w:t>
      </w:r>
      <w:proofErr w:type="spellEnd"/>
      <w:r w:rsidRPr="009F2E32">
        <w:rPr>
          <w:sz w:val="20"/>
          <w:szCs w:val="20"/>
        </w:rPr>
        <w:t xml:space="preserve"> 2020/0006(COD)</w:t>
      </w:r>
    </w:p>
    <w:p w14:paraId="789A5C15" w14:textId="2B152E2D" w:rsidR="009F2E32" w:rsidRDefault="009F2E3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DB4E18"/>
    <w:multiLevelType w:val="multilevel"/>
    <w:tmpl w:val="48F0742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707E7002"/>
    <w:multiLevelType w:val="hybridMultilevel"/>
    <w:tmpl w:val="A3CC4A14"/>
    <w:lvl w:ilvl="0" w:tplc="DD54843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7763BC4"/>
    <w:multiLevelType w:val="hybridMultilevel"/>
    <w:tmpl w:val="8BCE060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C2C7662"/>
    <w:multiLevelType w:val="hybridMultilevel"/>
    <w:tmpl w:val="8EF48F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91C"/>
    <w:rsid w:val="00027A57"/>
    <w:rsid w:val="000678A4"/>
    <w:rsid w:val="00097661"/>
    <w:rsid w:val="001023B9"/>
    <w:rsid w:val="00211BFC"/>
    <w:rsid w:val="00225751"/>
    <w:rsid w:val="002345FF"/>
    <w:rsid w:val="002F451A"/>
    <w:rsid w:val="003A3087"/>
    <w:rsid w:val="003B34AD"/>
    <w:rsid w:val="003E2721"/>
    <w:rsid w:val="004318D5"/>
    <w:rsid w:val="00464251"/>
    <w:rsid w:val="005043F0"/>
    <w:rsid w:val="006C2114"/>
    <w:rsid w:val="006D3391"/>
    <w:rsid w:val="006E7F9C"/>
    <w:rsid w:val="00736630"/>
    <w:rsid w:val="007A4DFD"/>
    <w:rsid w:val="007E591C"/>
    <w:rsid w:val="00913EF5"/>
    <w:rsid w:val="00983118"/>
    <w:rsid w:val="009855B3"/>
    <w:rsid w:val="00986523"/>
    <w:rsid w:val="00990C7C"/>
    <w:rsid w:val="009A56FC"/>
    <w:rsid w:val="009D663D"/>
    <w:rsid w:val="009F2E32"/>
    <w:rsid w:val="00A16731"/>
    <w:rsid w:val="00A314BE"/>
    <w:rsid w:val="00A32CF9"/>
    <w:rsid w:val="00A9795C"/>
    <w:rsid w:val="00B64612"/>
    <w:rsid w:val="00BC196E"/>
    <w:rsid w:val="00C27A59"/>
    <w:rsid w:val="00CE5068"/>
    <w:rsid w:val="00DB37F1"/>
    <w:rsid w:val="00DF0CF5"/>
    <w:rsid w:val="00E14FD9"/>
    <w:rsid w:val="00E52A27"/>
    <w:rsid w:val="00EC4173"/>
    <w:rsid w:val="00ED4DB2"/>
    <w:rsid w:val="19D16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0812"/>
  <w15:chartTrackingRefBased/>
  <w15:docId w15:val="{2E91FB43-ED7C-43AC-A905-2E8EF564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661"/>
    <w:pPr>
      <w:ind w:left="720"/>
      <w:contextualSpacing/>
    </w:pPr>
  </w:style>
  <w:style w:type="paragraph" w:styleId="NormalWeb">
    <w:name w:val="Normal (Web)"/>
    <w:basedOn w:val="Normal"/>
    <w:uiPriority w:val="99"/>
    <w:semiHidden/>
    <w:unhideWhenUsed/>
    <w:rsid w:val="0098311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semiHidden/>
    <w:unhideWhenUsed/>
    <w:rsid w:val="009F2E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2E32"/>
    <w:rPr>
      <w:sz w:val="20"/>
      <w:szCs w:val="20"/>
    </w:rPr>
  </w:style>
  <w:style w:type="character" w:styleId="FootnoteReference">
    <w:name w:val="footnote reference"/>
    <w:basedOn w:val="DefaultParagraphFont"/>
    <w:uiPriority w:val="99"/>
    <w:semiHidden/>
    <w:unhideWhenUsed/>
    <w:rsid w:val="009F2E32"/>
    <w:rPr>
      <w:vertAlign w:val="superscript"/>
    </w:rPr>
  </w:style>
  <w:style w:type="paragraph" w:customStyle="1" w:styleId="rfrenceinstitutionnelle">
    <w:name w:val="rfrenceinstitutionnelle"/>
    <w:basedOn w:val="Normal"/>
    <w:rsid w:val="009F2E3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rfrenceinterinstitutionnelle">
    <w:name w:val="rfrenceinterinstitutionnelle"/>
    <w:basedOn w:val="Normal"/>
    <w:rsid w:val="009F2E3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2345FF"/>
    <w:rPr>
      <w:sz w:val="16"/>
      <w:szCs w:val="16"/>
    </w:rPr>
  </w:style>
  <w:style w:type="paragraph" w:styleId="CommentText">
    <w:name w:val="annotation text"/>
    <w:basedOn w:val="Normal"/>
    <w:link w:val="CommentTextChar"/>
    <w:uiPriority w:val="99"/>
    <w:semiHidden/>
    <w:unhideWhenUsed/>
    <w:rsid w:val="002345FF"/>
    <w:pPr>
      <w:spacing w:line="240" w:lineRule="auto"/>
    </w:pPr>
    <w:rPr>
      <w:sz w:val="20"/>
      <w:szCs w:val="20"/>
    </w:rPr>
  </w:style>
  <w:style w:type="character" w:customStyle="1" w:styleId="CommentTextChar">
    <w:name w:val="Comment Text Char"/>
    <w:basedOn w:val="DefaultParagraphFont"/>
    <w:link w:val="CommentText"/>
    <w:uiPriority w:val="99"/>
    <w:semiHidden/>
    <w:rsid w:val="002345FF"/>
    <w:rPr>
      <w:sz w:val="20"/>
      <w:szCs w:val="20"/>
    </w:rPr>
  </w:style>
  <w:style w:type="paragraph" w:styleId="CommentSubject">
    <w:name w:val="annotation subject"/>
    <w:basedOn w:val="CommentText"/>
    <w:next w:val="CommentText"/>
    <w:link w:val="CommentSubjectChar"/>
    <w:uiPriority w:val="99"/>
    <w:semiHidden/>
    <w:unhideWhenUsed/>
    <w:rsid w:val="002345FF"/>
    <w:rPr>
      <w:b/>
      <w:bCs/>
    </w:rPr>
  </w:style>
  <w:style w:type="character" w:customStyle="1" w:styleId="CommentSubjectChar">
    <w:name w:val="Comment Subject Char"/>
    <w:basedOn w:val="CommentTextChar"/>
    <w:link w:val="CommentSubject"/>
    <w:uiPriority w:val="99"/>
    <w:semiHidden/>
    <w:rsid w:val="002345FF"/>
    <w:rPr>
      <w:b/>
      <w:bCs/>
      <w:sz w:val="20"/>
      <w:szCs w:val="20"/>
    </w:rPr>
  </w:style>
  <w:style w:type="paragraph" w:styleId="BalloonText">
    <w:name w:val="Balloon Text"/>
    <w:basedOn w:val="Normal"/>
    <w:link w:val="BalloonTextChar"/>
    <w:uiPriority w:val="99"/>
    <w:semiHidden/>
    <w:unhideWhenUsed/>
    <w:rsid w:val="00234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5FF"/>
    <w:rPr>
      <w:rFonts w:ascii="Segoe UI" w:hAnsi="Segoe UI" w:cs="Segoe UI"/>
      <w:sz w:val="18"/>
      <w:szCs w:val="18"/>
    </w:rPr>
  </w:style>
  <w:style w:type="table" w:styleId="TableGrid">
    <w:name w:val="Table Grid"/>
    <w:basedOn w:val="TableNormal"/>
    <w:uiPriority w:val="39"/>
    <w:rsid w:val="00CE5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5068"/>
    <w:rPr>
      <w:color w:val="0563C1" w:themeColor="hyperlink"/>
      <w:u w:val="single"/>
    </w:rPr>
  </w:style>
  <w:style w:type="character" w:styleId="UnresolvedMention">
    <w:name w:val="Unresolved Mention"/>
    <w:basedOn w:val="DefaultParagraphFont"/>
    <w:uiPriority w:val="99"/>
    <w:semiHidden/>
    <w:unhideWhenUsed/>
    <w:rsid w:val="00CE5068"/>
    <w:rPr>
      <w:color w:val="605E5C"/>
      <w:shd w:val="clear" w:color="auto" w:fill="E1DFDD"/>
    </w:rPr>
  </w:style>
  <w:style w:type="paragraph" w:styleId="Header">
    <w:name w:val="header"/>
    <w:basedOn w:val="Normal"/>
    <w:link w:val="HeaderChar"/>
    <w:uiPriority w:val="99"/>
    <w:unhideWhenUsed/>
    <w:rsid w:val="009D663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D663D"/>
  </w:style>
  <w:style w:type="paragraph" w:styleId="Footer">
    <w:name w:val="footer"/>
    <w:basedOn w:val="Normal"/>
    <w:link w:val="FooterChar"/>
    <w:uiPriority w:val="99"/>
    <w:unhideWhenUsed/>
    <w:rsid w:val="009D663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D6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76359">
      <w:bodyDiv w:val="1"/>
      <w:marLeft w:val="0"/>
      <w:marRight w:val="0"/>
      <w:marTop w:val="0"/>
      <w:marBottom w:val="0"/>
      <w:divBdr>
        <w:top w:val="none" w:sz="0" w:space="0" w:color="auto"/>
        <w:left w:val="none" w:sz="0" w:space="0" w:color="auto"/>
        <w:bottom w:val="none" w:sz="0" w:space="0" w:color="auto"/>
        <w:right w:val="none" w:sz="0" w:space="0" w:color="auto"/>
      </w:divBdr>
    </w:div>
    <w:div w:id="115561050">
      <w:bodyDiv w:val="1"/>
      <w:marLeft w:val="0"/>
      <w:marRight w:val="0"/>
      <w:marTop w:val="0"/>
      <w:marBottom w:val="0"/>
      <w:divBdr>
        <w:top w:val="none" w:sz="0" w:space="0" w:color="auto"/>
        <w:left w:val="none" w:sz="0" w:space="0" w:color="auto"/>
        <w:bottom w:val="none" w:sz="0" w:space="0" w:color="auto"/>
        <w:right w:val="none" w:sz="0" w:space="0" w:color="auto"/>
      </w:divBdr>
    </w:div>
    <w:div w:id="181625885">
      <w:bodyDiv w:val="1"/>
      <w:marLeft w:val="0"/>
      <w:marRight w:val="0"/>
      <w:marTop w:val="0"/>
      <w:marBottom w:val="0"/>
      <w:divBdr>
        <w:top w:val="none" w:sz="0" w:space="0" w:color="auto"/>
        <w:left w:val="none" w:sz="0" w:space="0" w:color="auto"/>
        <w:bottom w:val="none" w:sz="0" w:space="0" w:color="auto"/>
        <w:right w:val="none" w:sz="0" w:space="0" w:color="auto"/>
      </w:divBdr>
    </w:div>
    <w:div w:id="424153840">
      <w:bodyDiv w:val="1"/>
      <w:marLeft w:val="0"/>
      <w:marRight w:val="0"/>
      <w:marTop w:val="0"/>
      <w:marBottom w:val="0"/>
      <w:divBdr>
        <w:top w:val="none" w:sz="0" w:space="0" w:color="auto"/>
        <w:left w:val="none" w:sz="0" w:space="0" w:color="auto"/>
        <w:bottom w:val="none" w:sz="0" w:space="0" w:color="auto"/>
        <w:right w:val="none" w:sz="0" w:space="0" w:color="auto"/>
      </w:divBdr>
    </w:div>
    <w:div w:id="552429829">
      <w:bodyDiv w:val="1"/>
      <w:marLeft w:val="0"/>
      <w:marRight w:val="0"/>
      <w:marTop w:val="0"/>
      <w:marBottom w:val="0"/>
      <w:divBdr>
        <w:top w:val="none" w:sz="0" w:space="0" w:color="auto"/>
        <w:left w:val="none" w:sz="0" w:space="0" w:color="auto"/>
        <w:bottom w:val="none" w:sz="0" w:space="0" w:color="auto"/>
        <w:right w:val="none" w:sz="0" w:space="0" w:color="auto"/>
      </w:divBdr>
    </w:div>
    <w:div w:id="713652672">
      <w:bodyDiv w:val="1"/>
      <w:marLeft w:val="0"/>
      <w:marRight w:val="0"/>
      <w:marTop w:val="0"/>
      <w:marBottom w:val="0"/>
      <w:divBdr>
        <w:top w:val="none" w:sz="0" w:space="0" w:color="auto"/>
        <w:left w:val="none" w:sz="0" w:space="0" w:color="auto"/>
        <w:bottom w:val="none" w:sz="0" w:space="0" w:color="auto"/>
        <w:right w:val="none" w:sz="0" w:space="0" w:color="auto"/>
      </w:divBdr>
    </w:div>
    <w:div w:id="985935164">
      <w:bodyDiv w:val="1"/>
      <w:marLeft w:val="0"/>
      <w:marRight w:val="0"/>
      <w:marTop w:val="0"/>
      <w:marBottom w:val="0"/>
      <w:divBdr>
        <w:top w:val="none" w:sz="0" w:space="0" w:color="auto"/>
        <w:left w:val="none" w:sz="0" w:space="0" w:color="auto"/>
        <w:bottom w:val="none" w:sz="0" w:space="0" w:color="auto"/>
        <w:right w:val="none" w:sz="0" w:space="0" w:color="auto"/>
      </w:divBdr>
    </w:div>
    <w:div w:id="1006446700">
      <w:bodyDiv w:val="1"/>
      <w:marLeft w:val="0"/>
      <w:marRight w:val="0"/>
      <w:marTop w:val="0"/>
      <w:marBottom w:val="0"/>
      <w:divBdr>
        <w:top w:val="none" w:sz="0" w:space="0" w:color="auto"/>
        <w:left w:val="none" w:sz="0" w:space="0" w:color="auto"/>
        <w:bottom w:val="none" w:sz="0" w:space="0" w:color="auto"/>
        <w:right w:val="none" w:sz="0" w:space="0" w:color="auto"/>
      </w:divBdr>
    </w:div>
    <w:div w:id="1045713468">
      <w:bodyDiv w:val="1"/>
      <w:marLeft w:val="0"/>
      <w:marRight w:val="0"/>
      <w:marTop w:val="0"/>
      <w:marBottom w:val="0"/>
      <w:divBdr>
        <w:top w:val="none" w:sz="0" w:space="0" w:color="auto"/>
        <w:left w:val="none" w:sz="0" w:space="0" w:color="auto"/>
        <w:bottom w:val="none" w:sz="0" w:space="0" w:color="auto"/>
        <w:right w:val="none" w:sz="0" w:space="0" w:color="auto"/>
      </w:divBdr>
    </w:div>
    <w:div w:id="1045908707">
      <w:bodyDiv w:val="1"/>
      <w:marLeft w:val="0"/>
      <w:marRight w:val="0"/>
      <w:marTop w:val="0"/>
      <w:marBottom w:val="0"/>
      <w:divBdr>
        <w:top w:val="none" w:sz="0" w:space="0" w:color="auto"/>
        <w:left w:val="none" w:sz="0" w:space="0" w:color="auto"/>
        <w:bottom w:val="none" w:sz="0" w:space="0" w:color="auto"/>
        <w:right w:val="none" w:sz="0" w:space="0" w:color="auto"/>
      </w:divBdr>
    </w:div>
    <w:div w:id="1062828348">
      <w:bodyDiv w:val="1"/>
      <w:marLeft w:val="0"/>
      <w:marRight w:val="0"/>
      <w:marTop w:val="0"/>
      <w:marBottom w:val="0"/>
      <w:divBdr>
        <w:top w:val="none" w:sz="0" w:space="0" w:color="auto"/>
        <w:left w:val="none" w:sz="0" w:space="0" w:color="auto"/>
        <w:bottom w:val="none" w:sz="0" w:space="0" w:color="auto"/>
        <w:right w:val="none" w:sz="0" w:space="0" w:color="auto"/>
      </w:divBdr>
    </w:div>
    <w:div w:id="1176770278">
      <w:bodyDiv w:val="1"/>
      <w:marLeft w:val="0"/>
      <w:marRight w:val="0"/>
      <w:marTop w:val="0"/>
      <w:marBottom w:val="0"/>
      <w:divBdr>
        <w:top w:val="none" w:sz="0" w:space="0" w:color="auto"/>
        <w:left w:val="none" w:sz="0" w:space="0" w:color="auto"/>
        <w:bottom w:val="none" w:sz="0" w:space="0" w:color="auto"/>
        <w:right w:val="none" w:sz="0" w:space="0" w:color="auto"/>
      </w:divBdr>
    </w:div>
    <w:div w:id="1187792744">
      <w:bodyDiv w:val="1"/>
      <w:marLeft w:val="0"/>
      <w:marRight w:val="0"/>
      <w:marTop w:val="0"/>
      <w:marBottom w:val="0"/>
      <w:divBdr>
        <w:top w:val="none" w:sz="0" w:space="0" w:color="auto"/>
        <w:left w:val="none" w:sz="0" w:space="0" w:color="auto"/>
        <w:bottom w:val="none" w:sz="0" w:space="0" w:color="auto"/>
        <w:right w:val="none" w:sz="0" w:space="0" w:color="auto"/>
      </w:divBdr>
    </w:div>
    <w:div w:id="1233006015">
      <w:bodyDiv w:val="1"/>
      <w:marLeft w:val="0"/>
      <w:marRight w:val="0"/>
      <w:marTop w:val="0"/>
      <w:marBottom w:val="0"/>
      <w:divBdr>
        <w:top w:val="none" w:sz="0" w:space="0" w:color="auto"/>
        <w:left w:val="none" w:sz="0" w:space="0" w:color="auto"/>
        <w:bottom w:val="none" w:sz="0" w:space="0" w:color="auto"/>
        <w:right w:val="none" w:sz="0" w:space="0" w:color="auto"/>
      </w:divBdr>
    </w:div>
    <w:div w:id="1350444903">
      <w:bodyDiv w:val="1"/>
      <w:marLeft w:val="0"/>
      <w:marRight w:val="0"/>
      <w:marTop w:val="0"/>
      <w:marBottom w:val="0"/>
      <w:divBdr>
        <w:top w:val="none" w:sz="0" w:space="0" w:color="auto"/>
        <w:left w:val="none" w:sz="0" w:space="0" w:color="auto"/>
        <w:bottom w:val="none" w:sz="0" w:space="0" w:color="auto"/>
        <w:right w:val="none" w:sz="0" w:space="0" w:color="auto"/>
      </w:divBdr>
    </w:div>
    <w:div w:id="1440024197">
      <w:bodyDiv w:val="1"/>
      <w:marLeft w:val="0"/>
      <w:marRight w:val="0"/>
      <w:marTop w:val="0"/>
      <w:marBottom w:val="0"/>
      <w:divBdr>
        <w:top w:val="none" w:sz="0" w:space="0" w:color="auto"/>
        <w:left w:val="none" w:sz="0" w:space="0" w:color="auto"/>
        <w:bottom w:val="none" w:sz="0" w:space="0" w:color="auto"/>
        <w:right w:val="none" w:sz="0" w:space="0" w:color="auto"/>
      </w:divBdr>
    </w:div>
    <w:div w:id="1495876315">
      <w:bodyDiv w:val="1"/>
      <w:marLeft w:val="0"/>
      <w:marRight w:val="0"/>
      <w:marTop w:val="0"/>
      <w:marBottom w:val="0"/>
      <w:divBdr>
        <w:top w:val="none" w:sz="0" w:space="0" w:color="auto"/>
        <w:left w:val="none" w:sz="0" w:space="0" w:color="auto"/>
        <w:bottom w:val="none" w:sz="0" w:space="0" w:color="auto"/>
        <w:right w:val="none" w:sz="0" w:space="0" w:color="auto"/>
      </w:divBdr>
    </w:div>
    <w:div w:id="1786729733">
      <w:bodyDiv w:val="1"/>
      <w:marLeft w:val="0"/>
      <w:marRight w:val="0"/>
      <w:marTop w:val="0"/>
      <w:marBottom w:val="0"/>
      <w:divBdr>
        <w:top w:val="none" w:sz="0" w:space="0" w:color="auto"/>
        <w:left w:val="none" w:sz="0" w:space="0" w:color="auto"/>
        <w:bottom w:val="none" w:sz="0" w:space="0" w:color="auto"/>
        <w:right w:val="none" w:sz="0" w:space="0" w:color="auto"/>
      </w:divBdr>
    </w:div>
    <w:div w:id="1812209928">
      <w:bodyDiv w:val="1"/>
      <w:marLeft w:val="0"/>
      <w:marRight w:val="0"/>
      <w:marTop w:val="0"/>
      <w:marBottom w:val="0"/>
      <w:divBdr>
        <w:top w:val="none" w:sz="0" w:space="0" w:color="auto"/>
        <w:left w:val="none" w:sz="0" w:space="0" w:color="auto"/>
        <w:bottom w:val="none" w:sz="0" w:space="0" w:color="auto"/>
        <w:right w:val="none" w:sz="0" w:space="0" w:color="auto"/>
      </w:divBdr>
    </w:div>
    <w:div w:id="1812403524">
      <w:bodyDiv w:val="1"/>
      <w:marLeft w:val="0"/>
      <w:marRight w:val="0"/>
      <w:marTop w:val="0"/>
      <w:marBottom w:val="0"/>
      <w:divBdr>
        <w:top w:val="none" w:sz="0" w:space="0" w:color="auto"/>
        <w:left w:val="none" w:sz="0" w:space="0" w:color="auto"/>
        <w:bottom w:val="none" w:sz="0" w:space="0" w:color="auto"/>
        <w:right w:val="none" w:sz="0" w:space="0" w:color="auto"/>
      </w:divBdr>
    </w:div>
    <w:div w:id="2016105827">
      <w:bodyDiv w:val="1"/>
      <w:marLeft w:val="0"/>
      <w:marRight w:val="0"/>
      <w:marTop w:val="0"/>
      <w:marBottom w:val="0"/>
      <w:divBdr>
        <w:top w:val="none" w:sz="0" w:space="0" w:color="auto"/>
        <w:left w:val="none" w:sz="0" w:space="0" w:color="auto"/>
        <w:bottom w:val="none" w:sz="0" w:space="0" w:color="auto"/>
        <w:right w:val="none" w:sz="0" w:space="0" w:color="auto"/>
      </w:divBdr>
    </w:div>
    <w:div w:id="204610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8FF9C-12E1-4869-B4CA-11285B539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12467</Words>
  <Characters>7107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Kazlauskienė Aurelija</dc:creator>
  <cp:keywords/>
  <dc:description/>
  <cp:lastModifiedBy>Kazlauskienė Aurelija</cp:lastModifiedBy>
  <cp:revision>3</cp:revision>
  <dcterms:created xsi:type="dcterms:W3CDTF">2021-12-08T05:26:00Z</dcterms:created>
  <dcterms:modified xsi:type="dcterms:W3CDTF">2021-12-08T07:04:00Z</dcterms:modified>
</cp:coreProperties>
</file>