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package.relationships+xml" PartName="/customXml/_rels/item1.xml.rels"/>
  <Override ContentType="application/vnd.openxmlformats-package.relationships+xml" PartName="/customXml/_rels/item2.xml.rels"/>
  <Override ContentType="application/xml" PartName="/customXml/item1.xml"/>
  <Override ContentType="application/xml" PartName="/customXml/item2.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2.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png" PartName="/word/media/image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dresas"/>
        <w:rPr/>
      </w:pPr>
      <w:r>
        <w:rPr/>
        <w:t>Lietuvos Respublikos žemės ūkio ministerijai                        2021-08-        Nr.</w:t>
      </w:r>
    </w:p>
    <w:p>
      <w:pPr>
        <w:pStyle w:val="Normal"/>
        <w:tabs>
          <w:tab w:val="clear" w:pos="720"/>
          <w:tab w:val="left" w:pos="709" w:leader="none"/>
          <w:tab w:val="left" w:pos="993" w:leader="none"/>
          <w:tab w:val="left" w:pos="1134" w:leader="none"/>
        </w:tabs>
        <w:jc w:val="both"/>
        <w:textAlignment w:val="top"/>
        <w:rPr/>
      </w:pPr>
      <w:r>
        <w:rPr/>
        <w:t xml:space="preserve">                                                                                                 </w:t>
      </w:r>
      <w:r>
        <w:rPr/>
        <w:t xml:space="preserve">Į 2021-07-21  Nr. </w:t>
      </w:r>
      <w:bookmarkStart w:id="0" w:name="fld_table_@fieldsGroupsSeparator@4b423f1"/>
      <w:bookmarkStart w:id="1" w:name="fld_table_body_@fieldsGroupsSeparator@4b"/>
      <w:bookmarkEnd w:id="0"/>
      <w:bookmarkEnd w:id="1"/>
      <w:r>
        <w:rPr/>
        <w:t>2D-2054 (5.44 E)</w:t>
      </w:r>
    </w:p>
    <w:p>
      <w:pPr>
        <w:pStyle w:val="Normal"/>
        <w:tabs>
          <w:tab w:val="clear" w:pos="720"/>
          <w:tab w:val="left" w:pos="709" w:leader="none"/>
          <w:tab w:val="left" w:pos="993" w:leader="none"/>
          <w:tab w:val="left" w:pos="1134" w:leader="none"/>
        </w:tabs>
        <w:jc w:val="both"/>
        <w:textAlignment w:val="top"/>
        <w:rPr/>
      </w:pPr>
      <w:r>
        <w:rPr/>
      </w:r>
    </w:p>
    <w:p>
      <w:pPr>
        <w:pStyle w:val="Normal"/>
        <w:tabs>
          <w:tab w:val="clear" w:pos="720"/>
          <w:tab w:val="left" w:pos="709" w:leader="none"/>
          <w:tab w:val="left" w:pos="993" w:leader="none"/>
          <w:tab w:val="left" w:pos="1134" w:leader="none"/>
        </w:tabs>
        <w:jc w:val="both"/>
        <w:textAlignment w:val="top"/>
        <w:rPr/>
      </w:pPr>
      <w:r>
        <w:rPr/>
        <w:t xml:space="preserve"> </w:t>
      </w:r>
    </w:p>
    <w:p>
      <w:pPr>
        <w:pStyle w:val="Normal"/>
        <w:tabs>
          <w:tab w:val="clear" w:pos="720"/>
          <w:tab w:val="left" w:pos="709" w:leader="none"/>
          <w:tab w:val="left" w:pos="851" w:leader="none"/>
        </w:tabs>
        <w:suppressAutoHyphens w:val="false"/>
        <w:spacing w:lineRule="auto" w:line="216" w:beforeAutospacing="1" w:afterAutospacing="1"/>
        <w:jc w:val="both"/>
        <w:rPr>
          <w:b/>
          <w:b/>
          <w:caps/>
        </w:rPr>
      </w:pPr>
      <w:r>
        <w:rPr>
          <w:b/>
          <w:caps/>
        </w:rPr>
        <w:t xml:space="preserve">DĖL IŠVADOS Pateikimo </w:t>
      </w:r>
    </w:p>
    <w:p>
      <w:pPr>
        <w:pStyle w:val="Normal"/>
        <w:tabs>
          <w:tab w:val="clear" w:pos="720"/>
          <w:tab w:val="left" w:pos="508" w:leader="none"/>
          <w:tab w:val="left" w:pos="1073" w:leader="none"/>
          <w:tab w:val="left" w:pos="1131" w:leader="none"/>
        </w:tabs>
        <w:spacing w:lineRule="auto" w:line="276"/>
        <w:jc w:val="both"/>
        <w:rPr/>
      </w:pPr>
      <w:r>
        <w:rPr/>
        <w:t xml:space="preserve"> </w:t>
      </w:r>
      <w:r>
        <w:rPr/>
        <w:tab/>
        <w:tab/>
        <w:t xml:space="preserve">Lietuvos Respublikos teisingumo ministerija, pagal kompetenciją išnagrinėjusi </w:t>
      </w:r>
      <w:hyperlink r:id="rId2">
        <w:r>
          <w:rPr>
            <w:rStyle w:val="InternetLink"/>
          </w:rPr>
          <w:t>Lietuvos Respublikos valstybės rezervo įstatymo Nr. VIII-1908 (toliau – Įstatymas) 2, 8, 10, 17, 18</w:t>
        </w:r>
        <w:r>
          <w:rPr>
            <w:rStyle w:val="InternetLink"/>
            <w:vertAlign w:val="superscript"/>
          </w:rPr>
          <w:t>1</w:t>
        </w:r>
        <w:r>
          <w:rPr>
            <w:rStyle w:val="InternetLink"/>
          </w:rPr>
          <w:t xml:space="preserve"> straipsnių pakeitimo įstatymo projektą</w:t>
        </w:r>
      </w:hyperlink>
      <w:r>
        <w:rPr>
          <w:rStyle w:val="Cf01"/>
          <w:rFonts w:cs="Times New Roman"/>
          <w:sz w:val="24"/>
          <w:szCs w:val="24"/>
        </w:rPr>
        <w:t xml:space="preserve"> </w:t>
      </w:r>
      <w:r>
        <w:rPr>
          <w:rFonts w:eastAsia="Andale Sans UI" w:cs="Tahoma"/>
          <w:bCs/>
          <w:lang w:bidi="en-US"/>
        </w:rPr>
        <w:t>(toliau – Projektas),</w:t>
      </w:r>
      <w:r>
        <w:rPr>
          <w:rFonts w:ascii="Times New Roman;serif" w:hAnsi="Times New Roman;serif"/>
          <w:color w:val="000000"/>
        </w:rPr>
        <w:t xml:space="preserve"> </w:t>
      </w:r>
      <w:r>
        <w:rPr>
          <w:color w:val="000000"/>
        </w:rPr>
        <w:t>teikia pastabas ir pasiūlymus.</w:t>
      </w:r>
    </w:p>
    <w:p>
      <w:pPr>
        <w:pStyle w:val="Normal"/>
        <w:numPr>
          <w:ilvl w:val="0"/>
          <w:numId w:val="2"/>
        </w:numPr>
        <w:tabs>
          <w:tab w:val="clear" w:pos="720"/>
          <w:tab w:val="left" w:pos="508" w:leader="none"/>
          <w:tab w:val="left" w:pos="1073" w:leader="none"/>
          <w:tab w:val="left" w:pos="1131" w:leader="none"/>
          <w:tab w:val="left" w:pos="1304" w:leader="none"/>
        </w:tabs>
        <w:spacing w:lineRule="auto" w:line="276"/>
        <w:ind w:left="0" w:firstLine="1077"/>
        <w:jc w:val="both"/>
        <w:rPr/>
      </w:pPr>
      <w:r>
        <w:rPr>
          <w:color w:val="000000"/>
        </w:rPr>
        <w:t xml:space="preserve">Pagal </w:t>
      </w:r>
      <w:r>
        <w:rPr>
          <w:rFonts w:eastAsia="Calibri"/>
          <w:color w:val="000000"/>
        </w:rPr>
        <w:t>Projekte dėstomas Įstatymo 2 str. 10</w:t>
      </w:r>
      <w:r>
        <w:rPr>
          <w:rFonts w:eastAsia="Calibri"/>
          <w:color w:val="000000"/>
          <w:vertAlign w:val="superscript"/>
        </w:rPr>
        <w:t xml:space="preserve">1 </w:t>
      </w:r>
      <w:r>
        <w:rPr>
          <w:rFonts w:eastAsia="Calibri"/>
          <w:color w:val="000000"/>
        </w:rPr>
        <w:t>d. nuostatas „</w:t>
      </w:r>
      <w:r>
        <w:rPr>
          <w:rFonts w:eastAsia="Calibri"/>
          <w:b/>
          <w:bCs/>
          <w:color w:val="000000"/>
        </w:rPr>
        <w:t xml:space="preserve">rezervavimo sutartis </w:t>
      </w:r>
      <w:r>
        <w:rPr>
          <w:rFonts w:eastAsia="Calibri"/>
          <w:color w:val="000000"/>
        </w:rPr>
        <w:t xml:space="preserve">– Lietuvos Respublikos viešųjų pirkimų įstatymo, Lietuvos Respublikos viešųjų pirkimų, atliekamų gynybos ir saugumo srityje, įstatymo nustatyta tvarka </w:t>
      </w:r>
      <w:r>
        <w:rPr>
          <w:rFonts w:eastAsia="Calibri"/>
          <w:b/>
          <w:bCs/>
          <w:i/>
          <w:iCs/>
          <w:color w:val="000000"/>
        </w:rPr>
        <w:t>sudaroma pirkimo sutartis</w:t>
      </w:r>
      <w:r>
        <w:rPr>
          <w:rFonts w:eastAsia="Calibri"/>
          <w:color w:val="000000"/>
        </w:rPr>
        <w:t xml:space="preserve">, pagal kurią tiekėjas </w:t>
      </w:r>
      <w:r>
        <w:rPr>
          <w:rFonts w:eastAsia="Calibri"/>
          <w:b/>
          <w:bCs/>
          <w:i/>
          <w:iCs/>
          <w:color w:val="000000"/>
        </w:rPr>
        <w:t>už atlyginimą rezervuoja</w:t>
      </w:r>
      <w:r>
        <w:rPr>
          <w:rFonts w:eastAsia="Calibri"/>
          <w:color w:val="000000"/>
        </w:rPr>
        <w:t xml:space="preserve"> valstybės rezervo tvarkytojui materialinių išteklių atsargas </w:t>
      </w:r>
      <w:r>
        <w:rPr>
          <w:rFonts w:eastAsia="Calibri"/>
          <w:b/>
          <w:bCs/>
          <w:i/>
          <w:iCs/>
          <w:color w:val="000000"/>
        </w:rPr>
        <w:t>ir prireikus jas perduoda nuosavybės teise</w:t>
      </w:r>
      <w:r>
        <w:rPr>
          <w:rFonts w:eastAsia="Calibri"/>
          <w:i/>
          <w:iCs/>
          <w:color w:val="000000"/>
        </w:rPr>
        <w:t>“</w:t>
      </w:r>
      <w:r>
        <w:rPr>
          <w:rFonts w:eastAsia="Calibri"/>
          <w:color w:val="000000"/>
        </w:rPr>
        <w:t xml:space="preserve">. </w:t>
      </w:r>
    </w:p>
    <w:p>
      <w:pPr>
        <w:pStyle w:val="Normal"/>
        <w:tabs>
          <w:tab w:val="clear" w:pos="720"/>
          <w:tab w:val="left" w:pos="508" w:leader="none"/>
          <w:tab w:val="left" w:pos="1073" w:leader="none"/>
          <w:tab w:val="left" w:pos="1131" w:leader="none"/>
          <w:tab w:val="left" w:pos="1304" w:leader="none"/>
        </w:tabs>
        <w:spacing w:lineRule="auto" w:line="276"/>
        <w:jc w:val="both"/>
        <w:rPr/>
      </w:pPr>
      <w:r>
        <w:rPr>
          <w:rFonts w:eastAsia="Calibri"/>
          <w:i/>
          <w:iCs/>
          <w:color w:val="000000"/>
        </w:rPr>
        <w:tab/>
        <w:tab/>
        <w:t xml:space="preserve">Pirma, </w:t>
      </w:r>
      <w:r>
        <w:rPr>
          <w:rFonts w:eastAsia="Calibri"/>
          <w:color w:val="000000"/>
        </w:rPr>
        <w:t xml:space="preserve">siūlytina įvertinti, ar nebūtų tikslinga Projekte aptarti esminių aspektų dėl mokesčio (atlyginimo) už rezervavimą apskaičiavimo tvarkos (jo sudedamųjų dalių). Pažymėtina, kad tai Projekte nėra siūloma reglamentuoti (žr. Projekte dėstomą Įstatymo 17 str. 1 d. 7 p., kuriame būtų tik nustatoma, kad valstybės rezervo tvarkytojas pagal pirkimo dokumentus moka už pirktas valstybės rezervo materialinių išteklių atsargas </w:t>
      </w:r>
      <w:r>
        <w:rPr>
          <w:rFonts w:eastAsia="Calibri"/>
          <w:b/>
          <w:bCs/>
          <w:color w:val="000000"/>
        </w:rPr>
        <w:t>arba už jų rezervavimą)</w:t>
      </w:r>
      <w:r>
        <w:rPr>
          <w:rFonts w:eastAsia="Calibri"/>
          <w:color w:val="000000"/>
        </w:rPr>
        <w:t>.</w:t>
      </w:r>
    </w:p>
    <w:p>
      <w:pPr>
        <w:pStyle w:val="Normal"/>
        <w:tabs>
          <w:tab w:val="clear" w:pos="720"/>
          <w:tab w:val="left" w:pos="508" w:leader="none"/>
          <w:tab w:val="left" w:pos="1073" w:leader="none"/>
          <w:tab w:val="left" w:pos="1131" w:leader="none"/>
          <w:tab w:val="left" w:pos="1304" w:leader="none"/>
        </w:tabs>
        <w:spacing w:lineRule="auto" w:line="276"/>
        <w:jc w:val="both"/>
        <w:rPr/>
      </w:pPr>
      <w:r>
        <w:rPr>
          <w:rFonts w:eastAsia="Calibri"/>
          <w:i/>
          <w:iCs/>
          <w:color w:val="000000"/>
        </w:rPr>
        <w:tab/>
        <w:tab/>
        <w:t>Antra,</w:t>
      </w:r>
      <w:r>
        <w:rPr>
          <w:rFonts w:eastAsia="Calibri"/>
          <w:color w:val="000000"/>
        </w:rPr>
        <w:t xml:space="preserve"> iš minėtos</w:t>
      </w:r>
      <w:r>
        <w:rPr>
          <w:rFonts w:eastAsia="Calibri"/>
          <w:i/>
          <w:iCs/>
          <w:color w:val="000000"/>
        </w:rPr>
        <w:t xml:space="preserve"> </w:t>
      </w:r>
      <w:r>
        <w:rPr>
          <w:color w:val="000000"/>
        </w:rPr>
        <w:t xml:space="preserve">sąvokos apibrėžimo lieka neaišku, ar perdavimo valstybės nuosavybėn metu už pačias prekes būtų mokama papildoma kaina (t. y. galima suprasti ir taip, kad atlyginimas už rezervavimą jau padengtų šią kainą). </w:t>
      </w:r>
    </w:p>
    <w:p>
      <w:pPr>
        <w:pStyle w:val="Normal"/>
        <w:tabs>
          <w:tab w:val="clear" w:pos="720"/>
          <w:tab w:val="left" w:pos="508" w:leader="none"/>
          <w:tab w:val="left" w:pos="1073" w:leader="none"/>
          <w:tab w:val="left" w:pos="1131" w:leader="none"/>
          <w:tab w:val="left" w:pos="1304" w:leader="none"/>
        </w:tabs>
        <w:spacing w:lineRule="auto" w:line="276"/>
        <w:jc w:val="both"/>
        <w:rPr/>
      </w:pPr>
      <w:r>
        <w:rPr>
          <w:color w:val="000000"/>
        </w:rPr>
        <w:tab/>
        <w:tab/>
      </w:r>
      <w:r>
        <w:rPr>
          <w:i/>
          <w:iCs/>
          <w:color w:val="000000"/>
        </w:rPr>
        <w:t>Trečia</w:t>
      </w:r>
      <w:r>
        <w:rPr>
          <w:color w:val="000000"/>
        </w:rPr>
        <w:t>, d</w:t>
      </w:r>
      <w:r>
        <w:rPr>
          <w:rFonts w:eastAsia="Calibri"/>
          <w:color w:val="000000"/>
        </w:rPr>
        <w:t>ėstomoje Įstatymo 2 str. 10</w:t>
      </w:r>
      <w:r>
        <w:rPr>
          <w:rFonts w:eastAsia="Calibri"/>
          <w:color w:val="000000"/>
          <w:vertAlign w:val="superscript"/>
        </w:rPr>
        <w:t xml:space="preserve">1 </w:t>
      </w:r>
      <w:r>
        <w:rPr>
          <w:rFonts w:eastAsia="Calibri"/>
          <w:color w:val="000000"/>
        </w:rPr>
        <w:t>d. n</w:t>
      </w:r>
      <w:r>
        <w:rPr>
          <w:color w:val="000000"/>
        </w:rPr>
        <w:t xml:space="preserve">ukreipiama į </w:t>
      </w:r>
      <w:r>
        <w:rPr>
          <w:rFonts w:eastAsia="Calibri"/>
          <w:color w:val="000000"/>
        </w:rPr>
        <w:t xml:space="preserve">Lietuvos Respublikos viešųjų pirkimų įstatymo bei Lietuvos Respublikos viešųjų pirkimų, atliekamų gynybos ir saugumo srityje, įstatymo nustatyta tvarka sudaromą pirkimo sutartį, tačiau minėtuose įstatymuose nėra nuostatų dėl rezervavimo Projekte siūlomo įtvirtinti teisinio reguliavimo aspektu.  </w:t>
      </w:r>
    </w:p>
    <w:p>
      <w:pPr>
        <w:pStyle w:val="Normal"/>
        <w:tabs>
          <w:tab w:val="clear" w:pos="720"/>
          <w:tab w:val="left" w:pos="508" w:leader="none"/>
          <w:tab w:val="left" w:pos="1073" w:leader="none"/>
          <w:tab w:val="left" w:pos="1131" w:leader="none"/>
          <w:tab w:val="left" w:pos="1304" w:leader="none"/>
        </w:tabs>
        <w:spacing w:lineRule="auto" w:line="276"/>
        <w:jc w:val="both"/>
        <w:rPr/>
      </w:pPr>
      <w:r>
        <w:rPr>
          <w:rFonts w:eastAsia="Calibri"/>
          <w:iCs/>
          <w:color w:val="000000"/>
        </w:rPr>
        <w:tab/>
        <w:tab/>
      </w:r>
      <w:r>
        <w:rPr>
          <w:rFonts w:eastAsia="Calibri"/>
          <w:i/>
          <w:iCs/>
          <w:color w:val="000000"/>
        </w:rPr>
        <w:t xml:space="preserve">Ketvirta, </w:t>
      </w:r>
      <w:r>
        <w:rPr>
          <w:color w:val="000000"/>
        </w:rPr>
        <w:t xml:space="preserve">atsižvelgiant į lydimojoje medžiagoje teikiamą argumentaciją, svarstytina, ar tokia sutartis su atlyginimo už rezervavimą mokėjimu savaime užtikrins Projekto lydimuosiuose dokumentuose minimos rizikos suvaldymą – reikalingų išteklių pakankamo kiekio įsigijimą ekstremaliųjų situacijų ar krizės atveju (pažymėtina, kad pagal Įstatymo 10 str. 2 d. nuostatas materialinių išteklių atsargos nėra nuolat saugomos, o šiuo aspektu nuostatos keisti nesiūloma). Taigi, keltinas klausimas ir dėl Projektu siūlomo įtvirtinti teisinio reguliavimo efektyvumo. </w:t>
      </w:r>
    </w:p>
    <w:p>
      <w:pPr>
        <w:pStyle w:val="Normal"/>
        <w:numPr>
          <w:ilvl w:val="0"/>
          <w:numId w:val="2"/>
        </w:numPr>
        <w:tabs>
          <w:tab w:val="clear" w:pos="720"/>
          <w:tab w:val="left" w:pos="508" w:leader="none"/>
          <w:tab w:val="left" w:pos="1073" w:leader="none"/>
          <w:tab w:val="left" w:pos="1131" w:leader="none"/>
          <w:tab w:val="left" w:pos="1304" w:leader="none"/>
        </w:tabs>
        <w:spacing w:lineRule="auto" w:line="276"/>
        <w:ind w:left="0" w:firstLine="1077"/>
        <w:jc w:val="both"/>
        <w:rPr/>
      </w:pPr>
      <w:r>
        <w:rPr>
          <w:rFonts w:eastAsia="Calibri"/>
          <w:color w:val="000000"/>
        </w:rPr>
        <w:t xml:space="preserve">Projekto aiškinamajame rašte nėra pagrindimo, dėl kokių priežasčių yra siūlomas sąvokos </w:t>
      </w:r>
      <w:r>
        <w:rPr>
          <w:rFonts w:eastAsia="Calibri"/>
          <w:b/>
          <w:bCs/>
          <w:color w:val="000000"/>
        </w:rPr>
        <w:t>valstybės rezervo atsakingasis saugotojas</w:t>
      </w:r>
      <w:r>
        <w:rPr>
          <w:rFonts w:eastAsia="Calibri"/>
          <w:color w:val="000000"/>
        </w:rPr>
        <w:t xml:space="preserve"> apibrėžimo pakeitimas, vietoj žodžių „</w:t>
      </w:r>
      <w:r>
        <w:rPr/>
        <w:t>akcinė bendrovė ar uždaroji akcinė bendrovė, kuriose valstybei ar savivaldybei nuosavybės teise priklauso akcijų, suteikiančių daugiau kaip 1/2 visų balsų šių bendrovių visuotiniuose akcininkų susirinkimuose“ įrašant žodžius „</w:t>
      </w:r>
      <w:r>
        <w:rPr>
          <w:b/>
          <w:bCs/>
        </w:rPr>
        <w:t>kitas juridinis asmuo</w:t>
      </w:r>
      <w:r>
        <w:rPr/>
        <w:t>“, taip iš esmės išplečiant galimų subjektų ratą.</w:t>
      </w:r>
    </w:p>
    <w:p>
      <w:pPr>
        <w:pStyle w:val="Normal"/>
        <w:numPr>
          <w:ilvl w:val="0"/>
          <w:numId w:val="2"/>
        </w:numPr>
        <w:tabs>
          <w:tab w:val="clear" w:pos="720"/>
          <w:tab w:val="left" w:pos="508" w:leader="none"/>
          <w:tab w:val="left" w:pos="1073" w:leader="none"/>
          <w:tab w:val="left" w:pos="1131" w:leader="none"/>
          <w:tab w:val="left" w:pos="1304" w:leader="none"/>
        </w:tabs>
        <w:spacing w:lineRule="auto" w:line="276"/>
        <w:ind w:left="0" w:firstLine="1077"/>
        <w:jc w:val="both"/>
        <w:rPr/>
      </w:pPr>
      <w:r>
        <w:rPr/>
        <w:t>Atsižvelgiant į tai, kad Projekte dėstomoje Įstatymo 2 str. 10</w:t>
      </w:r>
      <w:r>
        <w:rPr>
          <w:vertAlign w:val="superscript"/>
        </w:rPr>
        <w:t>1</w:t>
      </w:r>
      <w:r>
        <w:rPr/>
        <w:t xml:space="preserve"> d. būtų nurodomi pilni įstatymų pavadinimai, siūlytina keisti ir galiojančią Įstatymo 2 str. 11 d., anksčiau minėtoje dalyje nurodomus įstatymų pavadinimus Įstatymo 2 str. 11 d. rašant jau be žodžių  „Lietuvos Respublikos“.</w:t>
      </w:r>
    </w:p>
    <w:p>
      <w:pPr>
        <w:pStyle w:val="Normal"/>
        <w:numPr>
          <w:ilvl w:val="0"/>
          <w:numId w:val="2"/>
        </w:numPr>
        <w:tabs>
          <w:tab w:val="clear" w:pos="720"/>
          <w:tab w:val="left" w:pos="508" w:leader="none"/>
          <w:tab w:val="left" w:pos="1073" w:leader="none"/>
          <w:tab w:val="left" w:pos="1131" w:leader="none"/>
          <w:tab w:val="left" w:pos="1304" w:leader="none"/>
        </w:tabs>
        <w:spacing w:lineRule="auto" w:line="276"/>
        <w:ind w:left="0" w:firstLine="1077"/>
        <w:jc w:val="both"/>
        <w:rPr/>
      </w:pPr>
      <w:r>
        <w:rPr>
          <w:rFonts w:eastAsia="Calibri"/>
          <w:color w:val="000000"/>
        </w:rPr>
        <w:t xml:space="preserve">Aiškinamajame rašte nurodoma, kad Projektui įgyvendinti įgyvendinamųjų teisės aktų priimti nereikės, tačiau, pastebėtina, kad neatmestinas poreikis, priklausomai nuo Projekto galutinės redakcijos, Vyriausybei priimti, pakeisti galiojantį įgyvendinamąjį teisės aktą, atsižvelgiant į Projekte dėstomą Įstatymo 8 str. 1 d. nuostatą, pagal kurią Vyriausybė tvirtina valstybės rezervo lėšų dydį ir sukaupimo terminus, valstybės rezervo materialinių išteklių atsargų nomenklatūrą ir jos sudarymo principus, valstybės rezervo materialinių išteklių atsargų kiekį, sukaupimo terminus ir valstybės rezervo atsakinguosius saugotojus, taip pat pagal preliminariąsias </w:t>
      </w:r>
      <w:r>
        <w:rPr>
          <w:rFonts w:eastAsia="Calibri"/>
          <w:b/>
          <w:bCs/>
          <w:color w:val="000000"/>
        </w:rPr>
        <w:t>ir (arba) rezervavimo</w:t>
      </w:r>
      <w:r>
        <w:rPr>
          <w:rFonts w:eastAsia="Calibri"/>
          <w:color w:val="000000"/>
        </w:rPr>
        <w:t xml:space="preserve"> sutartis planuojamų prireikus įsigyti materialinių išteklių nomenklatūrą ir kiekius. Tuo pačiu būtų tikslinga numatyti ir vėlesnį Projekto įsigaliojimo terminą.</w:t>
      </w:r>
    </w:p>
    <w:p>
      <w:pPr>
        <w:pStyle w:val="Normal"/>
        <w:numPr>
          <w:ilvl w:val="0"/>
          <w:numId w:val="2"/>
        </w:numPr>
        <w:tabs>
          <w:tab w:val="clear" w:pos="720"/>
          <w:tab w:val="left" w:pos="508" w:leader="none"/>
          <w:tab w:val="left" w:pos="1073" w:leader="none"/>
          <w:tab w:val="left" w:pos="1131" w:leader="none"/>
          <w:tab w:val="left" w:pos="1304" w:leader="none"/>
        </w:tabs>
        <w:spacing w:lineRule="auto" w:line="276"/>
        <w:ind w:left="0" w:firstLine="1077"/>
        <w:jc w:val="both"/>
        <w:rPr/>
      </w:pPr>
      <w:r>
        <w:rPr/>
        <w:t>Aiškinamajame rašte, atsižvelgiant į Seimo statuto 135 str. 3 d. 8 p. nuostatas, papildomai nurodytina informacija, ar Projektas neprieštarauja strateginio lygmens planavimo dokumentams.</w:t>
      </w:r>
    </w:p>
    <w:p>
      <w:pPr>
        <w:pStyle w:val="Normal"/>
        <w:tabs>
          <w:tab w:val="clear" w:pos="720"/>
          <w:tab w:val="left" w:pos="508" w:leader="none"/>
          <w:tab w:val="left" w:pos="1073" w:leader="none"/>
          <w:tab w:val="left" w:pos="1131" w:leader="none"/>
          <w:tab w:val="left" w:pos="1304" w:leader="none"/>
        </w:tabs>
        <w:jc w:val="both"/>
        <w:rPr>
          <w:sz w:val="20"/>
          <w:szCs w:val="20"/>
        </w:rPr>
      </w:pPr>
      <w:r>
        <w:rPr>
          <w:sz w:val="20"/>
          <w:szCs w:val="20"/>
        </w:rPr>
      </w:r>
    </w:p>
    <w:p>
      <w:pPr>
        <w:pStyle w:val="Normal"/>
        <w:tabs>
          <w:tab w:val="clear" w:pos="720"/>
          <w:tab w:val="left" w:pos="508" w:leader="none"/>
          <w:tab w:val="left" w:pos="1073" w:leader="none"/>
          <w:tab w:val="left" w:pos="1131" w:leader="none"/>
          <w:tab w:val="left" w:pos="1304" w:leader="none"/>
        </w:tabs>
        <w:jc w:val="both"/>
        <w:rPr>
          <w:sz w:val="20"/>
          <w:szCs w:val="20"/>
        </w:rPr>
      </w:pPr>
      <w:r>
        <w:rPr>
          <w:sz w:val="20"/>
          <w:szCs w:val="20"/>
        </w:rPr>
      </w:r>
    </w:p>
    <w:p>
      <w:pPr>
        <w:pStyle w:val="Normal"/>
        <w:tabs>
          <w:tab w:val="clear" w:pos="720"/>
          <w:tab w:val="left" w:pos="508" w:leader="none"/>
          <w:tab w:val="left" w:pos="1073" w:leader="none"/>
          <w:tab w:val="left" w:pos="1131" w:leader="none"/>
          <w:tab w:val="left" w:pos="1304" w:leader="none"/>
        </w:tabs>
        <w:jc w:val="both"/>
        <w:rPr>
          <w:sz w:val="20"/>
          <w:szCs w:val="20"/>
        </w:rPr>
      </w:pPr>
      <w:r>
        <w:rPr>
          <w:sz w:val="20"/>
          <w:szCs w:val="20"/>
        </w:rPr>
      </w:r>
    </w:p>
    <w:p>
      <w:pPr>
        <w:pStyle w:val="Normal"/>
        <w:tabs>
          <w:tab w:val="clear" w:pos="720"/>
          <w:tab w:val="right" w:pos="9638" w:leader="none"/>
        </w:tabs>
        <w:spacing w:lineRule="auto" w:line="276"/>
        <w:jc w:val="both"/>
        <w:textAlignment w:val="top"/>
        <w:rPr>
          <w:sz w:val="20"/>
          <w:szCs w:val="20"/>
        </w:rPr>
      </w:pPr>
      <w:r>
        <w:rPr>
          <w:color w:val="000000"/>
        </w:rPr>
        <w:t xml:space="preserve">Teisingumo ministrė    </w:t>
      </w:r>
      <w:r>
        <w:rPr>
          <w:bCs/>
          <w:color w:val="000000"/>
        </w:rPr>
        <w:t xml:space="preserve">                                                                                           Evelina Dobrovolska</w:t>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color w:val="000000"/>
        </w:rPr>
      </w:r>
    </w:p>
    <w:p>
      <w:pPr>
        <w:pStyle w:val="Normal"/>
        <w:tabs>
          <w:tab w:val="clear" w:pos="720"/>
          <w:tab w:val="left" w:pos="1276" w:leader="none"/>
        </w:tabs>
        <w:ind w:right="-25" w:hanging="0"/>
        <w:jc w:val="both"/>
        <w:rPr>
          <w:color w:val="000000"/>
        </w:rPr>
      </w:pPr>
      <w:r>
        <w:rPr>
          <w:sz w:val="20"/>
          <w:szCs w:val="20"/>
        </w:rPr>
        <w:t xml:space="preserve">Andrius Miliūnas, (8 5) 266 29 06, el. p. </w:t>
      </w:r>
      <w:r>
        <w:rPr>
          <w:rStyle w:val="InternetLink"/>
          <w:color w:val="000000"/>
          <w:sz w:val="20"/>
          <w:szCs w:val="20"/>
          <w:u w:val="none"/>
        </w:rPr>
        <w:t>andrius.miliunas@tm.lt</w:t>
      </w:r>
    </w:p>
    <w:p>
      <w:pPr>
        <w:pStyle w:val="Normal"/>
        <w:tabs>
          <w:tab w:val="clear" w:pos="720"/>
          <w:tab w:val="left" w:pos="709" w:leader="none"/>
          <w:tab w:val="left" w:pos="993" w:leader="none"/>
          <w:tab w:val="left" w:pos="1134" w:leader="none"/>
        </w:tabs>
        <w:textAlignment w:val="top"/>
        <w:rPr>
          <w:sz w:val="20"/>
          <w:szCs w:val="20"/>
        </w:rPr>
      </w:pPr>
      <w:r>
        <w:rPr/>
      </w:r>
    </w:p>
    <w:sectPr>
      <w:headerReference w:type="default" r:id="rId3"/>
      <w:headerReference w:type="first" r:id="rId4"/>
      <w:footerReference w:type="default" r:id="rId5"/>
      <w:footerReference w:type="first" r:id="rId6"/>
      <w:type w:val="nextPage"/>
      <w:pgSz w:w="11906" w:h="16838"/>
      <w:pgMar w:left="1701" w:right="423" w:header="567" w:top="1134" w:footer="397"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ahoma">
    <w:charset w:val="ba"/>
    <w:family w:val="roman"/>
    <w:pitch w:val="variable"/>
  </w:font>
  <w:font w:name="Calibri">
    <w:charset w:val="ba"/>
    <w:family w:val="roman"/>
    <w:pitch w:val="variable"/>
  </w:font>
  <w:font w:name="Courier New">
    <w:charset w:val="ba"/>
    <w:family w:val="roman"/>
    <w:pitch w:val="variable"/>
  </w:font>
  <w:font w:name="Segoe UI">
    <w:charset w:val="ba"/>
    <w:family w:val="roman"/>
    <w:pitch w:val="variable"/>
  </w:font>
  <w:font w:name="Liberation Sans">
    <w:altName w:val="Arial"/>
    <w:charset w:val="ba"/>
    <w:family w:val="roman"/>
    <w:pitch w:val="variable"/>
  </w:font>
  <w:font w:name="Arial">
    <w:charset w:val="ba"/>
    <w:family w:val="roman"/>
    <w:pitch w:val="variable"/>
  </w:font>
  <w:font w:name="Times New Roman">
    <w:altName w:val="serif"/>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306"/>
        <w:tab w:val="left" w:pos="3069" w:leader="none"/>
        <w:tab w:val="left" w:pos="6921" w:leader="none"/>
        <w:tab w:val="left" w:pos="7200" w:leader="none"/>
        <w:tab w:val="left" w:pos="7593" w:leader="none"/>
      </w:tabs>
      <w:jc w:val="left"/>
      <w:rPr/>
    </w:pPr>
    <w:r>
      <w:rPr/>
      <w:tab/>
      <w:tab/>
      <w:tab/>
      <w:tab/>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fldChar w:fldCharType="begin"/>
    </w:r>
    <w:r>
      <w:rPr/>
      <w:instrText> PAGE </w:instrText>
    </w:r>
    <w:r>
      <w:rPr/>
      <w:fldChar w:fldCharType="separate"/>
    </w:r>
    <w:r>
      <w:rPr/>
      <w:t>2</w:t>
    </w:r>
    <w:r>
      <w:rPr/>
      <w:fldChar w:fldCharType="end"/>
    </w:r>
  </w:p>
  <w:p>
    <w:pPr>
      <w:pStyle w:val="Antrat1"/>
      <w:spacing w:before="0" w:after="119"/>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right" w:pos="8306" w:leader="none"/>
      </w:tabs>
      <w:suppressAutoHyphens w:val="false"/>
      <w:jc w:val="center"/>
      <w:rPr>
        <w:sz w:val="20"/>
        <w:lang w:eastAsia="en-US"/>
      </w:rPr>
    </w:pPr>
    <w:r>
      <w:rPr/>
      <w:drawing>
        <wp:inline distT="0" distB="0" distL="0" distR="0">
          <wp:extent cx="587375" cy="669290"/>
          <wp:effectExtent l="0" t="0" r="0" b="0"/>
          <wp:docPr id="1" name="Paveikslėlis 32"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2" descr="C:\Users\D.Glodenis\Desktop\herbas-nedetalus.png.png"/>
                  <pic:cNvPicPr>
                    <a:picLocks noChangeAspect="1" noChangeArrowheads="1"/>
                  </pic:cNvPicPr>
                </pic:nvPicPr>
                <pic:blipFill>
                  <a:blip r:embed="rId1"/>
                  <a:stretch>
                    <a:fillRect/>
                  </a:stretch>
                </pic:blipFill>
                <pic:spPr bwMode="auto">
                  <a:xfrm>
                    <a:off x="0" y="0"/>
                    <a:ext cx="587375" cy="669290"/>
                  </a:xfrm>
                  <a:prstGeom prst="rect">
                    <a:avLst/>
                  </a:prstGeom>
                </pic:spPr>
              </pic:pic>
            </a:graphicData>
          </a:graphic>
        </wp:inline>
      </w:drawing>
    </w:r>
  </w:p>
  <w:p>
    <w:pPr>
      <w:pStyle w:val="Normal"/>
      <w:tabs>
        <w:tab w:val="clear" w:pos="720"/>
        <w:tab w:val="right" w:pos="8306" w:leader="none"/>
      </w:tabs>
      <w:suppressAutoHyphens w:val="false"/>
      <w:jc w:val="center"/>
      <w:rPr>
        <w:sz w:val="16"/>
        <w:lang w:eastAsia="en-US"/>
      </w:rPr>
    </w:pPr>
    <w:r>
      <w:rPr>
        <w:sz w:val="16"/>
        <w:lang w:eastAsia="en-US"/>
      </w:rPr>
    </w:r>
  </w:p>
  <w:p>
    <w:pPr>
      <w:pStyle w:val="Normal"/>
      <w:suppressAutoHyphens w:val="false"/>
      <w:jc w:val="center"/>
      <w:rPr>
        <w:b/>
        <w:b/>
        <w:bCs/>
        <w:sz w:val="26"/>
        <w:lang w:eastAsia="en-US"/>
      </w:rPr>
    </w:pPr>
    <w:r>
      <w:rPr>
        <w:b/>
        <w:bCs/>
        <w:sz w:val="26"/>
        <w:lang w:eastAsia="en-US"/>
      </w:rPr>
      <w:t>LIETUVOS RESPUBLIKOS TEISINGUMO MINISTERIJA</w:t>
    </w:r>
  </w:p>
  <w:p>
    <w:pPr>
      <w:pStyle w:val="Normal"/>
      <w:suppressAutoHyphens w:val="false"/>
      <w:jc w:val="center"/>
      <w:rPr>
        <w:b/>
        <w:b/>
        <w:bCs/>
        <w:sz w:val="26"/>
        <w:lang w:eastAsia="en-US"/>
      </w:rPr>
    </w:pPr>
    <w:r>
      <w:rPr>
        <w:b/>
        <w:bCs/>
        <w:sz w:val="26"/>
        <w:lang w:eastAsia="en-US"/>
      </w:rPr>
    </w:r>
  </w:p>
  <w:p>
    <w:pPr>
      <w:pStyle w:val="Normal"/>
      <w:pBdr>
        <w:bottom w:val="single" w:sz="4" w:space="1" w:color="000000"/>
      </w:pBdr>
      <w:suppressAutoHyphens w:val="false"/>
      <w:jc w:val="center"/>
      <w:rPr>
        <w:sz w:val="20"/>
        <w:lang w:eastAsia="en-US"/>
      </w:rPr>
    </w:pPr>
    <w:r>
      <w:rPr>
        <w:sz w:val="20"/>
        <w:lang w:eastAsia="en-US"/>
      </w:rPr>
      <w:t xml:space="preserve">Biudžetinė įstaiga, Gedimino pr. 30, LT-01104 Vilnius, </w:t>
    </w:r>
  </w:p>
  <w:p>
    <w:pPr>
      <w:pStyle w:val="Normal"/>
      <w:pBdr>
        <w:bottom w:val="single" w:sz="4" w:space="1" w:color="000000"/>
      </w:pBdr>
      <w:suppressAutoHyphens w:val="false"/>
      <w:jc w:val="center"/>
      <w:rPr>
        <w:sz w:val="20"/>
        <w:lang w:eastAsia="en-US"/>
      </w:rPr>
    </w:pPr>
    <w:r>
      <w:rPr>
        <w:sz w:val="20"/>
        <w:lang w:eastAsia="en-US"/>
      </w:rPr>
      <w:t>tel. (8 5) 266 2984, faks. (8 5) 262 5940, el. p. rastine@tm.lt,</w:t>
    </w:r>
  </w:p>
  <w:p>
    <w:pPr>
      <w:pStyle w:val="Normal"/>
      <w:pBdr>
        <w:bottom w:val="single" w:sz="4" w:space="1" w:color="000000"/>
      </w:pBdr>
      <w:suppressAutoHyphens w:val="false"/>
      <w:jc w:val="center"/>
      <w:rPr>
        <w:sz w:val="20"/>
        <w:lang w:eastAsia="en-US"/>
      </w:rPr>
    </w:pPr>
    <w:r>
      <w:rPr>
        <w:sz w:val="20"/>
        <w:lang w:eastAsia="en-US"/>
      </w:rPr>
      <w:t>Duomenys kaupiami ir saugomi Juridinių asmenų registre, kodas 188604955</w:t>
    </w:r>
  </w:p>
  <w:p>
    <w:pPr>
      <w:pStyle w:val="Normal"/>
      <w:tabs>
        <w:tab w:val="clear" w:pos="720"/>
        <w:tab w:val="right" w:pos="8306" w:leader="none"/>
      </w:tabs>
      <w:suppressAutoHyphens w:val="false"/>
      <w:jc w:val="center"/>
      <w:rPr>
        <w:sz w:val="20"/>
        <w:lang w:eastAsia="en-US"/>
      </w:rPr>
    </w:pPr>
    <w:r>
      <w:rPr>
        <w:sz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1793"/>
        </w:tabs>
        <w:ind w:left="1793" w:hanging="360"/>
      </w:pPr>
    </w:lvl>
    <w:lvl w:ilvl="1">
      <w:start w:val="1"/>
      <w:numFmt w:val="decimal"/>
      <w:lvlText w:val="%2."/>
      <w:lvlJc w:val="left"/>
      <w:pPr>
        <w:tabs>
          <w:tab w:val="num" w:pos="2153"/>
        </w:tabs>
        <w:ind w:left="2153" w:hanging="360"/>
      </w:pPr>
    </w:lvl>
    <w:lvl w:ilvl="2">
      <w:start w:val="1"/>
      <w:numFmt w:val="decimal"/>
      <w:lvlText w:val="%3."/>
      <w:lvlJc w:val="left"/>
      <w:pPr>
        <w:tabs>
          <w:tab w:val="num" w:pos="2513"/>
        </w:tabs>
        <w:ind w:left="2513" w:hanging="360"/>
      </w:pPr>
    </w:lvl>
    <w:lvl w:ilvl="3">
      <w:start w:val="1"/>
      <w:numFmt w:val="decimal"/>
      <w:lvlText w:val="%4."/>
      <w:lvlJc w:val="left"/>
      <w:pPr>
        <w:tabs>
          <w:tab w:val="num" w:pos="2873"/>
        </w:tabs>
        <w:ind w:left="2873" w:hanging="360"/>
      </w:pPr>
    </w:lvl>
    <w:lvl w:ilvl="4">
      <w:start w:val="1"/>
      <w:numFmt w:val="decimal"/>
      <w:lvlText w:val="%5."/>
      <w:lvlJc w:val="left"/>
      <w:pPr>
        <w:tabs>
          <w:tab w:val="num" w:pos="3233"/>
        </w:tabs>
        <w:ind w:left="3233" w:hanging="360"/>
      </w:pPr>
    </w:lvl>
    <w:lvl w:ilvl="5">
      <w:start w:val="1"/>
      <w:numFmt w:val="decimal"/>
      <w:lvlText w:val="%6."/>
      <w:lvlJc w:val="left"/>
      <w:pPr>
        <w:tabs>
          <w:tab w:val="num" w:pos="3593"/>
        </w:tabs>
        <w:ind w:left="3593" w:hanging="360"/>
      </w:pPr>
    </w:lvl>
    <w:lvl w:ilvl="6">
      <w:start w:val="1"/>
      <w:numFmt w:val="decimal"/>
      <w:lvlText w:val="%7."/>
      <w:lvlJc w:val="left"/>
      <w:pPr>
        <w:tabs>
          <w:tab w:val="num" w:pos="3953"/>
        </w:tabs>
        <w:ind w:left="3953" w:hanging="360"/>
      </w:pPr>
    </w:lvl>
    <w:lvl w:ilvl="7">
      <w:start w:val="1"/>
      <w:numFmt w:val="decimal"/>
      <w:lvlText w:val="%8."/>
      <w:lvlJc w:val="left"/>
      <w:pPr>
        <w:tabs>
          <w:tab w:val="num" w:pos="4313"/>
        </w:tabs>
        <w:ind w:left="4313" w:hanging="360"/>
      </w:pPr>
    </w:lvl>
    <w:lvl w:ilvl="8">
      <w:start w:val="1"/>
      <w:numFmt w:val="decimal"/>
      <w:lvlText w:val="%9."/>
      <w:lvlJc w:val="left"/>
      <w:pPr>
        <w:tabs>
          <w:tab w:val="num" w:pos="4673"/>
        </w:tabs>
        <w:ind w:left="4673" w:hanging="360"/>
      </w:pPr>
    </w:lvl>
  </w:abstractNum>
  <w:num w:numId="1">
    <w:abstractNumId w:val="1"/>
  </w:num>
  <w:num w:numId="2">
    <w:abstractNumId w:val="2"/>
  </w:num>
</w:numbering>
</file>

<file path=word/settings.xml><?xml version="1.0" encoding="utf-8"?>
<w:settings xmlns:w="http://schemas.openxmlformats.org/wordprocessingml/2006/main">
  <w:zoom w:percent="212"/>
  <w:defaultTabStop w:val="72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396"/>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lt-LT"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Document Map" w:semiHidden="1" w:unhideWhenUsed="1"/>
    <w:lsdException w:name="Plain Text" w:uiPriority="99" w:unhideWhenUsed="1" w:qFormat="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SimSun" w:cs="Times New Roman"/>
      <w:color w:val="auto"/>
      <w:kern w:val="0"/>
      <w:sz w:val="24"/>
      <w:szCs w:val="24"/>
      <w:lang w:val="lt-LT" w:eastAsia="ar-SA" w:bidi="ar-SA"/>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semiHidden/>
    <w:unhideWhenUsed/>
    <w:qFormat/>
    <w:rPr>
      <w:sz w:val="16"/>
      <w:szCs w:val="16"/>
    </w:rPr>
  </w:style>
  <w:style w:type="character" w:styleId="VisitedInternetLink">
    <w:name w:val="FollowedHyperlink"/>
    <w:basedOn w:val="DefaultParagraphFont"/>
    <w:semiHidden/>
    <w:unhideWhenUsed/>
    <w:rPr>
      <w:color w:val="800080" w:themeColor="followedHyperlink"/>
      <w:u w:val="single"/>
    </w:rPr>
  </w:style>
  <w:style w:type="character" w:styleId="InternetLink">
    <w:name w:val="Hyperlink"/>
    <w:basedOn w:val="Numatytasispastraiposriftas1"/>
    <w:qFormat/>
    <w:rPr>
      <w:color w:val="0000FF"/>
      <w:u w:val="single"/>
    </w:rPr>
  </w:style>
  <w:style w:type="character" w:styleId="Numatytasispastraiposriftas1" w:customStyle="1">
    <w:name w:val="Numatytasis pastraipos šriftas1"/>
    <w:qFormat/>
    <w:rPr/>
  </w:style>
  <w:style w:type="character" w:styleId="Pagenumber">
    <w:name w:val="page number"/>
    <w:basedOn w:val="Numatytasispastraiposriftas1"/>
    <w:qFormat/>
    <w:rPr/>
  </w:style>
  <w:style w:type="character" w:styleId="Strong">
    <w:name w:val="Strong"/>
    <w:uiPriority w:val="22"/>
    <w:qFormat/>
    <w:rPr>
      <w:b/>
      <w:bCs/>
    </w:rPr>
  </w:style>
  <w:style w:type="character" w:styleId="Numeravimosimboliai" w:customStyle="1">
    <w:name w:val="Numeravimo simboliai"/>
    <w:qFormat/>
    <w:rPr/>
  </w:style>
  <w:style w:type="character" w:styleId="PoratDiagrama" w:customStyle="1">
    <w:name w:val="Poraštė Diagrama"/>
    <w:basedOn w:val="DefaultParagraphFont"/>
    <w:uiPriority w:val="99"/>
    <w:qFormat/>
    <w:rPr>
      <w:sz w:val="16"/>
      <w:szCs w:val="24"/>
      <w:lang w:eastAsia="ar-SA"/>
    </w:rPr>
  </w:style>
  <w:style w:type="character" w:styleId="DebesliotekstasDiagrama" w:customStyle="1">
    <w:name w:val="Debesėlio tekstas Diagrama"/>
    <w:basedOn w:val="DefaultParagraphFont"/>
    <w:qFormat/>
    <w:rPr>
      <w:rFonts w:ascii="Tahoma" w:hAnsi="Tahoma" w:cs="Tahoma"/>
      <w:sz w:val="16"/>
      <w:szCs w:val="16"/>
      <w:lang w:eastAsia="ar-SA"/>
    </w:rPr>
  </w:style>
  <w:style w:type="character" w:styleId="AntratsDiagrama" w:customStyle="1">
    <w:name w:val="Antraštės Diagrama"/>
    <w:basedOn w:val="DefaultParagraphFont"/>
    <w:uiPriority w:val="99"/>
    <w:qFormat/>
    <w:rPr>
      <w:sz w:val="24"/>
      <w:szCs w:val="24"/>
      <w:lang w:eastAsia="ar-SA"/>
    </w:rPr>
  </w:style>
  <w:style w:type="character" w:styleId="Clear" w:customStyle="1">
    <w:name w:val="clear"/>
    <w:basedOn w:val="DefaultParagraphFont"/>
    <w:qFormat/>
    <w:rPr/>
  </w:style>
  <w:style w:type="character" w:styleId="Bold" w:customStyle="1">
    <w:name w:val="bold"/>
    <w:basedOn w:val="DefaultParagraphFont"/>
    <w:qFormat/>
    <w:rPr/>
  </w:style>
  <w:style w:type="character" w:styleId="Clear1" w:customStyle="1">
    <w:name w:val="clear1"/>
    <w:basedOn w:val="DefaultParagraphFont"/>
    <w:qFormat/>
    <w:rPr/>
  </w:style>
  <w:style w:type="character" w:styleId="Bold1" w:customStyle="1">
    <w:name w:val="bold1"/>
    <w:basedOn w:val="DefaultParagraphFont"/>
    <w:qFormat/>
    <w:rPr>
      <w:b/>
      <w:bCs/>
    </w:rPr>
  </w:style>
  <w:style w:type="character" w:styleId="Dnr" w:customStyle="1">
    <w:name w:val="dnr"/>
    <w:basedOn w:val="DefaultParagraphFont"/>
    <w:qFormat/>
    <w:rPr/>
  </w:style>
  <w:style w:type="character" w:styleId="PaprastasistekstasDiagrama" w:customStyle="1">
    <w:name w:val="Paprastasis tekstas Diagrama"/>
    <w:basedOn w:val="DefaultParagraphFont"/>
    <w:uiPriority w:val="99"/>
    <w:qFormat/>
    <w:rPr>
      <w:rFonts w:ascii="Calibri" w:hAnsi="Calibri" w:eastAsia="Calibri" w:cs="" w:cstheme="minorBidi" w:eastAsiaTheme="minorHAnsi"/>
      <w:sz w:val="22"/>
      <w:szCs w:val="21"/>
      <w:lang w:eastAsia="en-US"/>
    </w:rPr>
  </w:style>
  <w:style w:type="character" w:styleId="Dpav" w:customStyle="1">
    <w:name w:val="dpav"/>
    <w:basedOn w:val="DefaultParagraphFont"/>
    <w:qFormat/>
    <w:rPr>
      <w:sz w:val="26"/>
      <w:szCs w:val="26"/>
    </w:rPr>
  </w:style>
  <w:style w:type="character" w:styleId="Bodytext2" w:customStyle="1">
    <w:name w:val="Body text (2)_"/>
    <w:basedOn w:val="DefaultParagraphFont"/>
    <w:qFormat/>
    <w:rPr>
      <w:shd w:fill="FFFFFF" w:val="clear"/>
    </w:rPr>
  </w:style>
  <w:style w:type="character" w:styleId="Bkghighlightred1" w:customStyle="1">
    <w:name w:val="bkg-highlight-red1"/>
    <w:basedOn w:val="DefaultParagraphFont"/>
    <w:qFormat/>
    <w:rPr>
      <w:shd w:fill="FBCCA2" w:val="clear"/>
    </w:rPr>
  </w:style>
  <w:style w:type="character" w:styleId="Namewithinfo2" w:customStyle="1">
    <w:name w:val="namewithinfo2"/>
    <w:basedOn w:val="DefaultParagraphFont"/>
    <w:qFormat/>
    <w:rPr/>
  </w:style>
  <w:style w:type="character" w:styleId="KomentarotekstasDiagrama" w:customStyle="1">
    <w:name w:val="Komentaro tekstas Diagrama"/>
    <w:basedOn w:val="DefaultParagraphFont"/>
    <w:semiHidden/>
    <w:qFormat/>
    <w:rPr>
      <w:lang w:eastAsia="ar-SA"/>
    </w:rPr>
  </w:style>
  <w:style w:type="character" w:styleId="KomentarotemaDiagrama" w:customStyle="1">
    <w:name w:val="Komentaro tema Diagrama"/>
    <w:basedOn w:val="KomentarotekstasDiagrama"/>
    <w:semiHidden/>
    <w:qFormat/>
    <w:rPr>
      <w:b/>
      <w:bCs/>
      <w:lang w:eastAsia="ar-SA"/>
    </w:rPr>
  </w:style>
  <w:style w:type="character" w:styleId="SraopastraipaDiagrama" w:customStyle="1">
    <w:name w:val="Sąrašo pastraipa Diagrama"/>
    <w:basedOn w:val="DefaultParagraphFont"/>
    <w:uiPriority w:val="34"/>
    <w:qFormat/>
    <w:rPr>
      <w:sz w:val="24"/>
      <w:szCs w:val="24"/>
      <w:lang w:eastAsia="ar-SA"/>
    </w:rPr>
  </w:style>
  <w:style w:type="character" w:styleId="Ddat" w:customStyle="1">
    <w:name w:val="ddat"/>
    <w:basedOn w:val="DefaultParagraphFont"/>
    <w:qFormat/>
    <w:rPr/>
  </w:style>
  <w:style w:type="character" w:styleId="PuslapioinaostekstasDiagrama" w:customStyle="1">
    <w:name w:val="Puslapio išnašos tekstas Diagrama"/>
    <w:basedOn w:val="DefaultParagraphFont"/>
    <w:semiHidden/>
    <w:qFormat/>
    <w:rPr>
      <w:lang w:eastAsia="ar-SA"/>
    </w:rPr>
  </w:style>
  <w:style w:type="character" w:styleId="FootnoteCharacters" w:customStyle="1">
    <w:name w:val="Footnote Characters"/>
    <w:uiPriority w:val="99"/>
    <w:semiHidden/>
    <w:qFormat/>
    <w:rPr>
      <w:rFonts w:cs="Times New Roman"/>
      <w:vertAlign w:val="superscript"/>
    </w:rPr>
  </w:style>
  <w:style w:type="character" w:styleId="FootnoteAnchor" w:customStyle="1">
    <w:name w:val="Footnote Anchor"/>
    <w:qFormat/>
    <w:rPr>
      <w:rFonts w:cs="Times New Roman"/>
      <w:vertAlign w:val="superscript"/>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Typewriter" w:customStyle="1">
    <w:name w:val="Typewriter"/>
    <w:qFormat/>
    <w:rPr>
      <w:rFonts w:ascii="Courier New" w:hAnsi="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NumberingSymbols" w:customStyle="1">
    <w:name w:val="Numbering Symbols"/>
    <w:qFormat/>
    <w:rPr/>
  </w:style>
  <w:style w:type="character" w:styleId="Normalh" w:customStyle="1">
    <w:name w:val="normal-h"/>
    <w:basedOn w:val="DefaultParagraphFont"/>
    <w:qFormat/>
    <w:rPr/>
  </w:style>
  <w:style w:type="character" w:styleId="Cf01" w:customStyle="1">
    <w:name w:val="cf01"/>
    <w:basedOn w:val="DefaultParagraphFont"/>
    <w:qFormat/>
    <w:rPr>
      <w:rFonts w:ascii="Segoe UI" w:hAnsi="Segoe UI" w:cs="Segoe UI"/>
      <w:sz w:val="18"/>
      <w:szCs w:val="18"/>
    </w:rPr>
  </w:style>
  <w:style w:type="paragraph" w:styleId="Heading" w:customStyle="1">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qFormat/>
    <w:pPr>
      <w:spacing w:before="0" w:after="120"/>
    </w:pPr>
    <w:rPr/>
  </w:style>
  <w:style w:type="paragraph" w:styleId="List">
    <w:name w:val="List"/>
    <w:basedOn w:val="Tekstas"/>
    <w:qFormat/>
    <w:pPr/>
    <w:rPr>
      <w:rFonts w:cs="Tahoma"/>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next w:val="Normal"/>
    <w:qFormat/>
    <w:pPr>
      <w:suppressLineNumbers/>
      <w:spacing w:before="120" w:after="120"/>
    </w:pPr>
    <w:rPr>
      <w:rFonts w:cs="Mangal"/>
      <w:i/>
      <w:iCs/>
    </w:rPr>
  </w:style>
  <w:style w:type="paragraph" w:styleId="BalloonText">
    <w:name w:val="Balloon Text"/>
    <w:basedOn w:val="Normal"/>
    <w:qFormat/>
    <w:pPr/>
    <w:rPr>
      <w:rFonts w:ascii="Tahoma" w:hAnsi="Tahoma" w:cs="Tahoma"/>
      <w:sz w:val="16"/>
      <w:szCs w:val="16"/>
    </w:rPr>
  </w:style>
  <w:style w:type="paragraph" w:styleId="Annotationtext">
    <w:name w:val="annotation text"/>
    <w:basedOn w:val="Normal"/>
    <w:semiHidden/>
    <w:unhideWhenUsed/>
    <w:qFormat/>
    <w:pPr/>
    <w:rPr>
      <w:sz w:val="20"/>
      <w:szCs w:val="20"/>
    </w:rPr>
  </w:style>
  <w:style w:type="paragraph" w:styleId="Annotationsubject">
    <w:name w:val="annotation subject"/>
    <w:basedOn w:val="Annotationtext"/>
    <w:next w:val="Annotationtext"/>
    <w:semiHidden/>
    <w:unhideWhenUsed/>
    <w:qFormat/>
    <w:pPr/>
    <w:rPr>
      <w:b/>
      <w:bCs/>
    </w:rPr>
  </w:style>
  <w:style w:type="paragraph" w:styleId="HeaderandFooter" w:customStyle="1">
    <w:name w:val="Header and Footer"/>
    <w:basedOn w:val="Normal"/>
    <w:qFormat/>
    <w:pPr/>
    <w:rPr/>
  </w:style>
  <w:style w:type="paragraph" w:styleId="Footer">
    <w:name w:val="Footer"/>
    <w:basedOn w:val="Normal"/>
    <w:uiPriority w:val="99"/>
    <w:qFormat/>
    <w:pPr>
      <w:tabs>
        <w:tab w:val="clear" w:pos="720"/>
        <w:tab w:val="right" w:pos="8306" w:leader="none"/>
      </w:tabs>
      <w:jc w:val="right"/>
    </w:pPr>
    <w:rPr>
      <w:sz w:val="16"/>
    </w:rPr>
  </w:style>
  <w:style w:type="paragraph" w:styleId="Footnote">
    <w:name w:val="Footnote Text"/>
    <w:basedOn w:val="Normal"/>
    <w:semiHidden/>
    <w:unhideWhenUsed/>
    <w:qFormat/>
    <w:pPr/>
    <w:rPr>
      <w:sz w:val="20"/>
      <w:szCs w:val="20"/>
    </w:rPr>
  </w:style>
  <w:style w:type="paragraph" w:styleId="Header">
    <w:name w:val="Header"/>
    <w:basedOn w:val="Normal"/>
    <w:uiPriority w:val="99"/>
    <w:qFormat/>
    <w:pPr>
      <w:suppressLineNumbers/>
      <w:tabs>
        <w:tab w:val="clear" w:pos="720"/>
        <w:tab w:val="right" w:pos="-1135" w:leader="none"/>
        <w:tab w:val="center" w:pos="-568" w:leader="none"/>
      </w:tabs>
    </w:pPr>
    <w:rPr/>
  </w:style>
  <w:style w:type="paragraph" w:styleId="Tekstas" w:customStyle="1">
    <w:name w:val="Tekstas"/>
    <w:basedOn w:val="Normal"/>
    <w:qFormat/>
    <w:pPr>
      <w:spacing w:before="40" w:after="40"/>
      <w:ind w:right="40" w:firstLine="1247"/>
      <w:jc w:val="both"/>
    </w:pPr>
    <w:rPr/>
  </w:style>
  <w:style w:type="paragraph" w:styleId="PlainText">
    <w:name w:val="Plain Text"/>
    <w:basedOn w:val="Normal"/>
    <w:uiPriority w:val="99"/>
    <w:unhideWhenUsed/>
    <w:qFormat/>
    <w:pPr>
      <w:suppressAutoHyphens w:val="false"/>
    </w:pPr>
    <w:rPr>
      <w:rFonts w:ascii="Calibri" w:hAnsi="Calibri" w:eastAsia="Calibri" w:cs="" w:cstheme="minorBidi" w:eastAsiaTheme="minorHAnsi"/>
      <w:sz w:val="22"/>
      <w:szCs w:val="21"/>
      <w:lang w:eastAsia="en-US"/>
    </w:rPr>
  </w:style>
  <w:style w:type="paragraph" w:styleId="Subtitle">
    <w:name w:val="Subtitle"/>
    <w:basedOn w:val="Antrat1"/>
    <w:next w:val="TextBody"/>
    <w:qFormat/>
    <w:pPr/>
    <w:rPr>
      <w:i/>
      <w:iCs/>
      <w:sz w:val="28"/>
    </w:rPr>
  </w:style>
  <w:style w:type="paragraph" w:styleId="Antrat1" w:customStyle="1">
    <w:name w:val="Antraštė1"/>
    <w:basedOn w:val="Normal"/>
    <w:next w:val="TextBody"/>
    <w:qFormat/>
    <w:pPr>
      <w:keepNext w:val="true"/>
      <w:spacing w:before="0" w:after="119"/>
      <w:jc w:val="center"/>
    </w:pPr>
    <w:rPr>
      <w:rFonts w:eastAsia="MS Mincho" w:cs="Tahoma"/>
      <w:szCs w:val="28"/>
    </w:rPr>
  </w:style>
  <w:style w:type="paragraph" w:styleId="Title">
    <w:name w:val="Title"/>
    <w:basedOn w:val="Antrat1"/>
    <w:next w:val="Subtitle"/>
    <w:qFormat/>
    <w:pPr/>
    <w:rPr/>
  </w:style>
  <w:style w:type="paragraph" w:styleId="Bodytext21" w:customStyle="1">
    <w:name w:val="Body text (2)"/>
    <w:basedOn w:val="Normal"/>
    <w:qFormat/>
    <w:pPr>
      <w:shd w:val="clear" w:color="auto" w:fill="FFFFFF"/>
      <w:suppressAutoHyphens w:val="false"/>
      <w:spacing w:lineRule="atLeast" w:line="274"/>
      <w:jc w:val="both"/>
    </w:pPr>
    <w:rPr>
      <w:sz w:val="20"/>
      <w:szCs w:val="20"/>
      <w:lang w:eastAsia="lt-LT"/>
    </w:rPr>
  </w:style>
  <w:style w:type="paragraph" w:styleId="ListParagraph">
    <w:name w:val="List Paragraph"/>
    <w:basedOn w:val="Normal"/>
    <w:uiPriority w:val="34"/>
    <w:qFormat/>
    <w:pPr>
      <w:spacing w:before="0" w:after="0"/>
      <w:ind w:left="720" w:hanging="0"/>
      <w:contextualSpacing/>
    </w:pPr>
    <w:rPr/>
  </w:style>
  <w:style w:type="paragraph" w:styleId="Pavadinimas2" w:customStyle="1">
    <w:name w:val="Pavadinimas2"/>
    <w:basedOn w:val="Normal"/>
    <w:qFormat/>
    <w:pPr>
      <w:suppressLineNumbers/>
      <w:spacing w:before="120" w:after="120"/>
    </w:pPr>
    <w:rPr>
      <w:rFonts w:cs="Tahoma"/>
      <w:i/>
      <w:iCs/>
    </w:rPr>
  </w:style>
  <w:style w:type="paragraph" w:styleId="Lentelsturinys" w:customStyle="1">
    <w:name w:val="Lentelės turinys"/>
    <w:basedOn w:val="Normal"/>
    <w:qFormat/>
    <w:pPr>
      <w:suppressLineNumbers/>
    </w:pPr>
    <w:rPr/>
  </w:style>
  <w:style w:type="paragraph" w:styleId="Lentelsantrat" w:customStyle="1">
    <w:name w:val="Lentelės antraštė"/>
    <w:basedOn w:val="Lentelsturinys"/>
    <w:qFormat/>
    <w:pPr>
      <w:jc w:val="center"/>
    </w:pPr>
    <w:rPr>
      <w:b/>
      <w:bCs/>
      <w:i/>
      <w:iCs/>
    </w:rPr>
  </w:style>
  <w:style w:type="paragraph" w:styleId="Kadroturinys" w:customStyle="1">
    <w:name w:val="Kadro turinys"/>
    <w:basedOn w:val="Tekstas"/>
    <w:qFormat/>
    <w:pPr/>
    <w:rPr/>
  </w:style>
  <w:style w:type="paragraph" w:styleId="Rodykl" w:customStyle="1">
    <w:name w:val="Rodyklė"/>
    <w:basedOn w:val="Normal"/>
    <w:qFormat/>
    <w:pPr>
      <w:suppressLineNumbers/>
    </w:pPr>
    <w:rPr>
      <w:rFonts w:cs="Tahoma"/>
    </w:rPr>
  </w:style>
  <w:style w:type="paragraph" w:styleId="Pavadinimas1" w:customStyle="1">
    <w:name w:val="Pavadinimas1"/>
    <w:basedOn w:val="Normal"/>
    <w:qFormat/>
    <w:pPr>
      <w:spacing w:before="40" w:after="40"/>
      <w:ind w:right="1959" w:hanging="0"/>
    </w:pPr>
    <w:rPr>
      <w:caps/>
    </w:rPr>
  </w:style>
  <w:style w:type="paragraph" w:styleId="Adresas" w:customStyle="1">
    <w:name w:val="Adresas"/>
    <w:basedOn w:val="Normal"/>
    <w:qFormat/>
    <w:pPr>
      <w:ind w:right="318" w:hanging="0"/>
    </w:pPr>
    <w:rPr/>
  </w:style>
  <w:style w:type="paragraph" w:styleId="Kopija" w:customStyle="1">
    <w:name w:val="Kopija"/>
    <w:basedOn w:val="Adresas"/>
    <w:qFormat/>
    <w:pPr>
      <w:ind w:right="3999" w:hanging="0"/>
    </w:pPr>
    <w:rPr/>
  </w:style>
  <w:style w:type="paragraph" w:styleId="Institucija" w:customStyle="1">
    <w:name w:val="Institucija"/>
    <w:basedOn w:val="Antrat1"/>
    <w:qFormat/>
    <w:pPr/>
    <w:rPr>
      <w:b/>
      <w:bCs/>
      <w:sz w:val="26"/>
    </w:rPr>
  </w:style>
  <w:style w:type="paragraph" w:styleId="Tekstasnumeruotas" w:customStyle="1">
    <w:name w:val="Tekstas:numeruotas"/>
    <w:basedOn w:val="Tekstas"/>
    <w:qFormat/>
    <w:pPr>
      <w:ind w:right="0" w:firstLine="1247"/>
    </w:pPr>
    <w:rPr/>
  </w:style>
  <w:style w:type="paragraph" w:styleId="RATOPAVADINIMAS" w:customStyle="1">
    <w:name w:val="RAŠTO PAVADINIMAS"/>
    <w:basedOn w:val="Pavadinimas1"/>
    <w:qFormat/>
    <w:pPr/>
    <w:rPr>
      <w:b/>
      <w:bCs/>
    </w:rPr>
  </w:style>
  <w:style w:type="paragraph" w:styleId="Tip" w:customStyle="1">
    <w:name w:val="tip"/>
    <w:basedOn w:val="Normal"/>
    <w:qFormat/>
    <w:pPr>
      <w:suppressAutoHyphens w:val="false"/>
      <w:spacing w:beforeAutospacing="1" w:afterAutospacing="1"/>
    </w:pPr>
    <w:rPr>
      <w:lang w:eastAsia="lt-LT"/>
    </w:rPr>
  </w:style>
  <w:style w:type="paragraph" w:styleId="Tajtipfb" w:customStyle="1">
    <w:name w:val="tajtipfb"/>
    <w:basedOn w:val="Normal"/>
    <w:qFormat/>
    <w:pPr>
      <w:suppressAutoHyphens w:val="false"/>
      <w:spacing w:beforeAutospacing="1" w:afterAutospacing="1"/>
    </w:pPr>
    <w:rPr>
      <w:lang w:eastAsia="lt-LT"/>
    </w:rPr>
  </w:style>
  <w:style w:type="paragraph" w:styleId="Tajtip" w:customStyle="1">
    <w:name w:val="tajtip"/>
    <w:basedOn w:val="Normal"/>
    <w:qFormat/>
    <w:pPr>
      <w:suppressAutoHyphens w:val="false"/>
      <w:spacing w:beforeAutospacing="1" w:afterAutospacing="1"/>
    </w:pPr>
    <w:rPr>
      <w:lang w:eastAsia="lt-LT"/>
    </w:rPr>
  </w:style>
  <w:style w:type="paragraph" w:styleId="Tartip" w:customStyle="1">
    <w:name w:val="tartip"/>
    <w:basedOn w:val="Normal"/>
    <w:qFormat/>
    <w:pPr>
      <w:suppressAutoHyphens w:val="false"/>
      <w:spacing w:beforeAutospacing="1" w:afterAutospacing="1"/>
    </w:pPr>
    <w:rPr>
      <w:lang w:eastAsia="lt-LT"/>
    </w:rPr>
  </w:style>
  <w:style w:type="paragraph" w:styleId="Tartin" w:customStyle="1">
    <w:name w:val="tartin"/>
    <w:basedOn w:val="Normal"/>
    <w:qFormat/>
    <w:pPr>
      <w:suppressAutoHyphens w:val="false"/>
      <w:spacing w:beforeAutospacing="1" w:afterAutospacing="1"/>
    </w:pPr>
    <w:rPr>
      <w:lang w:eastAsia="lt-LT"/>
    </w:rPr>
  </w:style>
  <w:style w:type="paragraph" w:styleId="Tactin" w:customStyle="1">
    <w:name w:val="tactin"/>
    <w:basedOn w:val="Normal"/>
    <w:qFormat/>
    <w:pPr>
      <w:suppressAutoHyphens w:val="false"/>
      <w:spacing w:beforeAutospacing="1" w:afterAutospacing="1"/>
    </w:pPr>
    <w:rPr>
      <w:lang w:eastAsia="lt-LT"/>
    </w:rPr>
  </w:style>
  <w:style w:type="paragraph" w:styleId="Taltipfb" w:customStyle="1">
    <w:name w:val="taltipfb"/>
    <w:basedOn w:val="Normal"/>
    <w:qFormat/>
    <w:pPr>
      <w:suppressAutoHyphens w:val="false"/>
      <w:spacing w:beforeAutospacing="1" w:afterAutospacing="1"/>
    </w:pPr>
    <w:rPr>
      <w:lang w:eastAsia="lt-LT"/>
    </w:rPr>
  </w:style>
  <w:style w:type="paragraph" w:styleId="Tajtin" w:customStyle="1">
    <w:name w:val="tajtin"/>
    <w:basedOn w:val="Normal"/>
    <w:qFormat/>
    <w:pPr>
      <w:suppressAutoHyphens w:val="false"/>
      <w:spacing w:before="0" w:after="150"/>
    </w:pPr>
    <w:rPr>
      <w:rFonts w:eastAsia="Times New Roman"/>
      <w:lang w:eastAsia="lt-LT"/>
    </w:rPr>
  </w:style>
  <w:style w:type="paragraph" w:styleId="NoSpacing">
    <w:name w:val="No Spacing"/>
    <w:basedOn w:val="Normal"/>
    <w:uiPriority w:val="1"/>
    <w:qFormat/>
    <w:pPr>
      <w:suppressAutoHyphens w:val="false"/>
    </w:pPr>
    <w:rPr>
      <w:rFonts w:ascii="Calibri" w:hAnsi="Calibri" w:eastAsia="Calibri" w:eastAsiaTheme="minorHAnsi"/>
      <w:sz w:val="22"/>
      <w:szCs w:val="22"/>
      <w:lang w:eastAsia="en-US"/>
    </w:rPr>
  </w:style>
  <w:style w:type="paragraph" w:styleId="Norm4" w:customStyle="1">
    <w:name w:val="norm4"/>
    <w:basedOn w:val="Normal"/>
    <w:qFormat/>
    <w:pPr>
      <w:suppressAutoHyphens w:val="false"/>
      <w:spacing w:lineRule="atLeast" w:line="312" w:before="120" w:after="0"/>
      <w:jc w:val="both"/>
    </w:pPr>
    <w:rPr>
      <w:rFonts w:eastAsia="Times New Roman"/>
      <w:lang w:eastAsia="lt-LT"/>
    </w:rPr>
  </w:style>
  <w:style w:type="paragraph" w:styleId="Revision1" w:customStyle="1">
    <w:name w:val="Revision1"/>
    <w:uiPriority w:val="99"/>
    <w:semiHidden/>
    <w:qFormat/>
    <w:pPr>
      <w:widowControl/>
      <w:suppressAutoHyphens w:val="true"/>
      <w:bidi w:val="0"/>
      <w:spacing w:before="0" w:after="0"/>
      <w:jc w:val="left"/>
    </w:pPr>
    <w:rPr>
      <w:rFonts w:ascii="Times New Roman" w:hAnsi="Times New Roman" w:eastAsia="SimSun" w:cs="Times New Roman"/>
      <w:color w:val="auto"/>
      <w:kern w:val="0"/>
      <w:sz w:val="24"/>
      <w:szCs w:val="24"/>
      <w:lang w:val="lt-LT" w:eastAsia="ar-SA" w:bidi="ar-SA"/>
    </w:rPr>
  </w:style>
  <w:style w:type="paragraph" w:styleId="Normal2" w:customStyle="1">
    <w:name w:val="normal2"/>
    <w:basedOn w:val="Normal"/>
    <w:qFormat/>
    <w:pPr>
      <w:suppressAutoHyphens w:val="false"/>
      <w:spacing w:lineRule="atLeast" w:line="312" w:before="120" w:after="0"/>
      <w:jc w:val="both"/>
    </w:pPr>
    <w:rPr>
      <w:rFonts w:eastAsia="Times New Roman"/>
      <w:lang w:eastAsia="lt-LT"/>
    </w:rPr>
  </w:style>
  <w:style w:type="paragraph" w:styleId="Tin" w:customStyle="1">
    <w:name w:val="tin"/>
    <w:basedOn w:val="Normal"/>
    <w:qFormat/>
    <w:pPr>
      <w:suppressAutoHyphens w:val="false"/>
      <w:spacing w:before="0" w:after="150"/>
    </w:pPr>
    <w:rPr>
      <w:rFonts w:eastAsia="Times New Roman"/>
      <w:lang w:eastAsia="lt-LT"/>
    </w:rPr>
  </w:style>
  <w:style w:type="paragraph" w:styleId="N" w:customStyle="1">
    <w:name w:val="n"/>
    <w:basedOn w:val="Normal"/>
    <w:qFormat/>
    <w:pPr>
      <w:suppressAutoHyphens w:val="false"/>
      <w:spacing w:before="0" w:after="150"/>
    </w:pPr>
    <w:rPr>
      <w:rFonts w:eastAsia="Times New Roman"/>
      <w:lang w:eastAsia="lt-LT"/>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kern w:val="2"/>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ZBottomofForm1" w:customStyle="1">
    <w:name w:val="z-Bottom of Form1"/>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lt-LT" w:eastAsia="lt-LT" w:bidi="ar-SA"/>
    </w:rPr>
  </w:style>
  <w:style w:type="paragraph" w:styleId="ZTopofForm1" w:customStyle="1">
    <w:name w:val="z-Top of Form1"/>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lt-LT" w:eastAsia="lt-LT"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lt-LT" w:eastAsia="zh-CN" w:bidi="hi-IN"/>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lt-LT" w:eastAsia="zh-CN" w:bidi="hi-IN"/>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11" Target="../customXml/item1.xml"
                 Type="http://schemas.openxmlformats.org/officeDocument/2006/relationships/customXml"/>
   <Relationship Id="rId12" Target="../customXml/item2.xml"
                 Type="http://schemas.openxmlformats.org/officeDocument/2006/relationships/customXml"/>
   <Relationship Id="rId2"
                 Target="https://e-seimas.lrs.lt/portal/legalAct/lt/TAP/e10fc040eab811eb866fe2e083228059?jfwid=-hf8lua6wu"
                 TargetMode="External"
                 Type="http://schemas.openxmlformats.org/officeDocument/2006/relationships/hyperlink"/>
   <Relationship Id="rId3" Target="header1.xml"
                 Type="http://schemas.openxmlformats.org/officeDocument/2006/relationships/header"/>
   <Relationship Id="rId4" Target="header2.xml"
                 Type="http://schemas.openxmlformats.org/officeDocument/2006/relationships/header"/>
   <Relationship Id="rId5" Target="footer1.xml"
                 Type="http://schemas.openxmlformats.org/officeDocument/2006/relationships/footer"/>
   <Relationship Id="rId6" Target="footer2.xml"
                 Type="http://schemas.openxmlformats.org/officeDocument/2006/relationships/footer"/>
   <Relationship Id="rId7" Target="numbering.xml"
                 Type="http://schemas.openxmlformats.org/officeDocument/2006/relationships/numbering"/>
   <Relationship Id="rId8" Target="fontTable.xml"
                 Type="http://schemas.openxmlformats.org/officeDocument/2006/relationships/fontTable"/>
   <Relationship Id="rId9" Target="settings.xml"
                 Type="http://schemas.openxmlformats.org/officeDocument/2006/relationships/settings"/>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BA6352-1575-4521-A250-C478A914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LibreOffice/6.4.3.2$Windows_x86 LibreOffice_project/747b5d0ebf89f41c860ec2a39efd7cb15b54f2d8</Application>
  <Pages>2</Pages>
  <Words>570</Words>
  <Characters>3936</Characters>
  <CharactersWithSpaces>4731</CharactersWithSpaces>
  <Paragraphs>23</Paragraphs>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2021-08-10T11:18:00Z</dcterms:created>
  <dc:creator>D.Glodenis</dc:creator>
  <dc:language>lt-LT</dc:language>
  <cp:lastPrinted>2019-08-27T12:58:00Z</cp:lastPrinted>
  <dcterms:modified xsi:type="dcterms:W3CDTF">2021-08-10T14:55:03Z</dcterms:modified>
  <cp:revision>4</cp:revision>
  <dc:title>[Adresatas]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DocumentEncoding">
    <vt:lpwstr>utf-8</vt:lpwstr>
  </property>
  <property fmtid="{D5CDD505-2E9C-101B-9397-08002B2CF9AE}" pid="5" name="HTML">
    <vt:bool>1</vt:bool>
  </property>
  <property fmtid="{D5CDD505-2E9C-101B-9397-08002B2CF9AE}" pid="6" name="HyperlinksChanged">
    <vt:bool>0</vt:bool>
  </property>
  <property fmtid="{D5CDD505-2E9C-101B-9397-08002B2CF9AE}" pid="7" name="KSOProductBuildVer">
    <vt:lpwstr>2057-11.2.0.8684</vt:lpwstr>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