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603F" w14:textId="05310A77" w:rsidR="005E4DF1" w:rsidRPr="005E4DF1" w:rsidRDefault="00EA2774" w:rsidP="005E4DF1">
      <w:pPr>
        <w:autoSpaceDE w:val="0"/>
        <w:autoSpaceDN w:val="0"/>
        <w:adjustRightInd w:val="0"/>
        <w:ind w:left="2592" w:firstLine="1296"/>
        <w:rPr>
          <w:szCs w:val="24"/>
          <w:lang w:eastAsia="lt-LT"/>
        </w:rPr>
      </w:pPr>
      <w:r w:rsidRPr="00191E35">
        <w:rPr>
          <w:szCs w:val="24"/>
          <w:lang w:eastAsia="lt-LT"/>
        </w:rPr>
        <w:t>20</w:t>
      </w:r>
      <w:r w:rsidR="003659E7">
        <w:rPr>
          <w:szCs w:val="24"/>
          <w:lang w:eastAsia="lt-LT"/>
        </w:rPr>
        <w:t>21</w:t>
      </w:r>
      <w:r w:rsidRPr="00191E35">
        <w:rPr>
          <w:szCs w:val="24"/>
          <w:lang w:eastAsia="lt-LT"/>
        </w:rPr>
        <w:t>–20</w:t>
      </w:r>
      <w:r w:rsidR="003659E7">
        <w:rPr>
          <w:szCs w:val="24"/>
          <w:lang w:eastAsia="lt-LT"/>
        </w:rPr>
        <w:t>30</w:t>
      </w:r>
      <w:r w:rsidRPr="00191E35">
        <w:rPr>
          <w:szCs w:val="24"/>
          <w:lang w:eastAsia="lt-LT"/>
        </w:rPr>
        <w:t xml:space="preserve"> M. </w:t>
      </w:r>
      <w:r w:rsidR="005E4DF1" w:rsidRPr="005E4DF1">
        <w:rPr>
          <w:szCs w:val="24"/>
          <w:lang w:eastAsia="lt-LT"/>
        </w:rPr>
        <w:t>KULTŪROS IR KŪRYBINGUMO PLĖTROS PROGAMA</w:t>
      </w:r>
    </w:p>
    <w:p w14:paraId="3F6A039E" w14:textId="77777777" w:rsidR="00EA2774" w:rsidRPr="00191E35" w:rsidRDefault="00EA2774" w:rsidP="00EA2774">
      <w:pPr>
        <w:jc w:val="center"/>
        <w:rPr>
          <w:szCs w:val="24"/>
          <w:lang w:eastAsia="lt-LT"/>
        </w:rPr>
      </w:pPr>
      <w:r w:rsidRPr="00191E35">
        <w:rPr>
          <w:szCs w:val="24"/>
          <w:lang w:eastAsia="lt-LT"/>
        </w:rPr>
        <w:t xml:space="preserve">Plėtros programos </w:t>
      </w:r>
      <w:r w:rsidRPr="003659E7">
        <w:rPr>
          <w:szCs w:val="24"/>
          <w:lang w:eastAsia="lt-LT"/>
        </w:rPr>
        <w:t xml:space="preserve">valdytojas </w:t>
      </w:r>
      <w:r w:rsidR="003659E7" w:rsidRPr="003659E7">
        <w:rPr>
          <w:szCs w:val="24"/>
          <w:lang w:eastAsia="lt-LT"/>
        </w:rPr>
        <w:t>LR KULTŪROS MINISTERIJA</w:t>
      </w:r>
    </w:p>
    <w:p w14:paraId="61198DBE" w14:textId="77777777" w:rsidR="00EA2774" w:rsidRPr="00191E35" w:rsidRDefault="00EA2774" w:rsidP="00EA2774"/>
    <w:p w14:paraId="2C5F9C46" w14:textId="77777777" w:rsidR="00EA2774" w:rsidRPr="00191E35" w:rsidRDefault="00EA2774" w:rsidP="00EA2774">
      <w:pPr>
        <w:ind w:left="284" w:hanging="284"/>
        <w:jc w:val="center"/>
        <w:rPr>
          <w:b/>
          <w:color w:val="000000"/>
        </w:rPr>
      </w:pPr>
      <w:r w:rsidRPr="00191E35">
        <w:rPr>
          <w:b/>
          <w:color w:val="000000"/>
        </w:rPr>
        <w:t>I DALIS</w:t>
      </w:r>
    </w:p>
    <w:p w14:paraId="6AFAF2A2" w14:textId="77777777" w:rsidR="00EA2774" w:rsidRPr="00191E35" w:rsidRDefault="00EA2774" w:rsidP="00EA2774">
      <w:pPr>
        <w:ind w:left="284" w:hanging="284"/>
        <w:jc w:val="center"/>
        <w:rPr>
          <w:b/>
          <w:caps/>
          <w:szCs w:val="24"/>
        </w:rPr>
      </w:pPr>
      <w:r w:rsidRPr="00191E35">
        <w:rPr>
          <w:b/>
          <w:caps/>
          <w:szCs w:val="24"/>
        </w:rPr>
        <w:t>Plėtros programos paskirtis</w:t>
      </w:r>
    </w:p>
    <w:p w14:paraId="383B1C73" w14:textId="77777777" w:rsidR="00EA2774" w:rsidRPr="00191E35" w:rsidRDefault="00EA2774" w:rsidP="00EA2774">
      <w:pPr>
        <w:ind w:left="284" w:hanging="284"/>
        <w:jc w:val="center"/>
        <w:rPr>
          <w:b/>
          <w:color w:val="000000"/>
        </w:rPr>
      </w:pPr>
    </w:p>
    <w:tbl>
      <w:tblPr>
        <w:tblStyle w:val="TableGrid"/>
        <w:tblW w:w="152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295"/>
      </w:tblGrid>
      <w:tr w:rsidR="00EA2774" w:rsidRPr="00871BE8" w14:paraId="3937F91D" w14:textId="77777777" w:rsidTr="28C1312A">
        <w:trPr>
          <w:trHeight w:val="404"/>
        </w:trPr>
        <w:tc>
          <w:tcPr>
            <w:tcW w:w="15295" w:type="dxa"/>
            <w:shd w:val="clear" w:color="auto" w:fill="DBE5F1" w:themeFill="accent1" w:themeFillTint="33"/>
          </w:tcPr>
          <w:p w14:paraId="4EBF3B52" w14:textId="77777777" w:rsidR="00EA2774" w:rsidRPr="00871BE8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Valstybės veiklos sritis</w:t>
            </w:r>
            <w:r w:rsidR="00C374D3" w:rsidRPr="00871BE8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1953A6F0" w14:textId="77777777" w:rsidR="00C374D3" w:rsidRPr="00871BE8" w:rsidRDefault="00C374D3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71BE8">
              <w:rPr>
                <w:rFonts w:ascii="Times New Roman" w:hAnsi="Times New Roman" w:cs="Times New Roman"/>
                <w:szCs w:val="22"/>
              </w:rPr>
              <w:t>Kultūra</w:t>
            </w:r>
          </w:p>
        </w:tc>
      </w:tr>
      <w:tr w:rsidR="00EA2774" w:rsidRPr="00871BE8" w14:paraId="2E71C823" w14:textId="77777777" w:rsidTr="28C1312A">
        <w:trPr>
          <w:trHeight w:val="573"/>
        </w:trPr>
        <w:tc>
          <w:tcPr>
            <w:tcW w:w="15295" w:type="dxa"/>
            <w:shd w:val="clear" w:color="auto" w:fill="DBE5F1" w:themeFill="accent1" w:themeFillTint="33"/>
          </w:tcPr>
          <w:p w14:paraId="335CA2A8" w14:textId="77777777" w:rsidR="00EA2774" w:rsidRPr="00871BE8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NPP uždavinių įtraukimo į Programą logika </w:t>
            </w:r>
          </w:p>
          <w:p w14:paraId="03D8C7B3" w14:textId="13520BD4" w:rsidR="006813A0" w:rsidRPr="00871BE8" w:rsidRDefault="009E3C7A" w:rsidP="00211D3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szCs w:val="22"/>
              </w:rPr>
              <w:t xml:space="preserve">Į Kultūros ir kūrybingumo </w:t>
            </w:r>
            <w:r w:rsidR="00C374D3" w:rsidRPr="00871BE8">
              <w:rPr>
                <w:rFonts w:ascii="Times New Roman" w:hAnsi="Times New Roman" w:cs="Times New Roman"/>
                <w:szCs w:val="22"/>
              </w:rPr>
              <w:t>programą (toliau – Programa)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 įtraukti tie uždaviniai, </w:t>
            </w:r>
            <w:r w:rsidR="00A97D95" w:rsidRPr="00871BE8">
              <w:rPr>
                <w:rFonts w:ascii="Times New Roman" w:hAnsi="Times New Roman" w:cs="Times New Roman"/>
                <w:szCs w:val="22"/>
              </w:rPr>
              <w:t xml:space="preserve">už kurių įgyvendinimą ir poveikio rodiklių pasiekimą Nacionaliniame pažangos plane (toliau – NPP) yra paskirta atsakinga </w:t>
            </w:r>
            <w:r w:rsidRPr="00871BE8">
              <w:rPr>
                <w:rFonts w:ascii="Times New Roman" w:hAnsi="Times New Roman" w:cs="Times New Roman"/>
                <w:szCs w:val="22"/>
              </w:rPr>
              <w:t>Kultūros</w:t>
            </w:r>
            <w:r w:rsidR="00A97D95" w:rsidRPr="00871BE8">
              <w:rPr>
                <w:rFonts w:ascii="Times New Roman" w:hAnsi="Times New Roman" w:cs="Times New Roman"/>
                <w:szCs w:val="22"/>
              </w:rPr>
              <w:t xml:space="preserve"> ministerija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 (toliau – K</w:t>
            </w:r>
            <w:r w:rsidR="00A97D95" w:rsidRPr="00871BE8">
              <w:rPr>
                <w:rFonts w:ascii="Times New Roman" w:hAnsi="Times New Roman" w:cs="Times New Roman"/>
                <w:szCs w:val="22"/>
              </w:rPr>
              <w:t xml:space="preserve">M), 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ir </w:t>
            </w:r>
            <w:r w:rsidR="00A97D95" w:rsidRPr="00871BE8">
              <w:rPr>
                <w:rFonts w:ascii="Times New Roman" w:hAnsi="Times New Roman" w:cs="Times New Roman"/>
                <w:szCs w:val="22"/>
              </w:rPr>
              <w:t xml:space="preserve">kurie 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atitinka kultūros valdymo sritį. </w:t>
            </w:r>
          </w:p>
        </w:tc>
      </w:tr>
      <w:tr w:rsidR="0041639B" w:rsidRPr="00871BE8" w14:paraId="20C08F79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2FFFF2A3" w14:textId="77777777" w:rsidR="0041639B" w:rsidRPr="00871BE8" w:rsidRDefault="0041639B" w:rsidP="0041639B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NPP uždavinys, kodas ir pavadinimas </w:t>
            </w:r>
          </w:p>
          <w:p w14:paraId="5BC146A8" w14:textId="124B4680" w:rsidR="0041639B" w:rsidRPr="00871BE8" w:rsidRDefault="4CB92FD2" w:rsidP="6F6073BF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  <w:b/>
                <w:bCs/>
              </w:rPr>
              <w:t>1.</w:t>
            </w:r>
            <w:r w:rsidR="24C570A5" w:rsidRPr="2BF0DB4A">
              <w:rPr>
                <w:rFonts w:ascii="Times New Roman" w:hAnsi="Times New Roman" w:cs="Times New Roman"/>
                <w:b/>
                <w:bCs/>
              </w:rPr>
              <w:t>9</w:t>
            </w:r>
            <w:r w:rsidRPr="2BF0DB4A">
              <w:rPr>
                <w:rFonts w:ascii="Times New Roman" w:hAnsi="Times New Roman" w:cs="Times New Roman"/>
                <w:b/>
                <w:bCs/>
              </w:rPr>
              <w:t xml:space="preserve"> uždavinys.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Didinti kultūros</w:t>
            </w:r>
            <w:r w:rsidR="71594388" w:rsidRPr="2BF0DB4A">
              <w:rPr>
                <w:rFonts w:ascii="Times New Roman" w:hAnsi="Times New Roman" w:cs="Times New Roman"/>
                <w:lang w:eastAsia="lt-LT"/>
              </w:rPr>
              <w:t xml:space="preserve"> ir</w:t>
            </w:r>
            <w:r w:rsidR="6F19E9F9" w:rsidRPr="2BF0DB4A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2BF0DB4A">
              <w:rPr>
                <w:rFonts w:ascii="Times New Roman" w:hAnsi="Times New Roman" w:cs="Times New Roman"/>
                <w:lang w:eastAsia="lt-LT"/>
              </w:rPr>
              <w:t>kūrybinių industrijų potencialą ir skatinti kūrybiniu turiniu grįstų naujų produktų ir paslaugų kūrimą</w:t>
            </w:r>
            <w:r w:rsidR="0354183C" w:rsidRPr="2BF0DB4A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</w:tr>
      <w:tr w:rsidR="0041639B" w:rsidRPr="00871BE8" w14:paraId="1C3ECA27" w14:textId="77777777" w:rsidTr="28C1312A">
        <w:trPr>
          <w:trHeight w:val="70"/>
        </w:trPr>
        <w:tc>
          <w:tcPr>
            <w:tcW w:w="15295" w:type="dxa"/>
            <w:shd w:val="clear" w:color="auto" w:fill="auto"/>
          </w:tcPr>
          <w:p w14:paraId="0FEAD273" w14:textId="357DEAD7" w:rsidR="002C30FE" w:rsidRPr="009C0B0E" w:rsidRDefault="0041639B" w:rsidP="0041639B">
            <w:pPr>
              <w:jc w:val="both"/>
              <w:rPr>
                <w:rFonts w:ascii="Times New Roman" w:hAnsi="Times New Roman" w:cs="Times New Roman"/>
                <w:i/>
                <w:iCs/>
                <w:szCs w:val="22"/>
              </w:rPr>
            </w:pPr>
            <w:r w:rsidRPr="009C0B0E">
              <w:rPr>
                <w:rFonts w:ascii="Times New Roman" w:hAnsi="Times New Roman" w:cs="Times New Roman"/>
                <w:b/>
                <w:bCs/>
                <w:szCs w:val="22"/>
              </w:rPr>
              <w:t>NPP uždavinio rodikliai</w:t>
            </w:r>
            <w:r w:rsidR="002C30FE" w:rsidRPr="009C0B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C30FE" w:rsidRPr="009C0B0E">
              <w:rPr>
                <w:rFonts w:ascii="Times New Roman" w:hAnsi="Times New Roman" w:cs="Times New Roman"/>
                <w:b/>
                <w:bCs/>
                <w:szCs w:val="22"/>
              </w:rPr>
              <w:t>ir (ar) tikslo rodiklis</w:t>
            </w:r>
            <w:r w:rsidR="002C30FE" w:rsidRPr="009C0B0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C30FE" w:rsidRPr="009C0B0E">
              <w:rPr>
                <w:rFonts w:ascii="Times New Roman" w:hAnsi="Times New Roman" w:cs="Times New Roman"/>
                <w:i/>
                <w:iCs/>
                <w:szCs w:val="22"/>
              </w:rPr>
              <w:t xml:space="preserve"> </w:t>
            </w:r>
          </w:p>
          <w:p w14:paraId="7F1AFD08" w14:textId="2C717F00" w:rsidR="00E96D0B" w:rsidRPr="007B5D74" w:rsidRDefault="4CB92FD2" w:rsidP="2BF0DB4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2BF0DB4A">
              <w:rPr>
                <w:rFonts w:ascii="Times New Roman" w:hAnsi="Times New Roman" w:cs="Times New Roman"/>
                <w:lang w:eastAsia="lt-LT"/>
              </w:rPr>
              <w:t>1.</w:t>
            </w:r>
            <w:r w:rsidR="472E8F22" w:rsidRPr="2BF0DB4A">
              <w:rPr>
                <w:rFonts w:ascii="Times New Roman" w:hAnsi="Times New Roman" w:cs="Times New Roman"/>
                <w:lang w:eastAsia="lt-LT"/>
              </w:rPr>
              <w:t>9</w:t>
            </w:r>
            <w:r w:rsidRPr="2BF0DB4A">
              <w:rPr>
                <w:rFonts w:ascii="Times New Roman" w:hAnsi="Times New Roman" w:cs="Times New Roman"/>
                <w:lang w:eastAsia="lt-LT"/>
              </w:rPr>
              <w:t>.1. Kultūros sektoriaus sukuriam</w:t>
            </w:r>
            <w:r w:rsidR="58AC1234" w:rsidRPr="2BF0DB4A">
              <w:rPr>
                <w:rFonts w:ascii="Times New Roman" w:hAnsi="Times New Roman" w:cs="Times New Roman"/>
                <w:lang w:eastAsia="lt-LT"/>
              </w:rPr>
              <w:t>o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1FCCC2C8" w:rsidRPr="2BF0DB4A">
              <w:rPr>
                <w:rFonts w:ascii="Times New Roman" w:hAnsi="Times New Roman" w:cs="Times New Roman"/>
                <w:lang w:eastAsia="lt-LT"/>
              </w:rPr>
              <w:t>BVP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dalis</w:t>
            </w:r>
            <w:r w:rsidR="1FCCC2C8" w:rsidRPr="2BF0DB4A">
              <w:rPr>
                <w:rFonts w:ascii="Times New Roman" w:hAnsi="Times New Roman" w:cs="Times New Roman"/>
                <w:lang w:eastAsia="lt-LT"/>
              </w:rPr>
              <w:t xml:space="preserve"> nuo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su vis</w:t>
            </w:r>
            <w:r w:rsidR="1FCCC2C8" w:rsidRPr="2BF0DB4A">
              <w:rPr>
                <w:rFonts w:ascii="Times New Roman" w:hAnsi="Times New Roman" w:cs="Times New Roman"/>
                <w:lang w:eastAsia="lt-LT"/>
              </w:rPr>
              <w:t>os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1FCCC2C8" w:rsidRPr="2BF0DB4A">
              <w:rPr>
                <w:rFonts w:ascii="Times New Roman" w:hAnsi="Times New Roman" w:cs="Times New Roman"/>
                <w:lang w:eastAsia="lt-LT"/>
              </w:rPr>
              <w:t xml:space="preserve">šalies </w:t>
            </w:r>
            <w:r w:rsidRPr="2BF0DB4A">
              <w:rPr>
                <w:rFonts w:ascii="Times New Roman" w:hAnsi="Times New Roman" w:cs="Times New Roman"/>
                <w:lang w:eastAsia="lt-LT"/>
              </w:rPr>
              <w:t>sukuriam</w:t>
            </w:r>
            <w:r w:rsidR="1FCCC2C8" w:rsidRPr="2BF0DB4A">
              <w:rPr>
                <w:rFonts w:ascii="Times New Roman" w:hAnsi="Times New Roman" w:cs="Times New Roman"/>
                <w:lang w:eastAsia="lt-LT"/>
              </w:rPr>
              <w:t>o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1FCCC2C8" w:rsidRPr="2BF0DB4A">
              <w:rPr>
                <w:rFonts w:ascii="Times New Roman" w:hAnsi="Times New Roman" w:cs="Times New Roman"/>
                <w:lang w:eastAsia="lt-LT"/>
              </w:rPr>
              <w:t>BVP</w:t>
            </w:r>
            <w:r w:rsidR="03F27BAB" w:rsidRPr="2BF0DB4A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(2025 </w:t>
            </w:r>
            <w:r w:rsidR="3A6C5568" w:rsidRPr="2BF0DB4A">
              <w:rPr>
                <w:rFonts w:ascii="Times New Roman" w:hAnsi="Times New Roman" w:cs="Times New Roman"/>
                <w:lang w:eastAsia="lt-LT"/>
              </w:rPr>
              <w:t>m.</w:t>
            </w:r>
            <w:r w:rsidR="03F27BAB" w:rsidRPr="2BF0DB4A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– </w:t>
            </w:r>
            <w:r w:rsidR="2D1BC359" w:rsidRPr="2BF0DB4A">
              <w:rPr>
                <w:rFonts w:ascii="Times New Roman" w:hAnsi="Times New Roman" w:cs="Times New Roman"/>
                <w:lang w:eastAsia="lt-LT"/>
              </w:rPr>
              <w:t>2,5</w:t>
            </w:r>
            <w:r w:rsidR="03F27BAB" w:rsidRPr="2BF0DB4A">
              <w:rPr>
                <w:rFonts w:ascii="Times New Roman" w:hAnsi="Times New Roman" w:cs="Times New Roman"/>
                <w:lang w:eastAsia="lt-LT"/>
              </w:rPr>
              <w:t xml:space="preserve"> proc.</w:t>
            </w:r>
            <w:r w:rsidR="4512FCBF" w:rsidRPr="2BF0DB4A">
              <w:rPr>
                <w:rFonts w:ascii="Times New Roman" w:hAnsi="Times New Roman" w:cs="Times New Roman"/>
                <w:lang w:eastAsia="lt-LT"/>
              </w:rPr>
              <w:t>;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2030</w:t>
            </w:r>
            <w:r w:rsidR="3A6C5568" w:rsidRPr="2BF0DB4A">
              <w:rPr>
                <w:rFonts w:ascii="Times New Roman" w:hAnsi="Times New Roman" w:cs="Times New Roman"/>
                <w:lang w:eastAsia="lt-LT"/>
              </w:rPr>
              <w:t xml:space="preserve"> m.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 – </w:t>
            </w:r>
            <w:r w:rsidR="2D1BC359" w:rsidRPr="2BF0DB4A">
              <w:rPr>
                <w:rFonts w:ascii="Times New Roman" w:hAnsi="Times New Roman" w:cs="Times New Roman"/>
                <w:lang w:eastAsia="lt-LT"/>
              </w:rPr>
              <w:t>3</w:t>
            </w:r>
            <w:r w:rsidR="03F27BAB" w:rsidRPr="2BF0DB4A">
              <w:rPr>
                <w:rFonts w:ascii="Times New Roman" w:hAnsi="Times New Roman" w:cs="Times New Roman"/>
                <w:lang w:eastAsia="lt-LT"/>
              </w:rPr>
              <w:t xml:space="preserve"> proc.</w:t>
            </w:r>
            <w:r w:rsidRPr="2BF0DB4A">
              <w:rPr>
                <w:rFonts w:ascii="Times New Roman" w:hAnsi="Times New Roman" w:cs="Times New Roman"/>
                <w:lang w:eastAsia="lt-LT"/>
              </w:rPr>
              <w:t>)</w:t>
            </w:r>
            <w:r w:rsidR="1FCCC2C8" w:rsidRPr="2BF0DB4A">
              <w:rPr>
                <w:rFonts w:ascii="Times New Roman" w:hAnsi="Times New Roman" w:cs="Times New Roman"/>
                <w:lang w:eastAsia="lt-LT"/>
              </w:rPr>
              <w:t>;</w:t>
            </w:r>
          </w:p>
          <w:p w14:paraId="164CD2C7" w14:textId="68F37F9F" w:rsidR="00211D37" w:rsidRPr="009C0B0E" w:rsidRDefault="1FCCC2C8" w:rsidP="2BF0DB4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2BF0DB4A">
              <w:rPr>
                <w:rFonts w:ascii="Times New Roman" w:hAnsi="Times New Roman" w:cs="Times New Roman"/>
                <w:lang w:eastAsia="lt-LT"/>
              </w:rPr>
              <w:t>1.1</w:t>
            </w:r>
            <w:r w:rsidR="7B9F56DE" w:rsidRPr="2BF0DB4A">
              <w:rPr>
                <w:rFonts w:ascii="Times New Roman" w:hAnsi="Times New Roman" w:cs="Times New Roman"/>
                <w:lang w:eastAsia="lt-LT"/>
              </w:rPr>
              <w:t>1</w:t>
            </w:r>
            <w:r w:rsidRPr="2BF0DB4A">
              <w:rPr>
                <w:rFonts w:ascii="Times New Roman" w:hAnsi="Times New Roman" w:cs="Times New Roman"/>
                <w:lang w:eastAsia="lt-LT"/>
              </w:rPr>
              <w:t>.</w:t>
            </w:r>
            <w:r w:rsidR="2074FCCB" w:rsidRPr="2BF0DB4A">
              <w:rPr>
                <w:rFonts w:ascii="Times New Roman" w:hAnsi="Times New Roman" w:cs="Times New Roman"/>
                <w:lang w:eastAsia="lt-LT"/>
              </w:rPr>
              <w:t>4</w:t>
            </w:r>
            <w:r w:rsidRPr="2BF0DB4A">
              <w:rPr>
                <w:rFonts w:ascii="Times New Roman" w:hAnsi="Times New Roman" w:cs="Times New Roman"/>
                <w:lang w:eastAsia="lt-LT"/>
              </w:rPr>
              <w:t xml:space="preserve">. </w:t>
            </w:r>
            <w:r w:rsidRPr="2BF0DB4A">
              <w:rPr>
                <w:rFonts w:ascii="Times New Roman" w:hAnsi="Times New Roman" w:cs="Times New Roman"/>
                <w:lang w:val="en-US" w:eastAsia="lt-LT"/>
              </w:rPr>
              <w:t>Audio</w:t>
            </w:r>
            <w:r w:rsidRPr="2BF0DB4A">
              <w:rPr>
                <w:rFonts w:ascii="Times New Roman" w:hAnsi="Times New Roman" w:cs="Times New Roman"/>
                <w:lang w:eastAsia="lt-LT"/>
              </w:rPr>
              <w:t>vizualinių ir susijusių paslaugų eksportas (2025 m. – 24 mln. Eur.; 2030 m. – 27,9 mln. Eur.).</w:t>
            </w:r>
            <w:r w:rsidRPr="2BF0DB4A">
              <w:rPr>
                <w:lang w:eastAsia="lt-LT"/>
              </w:rPr>
              <w:t xml:space="preserve"> </w:t>
            </w:r>
          </w:p>
        </w:tc>
      </w:tr>
      <w:tr w:rsidR="0041639B" w:rsidRPr="00871BE8" w14:paraId="70E419BF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2FDDF3F0" w14:textId="676B14D0" w:rsidR="0041639B" w:rsidRPr="00871BE8" w:rsidRDefault="0041639B" w:rsidP="008303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Problema: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D175D" w:rsidRPr="00DF2806">
              <w:rPr>
                <w:rFonts w:ascii="Times New Roman" w:hAnsi="Times New Roman" w:cs="Times New Roman"/>
                <w:b/>
                <w:bCs/>
                <w:szCs w:val="22"/>
              </w:rPr>
              <w:t>Neišnaudojamas KKI potencialas kurti aukštos pridėtinės vertės ekonomiką ir inovatyvias socialines paslaugas sistemiškai ir specifiškai neauginant paties KKI sektoriaus</w:t>
            </w:r>
            <w:r w:rsidR="00C121A1" w:rsidRPr="00871BE8"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</w:p>
        </w:tc>
      </w:tr>
      <w:tr w:rsidR="0041639B" w:rsidRPr="00871BE8" w14:paraId="573518EE" w14:textId="77777777" w:rsidTr="28C1312A">
        <w:trPr>
          <w:trHeight w:val="70"/>
        </w:trPr>
        <w:tc>
          <w:tcPr>
            <w:tcW w:w="15295" w:type="dxa"/>
            <w:shd w:val="clear" w:color="auto" w:fill="auto"/>
          </w:tcPr>
          <w:p w14:paraId="7E19007B" w14:textId="62474AF9" w:rsidR="00E96D0B" w:rsidRPr="00871BE8" w:rsidRDefault="00E96D0B" w:rsidP="00E96D0B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Spręstinos problemos priežastys: </w:t>
            </w:r>
          </w:p>
          <w:p w14:paraId="20347A94" w14:textId="41B81A45" w:rsidR="00E96D0B" w:rsidRPr="00FC385E" w:rsidRDefault="00FC385E" w:rsidP="6F6073BF">
            <w:pPr>
              <w:pStyle w:val="ListParagraph"/>
              <w:numPr>
                <w:ilvl w:val="1"/>
                <w:numId w:val="7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6F6073BF">
              <w:rPr>
                <w:rFonts w:ascii="Times New Roman" w:hAnsi="Times New Roman" w:cs="Times New Roman"/>
                <w:b/>
                <w:bCs/>
              </w:rPr>
              <w:t>Neužtikrinti reikiami KKI pajėgumai kurti aukštos pridėtinės vertės ir konkurencingus produktus bei inovatyvias KKI, ta</w:t>
            </w:r>
            <w:r w:rsidR="6B3BF692" w:rsidRPr="6F6073BF">
              <w:rPr>
                <w:rFonts w:ascii="Times New Roman" w:hAnsi="Times New Roman" w:cs="Times New Roman"/>
                <w:b/>
                <w:bCs/>
              </w:rPr>
              <w:t>ip pat</w:t>
            </w:r>
            <w:r w:rsidRPr="6F6073BF">
              <w:rPr>
                <w:rFonts w:ascii="Times New Roman" w:hAnsi="Times New Roman" w:cs="Times New Roman"/>
                <w:b/>
                <w:bCs/>
              </w:rPr>
              <w:t xml:space="preserve"> ir socialines paslaugas</w:t>
            </w:r>
            <w:r w:rsidR="00405DA9" w:rsidRPr="6F6073BF">
              <w:rPr>
                <w:b/>
                <w:bCs/>
              </w:rPr>
              <w:t>.</w:t>
            </w:r>
            <w:r w:rsidR="00E96D0B" w:rsidRPr="6F6073BF">
              <w:rPr>
                <w:b/>
                <w:bCs/>
              </w:rPr>
              <w:t xml:space="preserve"> </w:t>
            </w:r>
          </w:p>
          <w:p w14:paraId="184F380A" w14:textId="5EAE64DE" w:rsidR="00E96D0B" w:rsidRPr="00FC385E" w:rsidRDefault="000964F9" w:rsidP="008303B5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FC385E" w:rsidRPr="00FC385E">
              <w:rPr>
                <w:rFonts w:ascii="Times New Roman" w:hAnsi="Times New Roman" w:cs="Times New Roman"/>
                <w:bCs/>
                <w:szCs w:val="22"/>
              </w:rPr>
              <w:t xml:space="preserve">Neišvystyti KKI technologiniai, organizaciniai ir infrastruktūros resursai, atsižvelgiant į globalizacijos, </w:t>
            </w:r>
            <w:proofErr w:type="spellStart"/>
            <w:r w:rsidR="00FC385E" w:rsidRPr="00FC385E">
              <w:rPr>
                <w:rFonts w:ascii="Times New Roman" w:hAnsi="Times New Roman" w:cs="Times New Roman"/>
                <w:bCs/>
                <w:szCs w:val="22"/>
              </w:rPr>
              <w:t>skaitmenizacijos</w:t>
            </w:r>
            <w:proofErr w:type="spellEnd"/>
            <w:r w:rsidR="00FC385E" w:rsidRPr="00FC385E">
              <w:rPr>
                <w:rFonts w:ascii="Times New Roman" w:hAnsi="Times New Roman" w:cs="Times New Roman"/>
                <w:bCs/>
                <w:szCs w:val="22"/>
              </w:rPr>
              <w:t xml:space="preserve"> ir pandemijos iššūkius</w:t>
            </w:r>
            <w:r w:rsidR="009B247D" w:rsidRPr="00FC385E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14:paraId="67B5078E" w14:textId="6360843E" w:rsidR="00E96D0B" w:rsidRPr="00871BE8" w:rsidRDefault="000964F9" w:rsidP="008303B5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E96D0B" w:rsidRPr="00871BE8">
              <w:rPr>
                <w:rFonts w:ascii="Times New Roman" w:hAnsi="Times New Roman" w:cs="Times New Roman"/>
                <w:bCs/>
                <w:szCs w:val="22"/>
              </w:rPr>
              <w:t>Nepakankamai išplėtota KKI tinklaveika</w:t>
            </w:r>
            <w:r w:rsidR="00FC385E">
              <w:rPr>
                <w:rFonts w:ascii="Times New Roman" w:hAnsi="Times New Roman" w:cs="Times New Roman"/>
                <w:bCs/>
                <w:szCs w:val="22"/>
              </w:rPr>
              <w:t>, tarptautinis</w:t>
            </w:r>
            <w:r w:rsidR="00E96D0B" w:rsidRPr="00871BE8">
              <w:rPr>
                <w:rFonts w:ascii="Times New Roman" w:hAnsi="Times New Roman" w:cs="Times New Roman"/>
                <w:bCs/>
                <w:szCs w:val="22"/>
              </w:rPr>
              <w:t xml:space="preserve"> ir tarpsektorinis bendradarbiavimas </w:t>
            </w:r>
            <w:r w:rsidR="00FC385E">
              <w:rPr>
                <w:rFonts w:ascii="Times New Roman" w:hAnsi="Times New Roman" w:cs="Times New Roman"/>
                <w:bCs/>
                <w:szCs w:val="22"/>
              </w:rPr>
              <w:t>neužtikrina tarptautinio KKI konkurencingumo</w:t>
            </w:r>
            <w:r w:rsidR="009B247D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14:paraId="26EFB8CA" w14:textId="08BE386F" w:rsidR="00E96D0B" w:rsidRDefault="000964F9" w:rsidP="008303B5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E96D0B" w:rsidRPr="00871BE8">
              <w:rPr>
                <w:rFonts w:ascii="Times New Roman" w:hAnsi="Times New Roman" w:cs="Times New Roman"/>
                <w:bCs/>
                <w:szCs w:val="22"/>
              </w:rPr>
              <w:t xml:space="preserve">Kompetencijų ir gebėjimų efektyviai </w:t>
            </w:r>
            <w:r w:rsidR="00FC385E">
              <w:rPr>
                <w:rFonts w:ascii="Times New Roman" w:hAnsi="Times New Roman" w:cs="Times New Roman"/>
                <w:bCs/>
                <w:szCs w:val="22"/>
              </w:rPr>
              <w:t xml:space="preserve">plėtoti ir </w:t>
            </w:r>
            <w:r w:rsidR="00E96D0B" w:rsidRPr="00871BE8">
              <w:rPr>
                <w:rFonts w:ascii="Times New Roman" w:hAnsi="Times New Roman" w:cs="Times New Roman"/>
                <w:bCs/>
                <w:szCs w:val="22"/>
              </w:rPr>
              <w:t xml:space="preserve">naudoti </w:t>
            </w:r>
            <w:r w:rsidR="00FC385E">
              <w:rPr>
                <w:rFonts w:ascii="Times New Roman" w:hAnsi="Times New Roman" w:cs="Times New Roman"/>
                <w:bCs/>
                <w:szCs w:val="22"/>
              </w:rPr>
              <w:t>KKI</w:t>
            </w:r>
            <w:r w:rsidR="00E96D0B" w:rsidRPr="00871BE8">
              <w:rPr>
                <w:rFonts w:ascii="Times New Roman" w:hAnsi="Times New Roman" w:cs="Times New Roman"/>
                <w:bCs/>
                <w:szCs w:val="22"/>
              </w:rPr>
              <w:t xml:space="preserve"> potencialą ir susijusių su rinkų pažinimu, eksporto plėtros, inovacijų ir verslo sprendinių diegimu stoka.</w:t>
            </w:r>
          </w:p>
          <w:p w14:paraId="6671B4C8" w14:textId="0487C21C" w:rsidR="00FC385E" w:rsidRPr="00871BE8" w:rsidRDefault="000964F9" w:rsidP="00FC385E">
            <w:pPr>
              <w:pStyle w:val="ListParagraph"/>
              <w:numPr>
                <w:ilvl w:val="2"/>
                <w:numId w:val="7"/>
              </w:numPr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FC385E" w:rsidRPr="00871BE8">
              <w:rPr>
                <w:rFonts w:ascii="Times New Roman" w:hAnsi="Times New Roman" w:cs="Times New Roman"/>
                <w:bCs/>
                <w:szCs w:val="22"/>
              </w:rPr>
              <w:t>Finansavimo šaltinių, įskaitant finansines priemones (</w:t>
            </w:r>
            <w:proofErr w:type="spellStart"/>
            <w:r w:rsidR="00FC385E" w:rsidRPr="00871BE8">
              <w:rPr>
                <w:rFonts w:ascii="Times New Roman" w:hAnsi="Times New Roman" w:cs="Times New Roman"/>
                <w:bCs/>
                <w:szCs w:val="22"/>
              </w:rPr>
              <w:t>ak</w:t>
            </w:r>
            <w:r w:rsidR="00FC385E">
              <w:rPr>
                <w:rFonts w:ascii="Times New Roman" w:hAnsi="Times New Roman" w:cs="Times New Roman"/>
                <w:bCs/>
                <w:szCs w:val="22"/>
              </w:rPr>
              <w:t>c</w:t>
            </w:r>
            <w:r w:rsidR="00FC385E" w:rsidRPr="00871BE8">
              <w:rPr>
                <w:rFonts w:ascii="Times New Roman" w:hAnsi="Times New Roman" w:cs="Times New Roman"/>
                <w:bCs/>
                <w:szCs w:val="22"/>
              </w:rPr>
              <w:t>eleravimo</w:t>
            </w:r>
            <w:proofErr w:type="spellEnd"/>
            <w:r w:rsidR="00FC385E" w:rsidRPr="00871BE8">
              <w:rPr>
                <w:rFonts w:ascii="Times New Roman" w:hAnsi="Times New Roman" w:cs="Times New Roman"/>
                <w:bCs/>
                <w:szCs w:val="22"/>
              </w:rPr>
              <w:t xml:space="preserve"> fondų, rizikos kapitalo, paskolų, garantijų ir kt.) prieinamumo</w:t>
            </w:r>
            <w:r w:rsidR="00FC385E">
              <w:rPr>
                <w:rFonts w:ascii="Times New Roman" w:hAnsi="Times New Roman" w:cs="Times New Roman"/>
                <w:bCs/>
                <w:szCs w:val="22"/>
              </w:rPr>
              <w:t xml:space="preserve"> trūkumas.</w:t>
            </w:r>
          </w:p>
          <w:p w14:paraId="79BCB33D" w14:textId="033520FA" w:rsidR="0041639B" w:rsidRPr="008A5A84" w:rsidRDefault="00E96D0B" w:rsidP="008A5A84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Nesisteminga </w:t>
            </w:r>
            <w:r w:rsidR="00FC385E">
              <w:rPr>
                <w:rFonts w:ascii="Times New Roman" w:hAnsi="Times New Roman" w:cs="Times New Roman"/>
                <w:b/>
                <w:szCs w:val="22"/>
              </w:rPr>
              <w:t xml:space="preserve">ir neišsami 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KKI sektoriaus duomenų stebėsena </w:t>
            </w:r>
            <w:r w:rsidR="00FC385E">
              <w:rPr>
                <w:rFonts w:ascii="Times New Roman" w:hAnsi="Times New Roman" w:cs="Times New Roman"/>
                <w:b/>
                <w:szCs w:val="22"/>
              </w:rPr>
              <w:t>neužtikrina veiksmingų ir savalaikių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 intervencij</w:t>
            </w:r>
            <w:r w:rsidR="00FC385E">
              <w:rPr>
                <w:rFonts w:ascii="Times New Roman" w:hAnsi="Times New Roman" w:cs="Times New Roman"/>
                <w:b/>
                <w:szCs w:val="22"/>
              </w:rPr>
              <w:t>ų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="00C340D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C340DA" w:rsidRPr="004C210D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Priežasti</w:t>
            </w:r>
            <w:r w:rsidR="00DB1F7B" w:rsidRPr="004C210D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es sprendimo veiklos nepatenka į plėtros programos apimtį ir priežastis</w:t>
            </w:r>
            <w:r w:rsidR="00C340DA" w:rsidRPr="004C210D">
              <w:rPr>
                <w:rFonts w:ascii="Times New Roman" w:hAnsi="Times New Roman" w:cs="Times New Roman"/>
                <w:bCs/>
                <w:i/>
                <w:iCs/>
                <w:szCs w:val="22"/>
              </w:rPr>
              <w:t xml:space="preserve"> sprendžiama tęsiant kultūros statistikos sistemos tobulinimo procesą</w:t>
            </w:r>
            <w:r w:rsidR="00DB1F7B" w:rsidRPr="004C210D">
              <w:rPr>
                <w:rFonts w:ascii="Times New Roman" w:hAnsi="Times New Roman" w:cs="Times New Roman"/>
                <w:bCs/>
                <w:i/>
                <w:iCs/>
                <w:szCs w:val="22"/>
              </w:rPr>
              <w:t>.</w:t>
            </w:r>
          </w:p>
        </w:tc>
      </w:tr>
      <w:tr w:rsidR="00B9234C" w:rsidRPr="00871BE8" w14:paraId="5168E8FC" w14:textId="77777777" w:rsidTr="28C1312A">
        <w:trPr>
          <w:trHeight w:val="70"/>
        </w:trPr>
        <w:tc>
          <w:tcPr>
            <w:tcW w:w="15295" w:type="dxa"/>
            <w:shd w:val="clear" w:color="auto" w:fill="auto"/>
          </w:tcPr>
          <w:p w14:paraId="1D7262B6" w14:textId="54131820" w:rsidR="00B9234C" w:rsidRPr="00871BE8" w:rsidRDefault="00B9234C" w:rsidP="00B9234C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Priemon</w:t>
            </w:r>
            <w:r w:rsidR="007D175D">
              <w:rPr>
                <w:rFonts w:ascii="Times New Roman" w:hAnsi="Times New Roman" w:cs="Times New Roman"/>
                <w:b/>
                <w:szCs w:val="22"/>
              </w:rPr>
              <w:t>ė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14:paraId="0E6B9CBE" w14:textId="4ED497BE" w:rsidR="00E54A9B" w:rsidRPr="00D8127F" w:rsidRDefault="34DECA29" w:rsidP="2BF0DB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7C1706E8">
              <w:rPr>
                <w:rFonts w:ascii="Times New Roman" w:hAnsi="Times New Roman" w:cs="Times New Roman"/>
                <w:lang w:eastAsia="lt-LT"/>
              </w:rPr>
              <w:t>KKI plėtra, skatinanti konkurencingumą ir pridėtinės vertės kūrimą</w:t>
            </w:r>
            <w:r w:rsidR="50D33540" w:rsidRPr="7C1706E8">
              <w:rPr>
                <w:rFonts w:ascii="Times New Roman" w:hAnsi="Times New Roman" w:cs="Times New Roman"/>
                <w:lang w:eastAsia="lt-LT"/>
              </w:rPr>
              <w:t xml:space="preserve">. </w:t>
            </w:r>
            <w:r w:rsidR="50D33540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(</w:t>
            </w:r>
            <w:r w:rsidR="3204FB92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S</w:t>
            </w:r>
            <w:r w:rsidR="50D33540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prendžia 1</w:t>
            </w:r>
            <w:r w:rsidR="1A98CDF8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.1 priežastį</w:t>
            </w:r>
            <w:r w:rsidR="53E5095D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su </w:t>
            </w:r>
            <w:proofErr w:type="spellStart"/>
            <w:r w:rsidR="53E5095D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subpr</w:t>
            </w:r>
            <w:r w:rsidR="3CA10312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iežastimis</w:t>
            </w:r>
            <w:proofErr w:type="spellEnd"/>
            <w:r w:rsidR="50D33540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)</w:t>
            </w:r>
            <w:r w:rsidR="1A98CDF8" w:rsidRPr="7C1706E8">
              <w:rPr>
                <w:rFonts w:ascii="Times New Roman" w:hAnsi="Times New Roman" w:cs="Times New Roman"/>
                <w:i/>
                <w:iCs/>
                <w:lang w:eastAsia="lt-LT"/>
              </w:rPr>
              <w:t>.</w:t>
            </w:r>
          </w:p>
        </w:tc>
      </w:tr>
      <w:tr w:rsidR="003C3047" w:rsidRPr="00871BE8" w14:paraId="22A216E4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5E17C3B3" w14:textId="314A7217" w:rsidR="003C3047" w:rsidRPr="00871BE8" w:rsidRDefault="003C3047" w:rsidP="00E71DA2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NPP uždavinys, kodas ir pavadinimas </w:t>
            </w:r>
          </w:p>
          <w:p w14:paraId="4722F1C6" w14:textId="33370D31" w:rsidR="00E81B51" w:rsidRPr="00871BE8" w:rsidRDefault="007E7A10" w:rsidP="00482E10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4.1 uždavinys.</w:t>
            </w:r>
            <w:r w:rsidRPr="00871BE8">
              <w:rPr>
                <w:rFonts w:ascii="Times New Roman" w:hAnsi="Times New Roman" w:cs="Times New Roman"/>
                <w:bCs/>
                <w:szCs w:val="22"/>
                <w:lang w:eastAsia="lt-LT"/>
              </w:rPr>
              <w:t xml:space="preserve"> </w:t>
            </w:r>
            <w:r w:rsidRPr="00871BE8">
              <w:rPr>
                <w:rFonts w:ascii="Times New Roman" w:hAnsi="Times New Roman" w:cs="Times New Roman"/>
                <w:bCs/>
                <w:szCs w:val="22"/>
              </w:rPr>
              <w:t>Skatinti gyventojus dalyvauti kultūrinėse veiklose ir prisidėti prie kultūros plėtros</w:t>
            </w:r>
            <w:r w:rsidR="00C121A1" w:rsidRPr="00871BE8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</w:tc>
      </w:tr>
      <w:tr w:rsidR="00A173DA" w:rsidRPr="00871BE8" w14:paraId="53923076" w14:textId="77777777" w:rsidTr="28C1312A">
        <w:trPr>
          <w:trHeight w:val="70"/>
        </w:trPr>
        <w:tc>
          <w:tcPr>
            <w:tcW w:w="15295" w:type="dxa"/>
            <w:shd w:val="clear" w:color="auto" w:fill="auto"/>
          </w:tcPr>
          <w:p w14:paraId="59C093AD" w14:textId="77777777" w:rsidR="00C95A79" w:rsidRPr="00A379B3" w:rsidRDefault="7A4510C9" w:rsidP="7C1706E8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7C1706E8">
              <w:rPr>
                <w:rFonts w:ascii="Times New Roman" w:hAnsi="Times New Roman" w:cs="Times New Roman"/>
                <w:b/>
                <w:bCs/>
                <w:szCs w:val="22"/>
              </w:rPr>
              <w:t>NPP uždavinio rodikliai</w:t>
            </w:r>
            <w:r w:rsidRPr="7C1706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7C1706E8">
              <w:rPr>
                <w:rFonts w:ascii="Times New Roman" w:hAnsi="Times New Roman" w:cs="Times New Roman"/>
                <w:b/>
                <w:bCs/>
                <w:szCs w:val="22"/>
              </w:rPr>
              <w:t>ir (ar) tikslo rodiklis</w:t>
            </w:r>
          </w:p>
          <w:p w14:paraId="38D62D7B" w14:textId="2EB780EB" w:rsidR="00C837D1" w:rsidRPr="00A379B3" w:rsidRDefault="0C623698" w:rsidP="7C1706E8">
            <w:pPr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7C1706E8">
              <w:rPr>
                <w:rFonts w:ascii="Times New Roman" w:hAnsi="Times New Roman" w:cs="Times New Roman"/>
                <w:szCs w:val="22"/>
              </w:rPr>
              <w:t>2.7.1. Gyventojų, kurie yra dalyvavę mecenatystės, labdaros, sava</w:t>
            </w:r>
            <w:r w:rsidR="565D4663" w:rsidRPr="7C1706E8">
              <w:rPr>
                <w:rFonts w:ascii="Times New Roman" w:hAnsi="Times New Roman" w:cs="Times New Roman"/>
                <w:szCs w:val="22"/>
              </w:rPr>
              <w:t>n</w:t>
            </w:r>
            <w:r w:rsidRPr="7C1706E8">
              <w:rPr>
                <w:rFonts w:ascii="Times New Roman" w:hAnsi="Times New Roman" w:cs="Times New Roman"/>
                <w:szCs w:val="22"/>
              </w:rPr>
              <w:t>orystės, bendruomeninėje veikloje</w:t>
            </w:r>
            <w:r w:rsidR="3B74E792" w:rsidRPr="7C1706E8">
              <w:rPr>
                <w:rFonts w:ascii="Times New Roman" w:hAnsi="Times New Roman" w:cs="Times New Roman"/>
                <w:szCs w:val="22"/>
              </w:rPr>
              <w:t>,</w:t>
            </w:r>
            <w:r w:rsidRPr="7C1706E8">
              <w:rPr>
                <w:rFonts w:ascii="Times New Roman" w:hAnsi="Times New Roman" w:cs="Times New Roman"/>
                <w:szCs w:val="22"/>
              </w:rPr>
              <w:t xml:space="preserve"> dalis (2025 m. – 22</w:t>
            </w:r>
            <w:r w:rsidR="65EBD2EC" w:rsidRPr="7C1706E8">
              <w:rPr>
                <w:rFonts w:ascii="Times New Roman" w:hAnsi="Times New Roman" w:cs="Times New Roman"/>
                <w:szCs w:val="22"/>
              </w:rPr>
              <w:t>,</w:t>
            </w:r>
            <w:r w:rsidR="1F4455B9" w:rsidRPr="7C1706E8">
              <w:rPr>
                <w:rFonts w:ascii="Times New Roman" w:hAnsi="Times New Roman" w:cs="Times New Roman"/>
                <w:szCs w:val="22"/>
              </w:rPr>
              <w:t>7</w:t>
            </w:r>
            <w:r w:rsidRPr="7C1706E8">
              <w:rPr>
                <w:rFonts w:ascii="Times New Roman" w:hAnsi="Times New Roman" w:cs="Times New Roman"/>
                <w:szCs w:val="22"/>
              </w:rPr>
              <w:t xml:space="preserve"> proc.; 2030 m. – 25 proc.);</w:t>
            </w:r>
          </w:p>
          <w:p w14:paraId="798CBF06" w14:textId="4CCE2339" w:rsidR="00B20100" w:rsidRPr="00A379B3" w:rsidRDefault="3713708C" w:rsidP="7C1706E8">
            <w:pPr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>4.1.1. Privačių namų ūkių galutinių vartojimo išlaidų laisvalaikiui ir kultūrai dalis nuo visų išlaidų (2025 m. – 9,4 proc.</w:t>
            </w:r>
            <w:r w:rsidR="0EA70809" w:rsidRPr="7C1706E8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 2030 – 10 proc.)</w:t>
            </w:r>
            <w:r w:rsidR="0EA70809" w:rsidRPr="7C1706E8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27894C4E" w14:textId="1B2A1B53" w:rsidR="00B20100" w:rsidRPr="00A379B3" w:rsidRDefault="3713708C" w:rsidP="7C1706E8">
            <w:pPr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lastRenderedPageBreak/>
              <w:t>4.1.2. Gyventojų, esančių mažiau palankiame kultūriniame kontekste, dalyvaujančių kultūrinėse veiklose, dali</w:t>
            </w:r>
            <w:r w:rsidR="65EBD2EC" w:rsidRPr="7C1706E8">
              <w:rPr>
                <w:rFonts w:ascii="Times New Roman" w:hAnsi="Times New Roman" w:cs="Times New Roman"/>
                <w:szCs w:val="22"/>
                <w:lang w:eastAsia="lt-LT"/>
              </w:rPr>
              <w:t>s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 (2025 m. – </w:t>
            </w:r>
            <w:r w:rsidR="65EBD2EC" w:rsidRPr="7C1706E8">
              <w:rPr>
                <w:rFonts w:ascii="Times New Roman" w:hAnsi="Times New Roman" w:cs="Times New Roman"/>
                <w:szCs w:val="22"/>
                <w:lang w:eastAsia="lt-LT"/>
              </w:rPr>
              <w:t>9,9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 proc</w:t>
            </w:r>
            <w:r w:rsidR="65EBD2EC" w:rsidRPr="7C1706E8">
              <w:rPr>
                <w:rFonts w:ascii="Times New Roman" w:hAnsi="Times New Roman" w:cs="Times New Roman"/>
                <w:szCs w:val="22"/>
                <w:lang w:eastAsia="lt-LT"/>
              </w:rPr>
              <w:t>.</w:t>
            </w:r>
            <w:r w:rsidR="0EA70809" w:rsidRPr="7C1706E8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 2030 –</w:t>
            </w:r>
            <w:r w:rsidR="17DF53B8"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="65EBD2EC" w:rsidRPr="7C1706E8">
              <w:rPr>
                <w:rFonts w:ascii="Times New Roman" w:hAnsi="Times New Roman" w:cs="Times New Roman"/>
                <w:szCs w:val="22"/>
                <w:lang w:eastAsia="lt-LT"/>
              </w:rPr>
              <w:t>12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 proc</w:t>
            </w:r>
            <w:r w:rsidR="65EBD2EC" w:rsidRPr="7C1706E8">
              <w:rPr>
                <w:rFonts w:ascii="Times New Roman" w:hAnsi="Times New Roman" w:cs="Times New Roman"/>
                <w:szCs w:val="22"/>
                <w:lang w:eastAsia="lt-LT"/>
              </w:rPr>
              <w:t>.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>)</w:t>
            </w:r>
            <w:r w:rsidR="0EA70809" w:rsidRPr="7C1706E8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4E670780" w14:textId="2C1365A2" w:rsidR="00A12A85" w:rsidRPr="00A379B3" w:rsidRDefault="3713708C" w:rsidP="7C1706E8">
            <w:pPr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>4.1.3. Kultūros įstaigų pajamos, gaunamos iš fizinių ir privačių juridinių asmenų paramos (2025 m. – 6 mln. Eur.</w:t>
            </w:r>
            <w:r w:rsidR="0EA70809" w:rsidRPr="7C1706E8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 2030 – 7 mln. Eur.)</w:t>
            </w:r>
            <w:r w:rsidR="572AFC85" w:rsidRPr="7C1706E8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3C3A5334" w14:textId="3966FBEB" w:rsidR="00A12A85" w:rsidRPr="00A379B3" w:rsidRDefault="572AFC85" w:rsidP="7C1706E8">
            <w:pPr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7C1706E8">
              <w:rPr>
                <w:rFonts w:ascii="Times New Roman" w:hAnsi="Times New Roman" w:cs="Times New Roman"/>
                <w:szCs w:val="22"/>
                <w:lang w:val="lt"/>
              </w:rPr>
              <w:t>4.1.4. Kultūros paslaugų tolygumas ir prieinamumas regionų gyventojams (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>2025 m. – 87 proc.; 2030 – 95 proc.)</w:t>
            </w:r>
            <w:r w:rsidR="3958BEA5" w:rsidRPr="7C1706E8">
              <w:rPr>
                <w:rFonts w:ascii="Times New Roman" w:hAnsi="Times New Roman" w:cs="Times New Roman"/>
                <w:szCs w:val="22"/>
                <w:lang w:eastAsia="lt-LT"/>
              </w:rPr>
              <w:t>;</w:t>
            </w:r>
          </w:p>
          <w:p w14:paraId="22954559" w14:textId="5FFA74C8" w:rsidR="00A12A85" w:rsidRPr="00A379B3" w:rsidRDefault="3958BEA5" w:rsidP="390E373F">
            <w:pPr>
              <w:jc w:val="both"/>
              <w:rPr>
                <w:rFonts w:ascii="Times New Roman" w:hAnsi="Times New Roman" w:cs="Times New Roman"/>
                <w:szCs w:val="22"/>
                <w:lang w:eastAsia="lt-LT"/>
              </w:rPr>
            </w:pP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 xml:space="preserve">10.3.2. </w:t>
            </w:r>
            <w:r w:rsidRPr="7C1706E8">
              <w:rPr>
                <w:rFonts w:ascii="Times New Roman" w:hAnsi="Times New Roman" w:cs="Times New Roman"/>
                <w:szCs w:val="22"/>
                <w:lang w:val="lt"/>
              </w:rPr>
              <w:t xml:space="preserve">Visuomenės informavimo priemonių naudojimo raštingumo lygis (2025 m. </w:t>
            </w:r>
            <w:r w:rsidR="00DB3BC5" w:rsidRPr="7C1706E8">
              <w:rPr>
                <w:rFonts w:ascii="Times New Roman" w:hAnsi="Times New Roman" w:cs="Times New Roman"/>
                <w:szCs w:val="22"/>
                <w:lang w:eastAsia="lt-LT"/>
              </w:rPr>
              <w:t>–</w:t>
            </w:r>
            <w:r w:rsidR="00DB3BC5">
              <w:rPr>
                <w:rFonts w:ascii="Times New Roman" w:hAnsi="Times New Roman" w:cs="Times New Roman"/>
                <w:szCs w:val="22"/>
                <w:lang w:eastAsia="lt-LT"/>
              </w:rPr>
              <w:t xml:space="preserve"> </w:t>
            </w:r>
            <w:r w:rsidRPr="7C1706E8">
              <w:rPr>
                <w:rFonts w:ascii="Times New Roman" w:hAnsi="Times New Roman" w:cs="Times New Roman"/>
                <w:szCs w:val="22"/>
                <w:lang w:val="lt"/>
              </w:rPr>
              <w:t xml:space="preserve">41,3 proc.; </w:t>
            </w:r>
            <w:r w:rsidRPr="7C1706E8">
              <w:rPr>
                <w:rFonts w:ascii="Times New Roman" w:hAnsi="Times New Roman" w:cs="Times New Roman"/>
                <w:szCs w:val="22"/>
                <w:lang w:eastAsia="lt-LT"/>
              </w:rPr>
              <w:t>2030 – 47 proc.)</w:t>
            </w:r>
            <w:r w:rsidR="3BF2950F" w:rsidRPr="7C1706E8">
              <w:rPr>
                <w:rFonts w:ascii="Times New Roman" w:hAnsi="Times New Roman" w:cs="Times New Roman"/>
                <w:szCs w:val="22"/>
                <w:lang w:eastAsia="lt-LT"/>
              </w:rPr>
              <w:t>.</w:t>
            </w:r>
          </w:p>
        </w:tc>
      </w:tr>
      <w:tr w:rsidR="003C3047" w:rsidRPr="00871BE8" w14:paraId="3DF82CF6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77E24183" w14:textId="11CCF1C3" w:rsidR="00B53B81" w:rsidRPr="00871BE8" w:rsidRDefault="006B4EED" w:rsidP="008303B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lastRenderedPageBreak/>
              <w:t>P</w:t>
            </w:r>
            <w:r w:rsidR="003C3047" w:rsidRPr="00871BE8">
              <w:rPr>
                <w:rFonts w:ascii="Times New Roman" w:hAnsi="Times New Roman" w:cs="Times New Roman"/>
                <w:b/>
                <w:szCs w:val="22"/>
              </w:rPr>
              <w:t>roblema:</w:t>
            </w:r>
            <w:r w:rsidR="003C3047" w:rsidRPr="00871B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E0CD9" w:rsidRPr="00871BE8">
              <w:rPr>
                <w:rFonts w:ascii="Times New Roman" w:hAnsi="Times New Roman" w:cs="Times New Roman"/>
                <w:b/>
                <w:szCs w:val="22"/>
              </w:rPr>
              <w:t xml:space="preserve">Neaktyvus gyventojų dalyvavimas kultūroje ir netolygus jos vartojimas </w:t>
            </w:r>
            <w:r w:rsidR="00C340DA">
              <w:rPr>
                <w:rFonts w:ascii="Times New Roman" w:hAnsi="Times New Roman" w:cs="Times New Roman"/>
                <w:b/>
                <w:szCs w:val="22"/>
              </w:rPr>
              <w:t>nesutelkia</w:t>
            </w:r>
            <w:r w:rsidR="00DE0CD9" w:rsidRPr="00871BE8">
              <w:rPr>
                <w:rFonts w:ascii="Times New Roman" w:hAnsi="Times New Roman" w:cs="Times New Roman"/>
                <w:b/>
                <w:szCs w:val="22"/>
              </w:rPr>
              <w:t xml:space="preserve"> kultūros potencialo sąmoningai visuomenei ugdyti</w:t>
            </w:r>
            <w:r w:rsidR="00CB5A04" w:rsidRPr="00871BE8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</w:tr>
      <w:tr w:rsidR="00536E6B" w:rsidRPr="00871BE8" w14:paraId="1FB9E733" w14:textId="77777777" w:rsidTr="28C1312A">
        <w:trPr>
          <w:trHeight w:val="70"/>
        </w:trPr>
        <w:tc>
          <w:tcPr>
            <w:tcW w:w="15295" w:type="dxa"/>
          </w:tcPr>
          <w:p w14:paraId="74E1A245" w14:textId="799DE6C7" w:rsidR="00BF77F7" w:rsidRPr="00871BE8" w:rsidRDefault="00536E6B" w:rsidP="0008625D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Spręstinos problemos priežastys: </w:t>
            </w:r>
          </w:p>
          <w:p w14:paraId="7A5C2577" w14:textId="724AF2DF" w:rsidR="00DE0CD9" w:rsidRPr="00871BE8" w:rsidRDefault="00DE0CD9" w:rsidP="008303B5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Neužtikrintas kokybiškų, profesionalių, įvairių kultūros paslaugų tolygus prieinamumas ir pritaikymas tikslinių grupių poreikiams riboja gyventojų </w:t>
            </w:r>
            <w:proofErr w:type="spellStart"/>
            <w:r w:rsidRPr="00871BE8">
              <w:rPr>
                <w:rFonts w:ascii="Times New Roman" w:hAnsi="Times New Roman" w:cs="Times New Roman"/>
                <w:b/>
                <w:szCs w:val="22"/>
              </w:rPr>
              <w:t>įtrauktį</w:t>
            </w:r>
            <w:proofErr w:type="spellEnd"/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 į kultūrinį gyvenimą</w:t>
            </w:r>
            <w:r w:rsidR="00405DA9" w:rsidRPr="00871BE8"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42BECA43" w14:textId="3EDB4C20" w:rsidR="00DE0CD9" w:rsidRDefault="000964F9" w:rsidP="1A7D8279">
            <w:pPr>
              <w:pStyle w:val="ListParagraph"/>
              <w:numPr>
                <w:ilvl w:val="2"/>
                <w:numId w:val="9"/>
              </w:numPr>
              <w:spacing w:line="259" w:lineRule="auto"/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6B114E60" w:rsidRPr="1A7D8279">
              <w:rPr>
                <w:rFonts w:ascii="Times New Roman" w:hAnsi="Times New Roman" w:cs="Times New Roman"/>
              </w:rPr>
              <w:t>Aukštos meninės vertės nacionalinio ir tarptautinio lygmens paslaugos netolygiai prieinamos visoje šalies teritorijoje ir skirtingoms visuomenės grupėms</w:t>
            </w:r>
            <w:r w:rsidR="5F43DCC4" w:rsidRPr="1A7D8279">
              <w:rPr>
                <w:rFonts w:ascii="Times New Roman" w:hAnsi="Times New Roman" w:cs="Times New Roman"/>
              </w:rPr>
              <w:t>.</w:t>
            </w:r>
            <w:r w:rsidR="455BA9D2" w:rsidRPr="1A7D82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8EA5B43" w:rsidRPr="1A7D8279">
              <w:rPr>
                <w:rFonts w:ascii="Times New Roman" w:hAnsi="Times New Roman" w:cs="Times New Roman"/>
                <w:i/>
                <w:iCs/>
              </w:rPr>
              <w:t>S</w:t>
            </w:r>
            <w:r w:rsidR="455BA9D2" w:rsidRPr="1A7D8279">
              <w:rPr>
                <w:rFonts w:ascii="Times New Roman" w:hAnsi="Times New Roman" w:cs="Times New Roman"/>
                <w:i/>
                <w:iCs/>
              </w:rPr>
              <w:t>ubpriežastis</w:t>
            </w:r>
            <w:proofErr w:type="spellEnd"/>
            <w:r w:rsidR="455BA9D2" w:rsidRPr="1A7D82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8EA5B43" w:rsidRPr="1A7D8279">
              <w:rPr>
                <w:rFonts w:ascii="Times New Roman" w:hAnsi="Times New Roman" w:cs="Times New Roman"/>
                <w:i/>
                <w:iCs/>
              </w:rPr>
              <w:t xml:space="preserve">iš dalies </w:t>
            </w:r>
            <w:r w:rsidR="7DC1EED7" w:rsidRPr="1A7D8279">
              <w:rPr>
                <w:rFonts w:ascii="Times New Roman" w:hAnsi="Times New Roman" w:cs="Times New Roman"/>
                <w:i/>
                <w:iCs/>
              </w:rPr>
              <w:t xml:space="preserve">bus </w:t>
            </w:r>
            <w:r w:rsidR="08EA5B43" w:rsidRPr="1A7D8279">
              <w:rPr>
                <w:rFonts w:ascii="Times New Roman" w:hAnsi="Times New Roman" w:cs="Times New Roman"/>
                <w:i/>
                <w:iCs/>
              </w:rPr>
              <w:t>sprendžiama</w:t>
            </w:r>
            <w:r w:rsidR="455BA9D2" w:rsidRPr="1A7D82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455BA9D2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2021</w:t>
            </w:r>
            <w:r w:rsidR="00D56D4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="455BA9D2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2030 m. Regionų plėtros programo</w:t>
            </w:r>
            <w:r w:rsidR="08EA5B43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 veiklomis.</w:t>
            </w:r>
          </w:p>
          <w:p w14:paraId="39CA6DD7" w14:textId="5B877CE5" w:rsidR="00DE0CD9" w:rsidRPr="00871BE8" w:rsidRDefault="000964F9" w:rsidP="1A7D8279">
            <w:pPr>
              <w:pStyle w:val="ListParagraph"/>
              <w:numPr>
                <w:ilvl w:val="2"/>
                <w:numId w:val="9"/>
              </w:numPr>
              <w:jc w:val="both"/>
              <w:rPr>
                <w:rFonts w:eastAsiaTheme="minorEastAsia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6B114E60" w:rsidRPr="1A7D8279">
              <w:rPr>
                <w:rFonts w:ascii="Times New Roman" w:hAnsi="Times New Roman" w:cs="Times New Roman"/>
              </w:rPr>
              <w:t>Kultūros turinio raiškos formos ir sklaidos priemonės neatitinka individualių vartotojų bei socialinių grupių poreikių ir lūkesčių</w:t>
            </w:r>
            <w:r w:rsidR="5F43DCC4" w:rsidRPr="1A7D8279">
              <w:rPr>
                <w:rFonts w:ascii="Times New Roman" w:hAnsi="Times New Roman" w:cs="Times New Roman"/>
              </w:rPr>
              <w:t>.</w:t>
            </w:r>
            <w:r w:rsidR="0725A141" w:rsidRPr="1A7D8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8EA5B43" w:rsidRPr="1A7D8279">
              <w:rPr>
                <w:rFonts w:ascii="Times New Roman" w:hAnsi="Times New Roman" w:cs="Times New Roman"/>
                <w:i/>
                <w:iCs/>
              </w:rPr>
              <w:t>S</w:t>
            </w:r>
            <w:r w:rsidR="0725A141" w:rsidRPr="1A7D8279">
              <w:rPr>
                <w:rFonts w:ascii="Times New Roman" w:hAnsi="Times New Roman" w:cs="Times New Roman"/>
                <w:i/>
                <w:iCs/>
              </w:rPr>
              <w:t>ubpriežastis</w:t>
            </w:r>
            <w:proofErr w:type="spellEnd"/>
            <w:r w:rsidR="0725A141" w:rsidRPr="1A7D82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8EA5B43" w:rsidRPr="1A7D8279">
              <w:rPr>
                <w:rFonts w:ascii="Times New Roman" w:hAnsi="Times New Roman" w:cs="Times New Roman"/>
                <w:i/>
                <w:iCs/>
              </w:rPr>
              <w:t>iš dalies</w:t>
            </w:r>
            <w:r w:rsidR="0725A141" w:rsidRPr="1A7D82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7A21F3F0" w:rsidRPr="1A7D8279">
              <w:rPr>
                <w:rFonts w:ascii="Times New Roman" w:hAnsi="Times New Roman" w:cs="Times New Roman"/>
                <w:i/>
                <w:iCs/>
              </w:rPr>
              <w:t>bus</w:t>
            </w:r>
            <w:r w:rsidR="0725A141" w:rsidRPr="1A7D8279">
              <w:rPr>
                <w:rFonts w:ascii="Times New Roman" w:hAnsi="Times New Roman" w:cs="Times New Roman"/>
                <w:i/>
                <w:iCs/>
              </w:rPr>
              <w:t xml:space="preserve"> sprendžiam</w:t>
            </w:r>
            <w:r w:rsidR="08EA5B43" w:rsidRPr="1A7D8279">
              <w:rPr>
                <w:rFonts w:ascii="Times New Roman" w:hAnsi="Times New Roman" w:cs="Times New Roman"/>
                <w:i/>
                <w:iCs/>
              </w:rPr>
              <w:t>a</w:t>
            </w:r>
            <w:r w:rsidR="0725A141" w:rsidRPr="1A7D827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725A141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2021</w:t>
            </w:r>
            <w:r w:rsidR="00D56D4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="0725A141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2030 m. Sveikatos išsaugojimo ir stiprinimo plėtros programo</w:t>
            </w:r>
            <w:r w:rsidR="08EA5B43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</w:t>
            </w:r>
            <w:r w:rsidR="2C4DF7E2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</w:t>
            </w:r>
            <w:r w:rsidR="0725A141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2021</w:t>
            </w:r>
            <w:r w:rsidR="00D56D4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="0725A141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2030 m. Socialinės </w:t>
            </w:r>
            <w:proofErr w:type="spellStart"/>
            <w:r w:rsidR="0725A141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sutelkties</w:t>
            </w:r>
            <w:proofErr w:type="spellEnd"/>
            <w:r w:rsidR="0725A141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plėtros programo</w:t>
            </w:r>
            <w:r w:rsidR="08EA5B43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</w:t>
            </w:r>
            <w:r w:rsidR="2C4DF7E2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ir 2021</w:t>
            </w:r>
            <w:r w:rsidR="00D56D4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="2C4DF7E2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2030 m. Neįgaliesiems tinkamos aplinkos visose gyvenimo srityse plėtros programo</w:t>
            </w:r>
            <w:r w:rsidR="08EA5B43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 veiklomis</w:t>
            </w:r>
            <w:r w:rsidR="2C4DF7E2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4D121F08" w14:textId="77CF3874" w:rsidR="00DE0CD9" w:rsidRPr="00E255DC" w:rsidRDefault="000964F9" w:rsidP="703B9A6C">
            <w:pPr>
              <w:pStyle w:val="ListParagraph"/>
              <w:numPr>
                <w:ilvl w:val="2"/>
                <w:numId w:val="9"/>
              </w:numPr>
              <w:ind w:left="1212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77748EA5" w:rsidRPr="703B9A6C">
              <w:rPr>
                <w:rFonts w:ascii="Times New Roman" w:hAnsi="Times New Roman" w:cs="Times New Roman"/>
              </w:rPr>
              <w:t>Fragmentiška ir menkai duomenimis grįsta kultūros raidos analizė nepagrindžia kultūros sukuriamos vertės ir neskatina kryptingo visų jos sričių vystymo</w:t>
            </w:r>
            <w:r w:rsidR="59C8DE2E" w:rsidRPr="703B9A6C">
              <w:rPr>
                <w:rFonts w:ascii="Times New Roman" w:hAnsi="Times New Roman" w:cs="Times New Roman"/>
              </w:rPr>
              <w:t>.</w:t>
            </w:r>
            <w:r w:rsidR="26743ECF" w:rsidRPr="703B9A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26743ECF" w:rsidRPr="703B9A6C">
              <w:rPr>
                <w:rFonts w:ascii="Times New Roman" w:hAnsi="Times New Roman" w:cs="Times New Roman"/>
              </w:rPr>
              <w:t>S</w:t>
            </w:r>
            <w:r w:rsidR="24D22584" w:rsidRPr="703B9A6C">
              <w:rPr>
                <w:rFonts w:ascii="Times New Roman" w:hAnsi="Times New Roman" w:cs="Times New Roman"/>
                <w:i/>
                <w:iCs/>
              </w:rPr>
              <w:t>ubp</w:t>
            </w:r>
            <w:r w:rsidR="754A153E" w:rsidRPr="703B9A6C">
              <w:rPr>
                <w:rFonts w:ascii="Times New Roman" w:hAnsi="Times New Roman" w:cs="Times New Roman"/>
                <w:i/>
                <w:iCs/>
              </w:rPr>
              <w:t>riežasties</w:t>
            </w:r>
            <w:proofErr w:type="spellEnd"/>
            <w:r w:rsidR="422A24D0" w:rsidRPr="703B9A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754A153E" w:rsidRPr="703B9A6C">
              <w:rPr>
                <w:rFonts w:ascii="Times New Roman" w:hAnsi="Times New Roman" w:cs="Times New Roman"/>
                <w:i/>
                <w:iCs/>
              </w:rPr>
              <w:t>sprendimo veiklos nepatenka į plėtros programos apimtį ir priežastis sprendžiama tęsiant kultūros statistikos sistemos tobulinimo procesą.</w:t>
            </w:r>
            <w:r w:rsidR="1B710212" w:rsidRPr="703B9A6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B3D463B" w14:textId="466AAB22" w:rsidR="00DE0CD9" w:rsidRPr="00871BE8" w:rsidRDefault="000964F9" w:rsidP="703B9A6C">
            <w:pPr>
              <w:pStyle w:val="ListParagraph"/>
              <w:numPr>
                <w:ilvl w:val="2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0CD9" w:rsidRPr="703B9A6C">
              <w:rPr>
                <w:rFonts w:ascii="Times New Roman" w:hAnsi="Times New Roman" w:cs="Times New Roman"/>
              </w:rPr>
              <w:t>Motyvuotų ir kvalifikuotų kultūros sektoriaus darbuotojų trūkumas neužtikrina kokybiškų kultūros paslaugų teikimo.</w:t>
            </w:r>
          </w:p>
          <w:p w14:paraId="08BC147D" w14:textId="1D8BF851" w:rsidR="00DE0CD9" w:rsidRPr="00871BE8" w:rsidRDefault="00DE0CD9" w:rsidP="008303B5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Kultūrinės edukacijos stoka nekuria pridėtinės vertės asmenybės tobulėjimui ir gyvenimo kokybei.</w:t>
            </w:r>
          </w:p>
          <w:p w14:paraId="326AA4BA" w14:textId="05341B4F" w:rsidR="00DE0CD9" w:rsidRPr="00871BE8" w:rsidRDefault="000964F9" w:rsidP="703B9A6C">
            <w:pPr>
              <w:pStyle w:val="ListParagraph"/>
              <w:numPr>
                <w:ilvl w:val="2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0CD9" w:rsidRPr="703B9A6C">
              <w:rPr>
                <w:rFonts w:ascii="Times New Roman" w:hAnsi="Times New Roman" w:cs="Times New Roman"/>
              </w:rPr>
              <w:t>Kultūros turinys ir meno formos nesistemingai integruotos į formalųjį švietimą</w:t>
            </w:r>
            <w:r w:rsidR="009B247D" w:rsidRPr="703B9A6C">
              <w:rPr>
                <w:rFonts w:ascii="Times New Roman" w:hAnsi="Times New Roman" w:cs="Times New Roman"/>
              </w:rPr>
              <w:t>.</w:t>
            </w:r>
          </w:p>
          <w:p w14:paraId="403E3894" w14:textId="3B086504" w:rsidR="00DE0CD9" w:rsidRPr="00871BE8" w:rsidRDefault="000964F9" w:rsidP="2BF0DB4A">
            <w:pPr>
              <w:pStyle w:val="ListParagraph"/>
              <w:numPr>
                <w:ilvl w:val="2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50613299" w:rsidRPr="703B9A6C">
              <w:rPr>
                <w:rFonts w:ascii="Times New Roman" w:hAnsi="Times New Roman" w:cs="Times New Roman"/>
              </w:rPr>
              <w:t xml:space="preserve">Kultūrinė edukacija nesistemingai derinama su neformaliuoju </w:t>
            </w:r>
            <w:r w:rsidR="4A0C5472" w:rsidRPr="703B9A6C">
              <w:rPr>
                <w:rFonts w:ascii="Times New Roman" w:hAnsi="Times New Roman" w:cs="Times New Roman"/>
              </w:rPr>
              <w:t>u</w:t>
            </w:r>
            <w:r w:rsidR="4951CD50" w:rsidRPr="703B9A6C">
              <w:rPr>
                <w:rFonts w:ascii="Times New Roman" w:hAnsi="Times New Roman" w:cs="Times New Roman"/>
              </w:rPr>
              <w:t>gdymu.</w:t>
            </w:r>
          </w:p>
          <w:p w14:paraId="2E0D6AC5" w14:textId="4C181096" w:rsidR="00DE0CD9" w:rsidRPr="00871BE8" w:rsidRDefault="000964F9" w:rsidP="09DFDDC2">
            <w:pPr>
              <w:pStyle w:val="ListParagraph"/>
              <w:numPr>
                <w:ilvl w:val="2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234A24CA" w:rsidRPr="703B9A6C">
              <w:rPr>
                <w:rFonts w:ascii="Times New Roman" w:hAnsi="Times New Roman" w:cs="Times New Roman"/>
              </w:rPr>
              <w:t>Kultūrinė edukacija nesistemingai integruojama į mokymosi visą gyvenimą programas.</w:t>
            </w:r>
          </w:p>
          <w:p w14:paraId="5CF5B5AC" w14:textId="48EA7F0B" w:rsidR="2705B386" w:rsidRDefault="300325FC" w:rsidP="703B9A6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2"/>
              </w:rPr>
            </w:pPr>
            <w:r w:rsidRPr="703B9A6C"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="4004BB06" w:rsidRPr="703B9A6C">
              <w:rPr>
                <w:rFonts w:ascii="Times New Roman" w:hAnsi="Times New Roman" w:cs="Times New Roman"/>
                <w:i/>
                <w:iCs/>
              </w:rPr>
              <w:t>2.2</w:t>
            </w:r>
            <w:r w:rsidR="5BB187A5" w:rsidRPr="703B9A6C">
              <w:rPr>
                <w:rFonts w:ascii="Times New Roman" w:hAnsi="Times New Roman" w:cs="Times New Roman"/>
                <w:i/>
                <w:iCs/>
              </w:rPr>
              <w:t xml:space="preserve"> priežastis</w:t>
            </w:r>
            <w:r w:rsidR="4004BB06" w:rsidRPr="703B9A6C">
              <w:rPr>
                <w:rFonts w:ascii="Times New Roman" w:hAnsi="Times New Roman" w:cs="Times New Roman"/>
                <w:i/>
                <w:iCs/>
              </w:rPr>
              <w:t xml:space="preserve"> ir</w:t>
            </w:r>
            <w:r w:rsidR="65ADB193" w:rsidRPr="703B9A6C">
              <w:rPr>
                <w:rFonts w:ascii="Times New Roman" w:hAnsi="Times New Roman" w:cs="Times New Roman"/>
                <w:i/>
                <w:iCs/>
              </w:rPr>
              <w:t xml:space="preserve"> 2.2.1</w:t>
            </w:r>
            <w:r w:rsidR="000964F9">
              <w:rPr>
                <w:rFonts w:ascii="Times New Roman" w:hAnsi="Times New Roman" w:cs="Times New Roman"/>
                <w:i/>
                <w:iCs/>
              </w:rPr>
              <w:t>–</w:t>
            </w:r>
            <w:r w:rsidR="65ADB193" w:rsidRPr="703B9A6C">
              <w:rPr>
                <w:rFonts w:ascii="Times New Roman" w:hAnsi="Times New Roman" w:cs="Times New Roman"/>
                <w:i/>
                <w:iCs/>
              </w:rPr>
              <w:t>2.2.3</w:t>
            </w:r>
            <w:r w:rsidR="4004BB06" w:rsidRPr="703B9A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4004BB06" w:rsidRPr="703B9A6C">
              <w:rPr>
                <w:rFonts w:ascii="Times New Roman" w:hAnsi="Times New Roman" w:cs="Times New Roman"/>
                <w:i/>
                <w:iCs/>
              </w:rPr>
              <w:t>subpriežas</w:t>
            </w:r>
            <w:r w:rsidR="00023EB4">
              <w:rPr>
                <w:rFonts w:ascii="Times New Roman" w:hAnsi="Times New Roman" w:cs="Times New Roman"/>
                <w:i/>
                <w:iCs/>
              </w:rPr>
              <w:t>tys</w:t>
            </w:r>
            <w:proofErr w:type="spellEnd"/>
            <w:r w:rsidR="00023EB4">
              <w:rPr>
                <w:rFonts w:ascii="Times New Roman" w:hAnsi="Times New Roman" w:cs="Times New Roman"/>
                <w:i/>
                <w:iCs/>
              </w:rPr>
              <w:t xml:space="preserve"> turi būti sprendžiamos</w:t>
            </w:r>
            <w:r w:rsidR="4004BB06" w:rsidRPr="703B9A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30A3181C" w:rsidRPr="703B9A6C">
              <w:rPr>
                <w:rFonts w:ascii="Times New Roman" w:hAnsi="Times New Roman" w:cs="Times New Roman"/>
                <w:i/>
                <w:iCs/>
                <w:color w:val="000000" w:themeColor="text1"/>
                <w:szCs w:val="22"/>
              </w:rPr>
              <w:t>2021–2030 m. Švietimo plėtros programo</w:t>
            </w:r>
            <w:r w:rsidR="00023EB4">
              <w:rPr>
                <w:rFonts w:ascii="Times New Roman" w:hAnsi="Times New Roman" w:cs="Times New Roman"/>
                <w:i/>
                <w:iCs/>
                <w:color w:val="000000" w:themeColor="text1"/>
                <w:szCs w:val="22"/>
              </w:rPr>
              <w:t>s veiklomis.</w:t>
            </w:r>
          </w:p>
          <w:p w14:paraId="53C5DBB6" w14:textId="3FCC3F50" w:rsidR="00DE0CD9" w:rsidRPr="00871BE8" w:rsidRDefault="00DE0CD9" w:rsidP="008303B5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Kritinio mąstymo, medijų ir informacinio raštingumo trūkumas nekuria socialiai atsakingos, sąmoningos ir pilietiškai aktyvios visuomenės.</w:t>
            </w:r>
          </w:p>
          <w:p w14:paraId="688AAE48" w14:textId="2832A185" w:rsidR="00DE0CD9" w:rsidRPr="00871BE8" w:rsidRDefault="000964F9" w:rsidP="703B9A6C">
            <w:pPr>
              <w:pStyle w:val="ListParagraph"/>
              <w:numPr>
                <w:ilvl w:val="2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0CD9" w:rsidRPr="703B9A6C">
              <w:rPr>
                <w:rFonts w:ascii="Times New Roman" w:hAnsi="Times New Roman" w:cs="Times New Roman"/>
              </w:rPr>
              <w:t>Visuomenės kritinis mąstymas neugdomas sistemingai ir sutelkiant visus resursus</w:t>
            </w:r>
            <w:r w:rsidR="009B247D" w:rsidRPr="703B9A6C">
              <w:rPr>
                <w:rFonts w:ascii="Times New Roman" w:hAnsi="Times New Roman" w:cs="Times New Roman"/>
              </w:rPr>
              <w:t>.</w:t>
            </w:r>
          </w:p>
          <w:p w14:paraId="4630BCC3" w14:textId="396B23BD" w:rsidR="00BF77F7" w:rsidRPr="00871BE8" w:rsidRDefault="000964F9" w:rsidP="6F6073BF">
            <w:pPr>
              <w:pStyle w:val="ListParagraph"/>
              <w:numPr>
                <w:ilvl w:val="2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E0CD9" w:rsidRPr="703B9A6C">
              <w:rPr>
                <w:rFonts w:ascii="Times New Roman" w:hAnsi="Times New Roman" w:cs="Times New Roman"/>
              </w:rPr>
              <w:t xml:space="preserve">Viešosios informacijos rengėjų ir </w:t>
            </w:r>
            <w:r w:rsidR="004C210D" w:rsidRPr="703B9A6C">
              <w:rPr>
                <w:rFonts w:ascii="Times New Roman" w:hAnsi="Times New Roman" w:cs="Times New Roman"/>
              </w:rPr>
              <w:t>skleidėjų</w:t>
            </w:r>
            <w:r w:rsidR="00DE0CD9" w:rsidRPr="703B9A6C">
              <w:rPr>
                <w:rFonts w:ascii="Times New Roman" w:hAnsi="Times New Roman" w:cs="Times New Roman"/>
              </w:rPr>
              <w:t xml:space="preserve"> profesinės kompetencijos ir </w:t>
            </w:r>
            <w:r w:rsidR="004C210D" w:rsidRPr="703B9A6C">
              <w:rPr>
                <w:rFonts w:ascii="Times New Roman" w:hAnsi="Times New Roman" w:cs="Times New Roman"/>
              </w:rPr>
              <w:t>skaidrumo</w:t>
            </w:r>
            <w:r w:rsidR="00DE0CD9" w:rsidRPr="703B9A6C">
              <w:rPr>
                <w:rFonts w:ascii="Times New Roman" w:hAnsi="Times New Roman" w:cs="Times New Roman"/>
              </w:rPr>
              <w:t xml:space="preserve"> trūkumas</w:t>
            </w:r>
            <w:r w:rsidR="009B247D" w:rsidRPr="703B9A6C">
              <w:rPr>
                <w:rFonts w:ascii="Times New Roman" w:hAnsi="Times New Roman" w:cs="Times New Roman"/>
              </w:rPr>
              <w:t>.</w:t>
            </w:r>
          </w:p>
          <w:p w14:paraId="0F1B2728" w14:textId="17F76E06" w:rsidR="00BF77F7" w:rsidRPr="00871BE8" w:rsidRDefault="0EEC19DA" w:rsidP="1A7D8279">
            <w:pPr>
              <w:jc w:val="both"/>
              <w:rPr>
                <w:rFonts w:ascii="Times New Roman" w:hAnsi="Times New Roman" w:cs="Times New Roman"/>
                <w:i/>
                <w:iCs/>
                <w:lang w:val="lt"/>
              </w:rPr>
            </w:pPr>
            <w:r w:rsidRPr="1A7D8279">
              <w:rPr>
                <w:rFonts w:ascii="Times New Roman" w:hAnsi="Times New Roman" w:cs="Times New Roman"/>
                <w:i/>
                <w:iCs/>
                <w:lang w:val="lt"/>
              </w:rPr>
              <w:t xml:space="preserve">       2.3 priežastis ir 2.3.1</w:t>
            </w:r>
            <w:r w:rsidR="000964F9">
              <w:rPr>
                <w:rFonts w:ascii="Times New Roman" w:hAnsi="Times New Roman" w:cs="Times New Roman"/>
                <w:i/>
                <w:iCs/>
                <w:lang w:val="lt"/>
              </w:rPr>
              <w:t>–</w:t>
            </w:r>
            <w:r w:rsidRPr="1A7D8279">
              <w:rPr>
                <w:rFonts w:ascii="Times New Roman" w:hAnsi="Times New Roman" w:cs="Times New Roman"/>
                <w:i/>
                <w:iCs/>
                <w:lang w:val="lt"/>
              </w:rPr>
              <w:t xml:space="preserve">2.3.2 </w:t>
            </w:r>
            <w:proofErr w:type="spellStart"/>
            <w:r w:rsidR="08EA5B43" w:rsidRPr="1A7D8279">
              <w:rPr>
                <w:rFonts w:ascii="Times New Roman" w:hAnsi="Times New Roman" w:cs="Times New Roman"/>
                <w:i/>
                <w:iCs/>
                <w:lang w:val="lt"/>
              </w:rPr>
              <w:t>subpriežasčių</w:t>
            </w:r>
            <w:proofErr w:type="spellEnd"/>
            <w:r w:rsidR="08EA5B43" w:rsidRPr="1A7D8279">
              <w:rPr>
                <w:rFonts w:ascii="Times New Roman" w:hAnsi="Times New Roman" w:cs="Times New Roman"/>
                <w:i/>
                <w:iCs/>
                <w:lang w:val="lt"/>
              </w:rPr>
              <w:t xml:space="preserve"> </w:t>
            </w:r>
            <w:r w:rsidRPr="1A7D8279">
              <w:rPr>
                <w:rFonts w:ascii="Times New Roman" w:hAnsi="Times New Roman" w:cs="Times New Roman"/>
                <w:i/>
                <w:iCs/>
                <w:lang w:val="lt"/>
              </w:rPr>
              <w:t xml:space="preserve">sprendiniai, susiję su autorių teisių apsauga, </w:t>
            </w:r>
            <w:r w:rsidR="78B68A34" w:rsidRPr="1A7D8279">
              <w:rPr>
                <w:rFonts w:ascii="Times New Roman" w:hAnsi="Times New Roman" w:cs="Times New Roman"/>
                <w:i/>
                <w:iCs/>
                <w:lang w:val="lt"/>
              </w:rPr>
              <w:t>bus</w:t>
            </w:r>
            <w:r w:rsidRPr="1A7D8279">
              <w:rPr>
                <w:rFonts w:ascii="Times New Roman" w:hAnsi="Times New Roman" w:cs="Times New Roman"/>
                <w:i/>
                <w:iCs/>
                <w:lang w:val="lt"/>
              </w:rPr>
              <w:t xml:space="preserve"> sprendžiami 2021</w:t>
            </w:r>
            <w:r w:rsidR="000964F9">
              <w:rPr>
                <w:rFonts w:ascii="Times New Roman" w:hAnsi="Times New Roman" w:cs="Times New Roman"/>
                <w:i/>
                <w:iCs/>
                <w:lang w:val="lt"/>
              </w:rPr>
              <w:t>–</w:t>
            </w:r>
            <w:r w:rsidRPr="1A7D8279">
              <w:rPr>
                <w:rFonts w:ascii="Times New Roman" w:hAnsi="Times New Roman" w:cs="Times New Roman"/>
                <w:i/>
                <w:iCs/>
                <w:lang w:val="lt"/>
              </w:rPr>
              <w:t xml:space="preserve">2030 m. Intelektinės nuosavybės plėtros programos </w:t>
            </w:r>
            <w:r w:rsidR="08EA5B43" w:rsidRPr="1A7D8279">
              <w:rPr>
                <w:rFonts w:ascii="Times New Roman" w:hAnsi="Times New Roman" w:cs="Times New Roman"/>
                <w:i/>
                <w:iCs/>
                <w:lang w:val="lt"/>
              </w:rPr>
              <w:t>veiklomis</w:t>
            </w:r>
            <w:r w:rsidRPr="1A7D8279">
              <w:rPr>
                <w:rFonts w:ascii="Times New Roman" w:hAnsi="Times New Roman" w:cs="Times New Roman"/>
                <w:i/>
                <w:iCs/>
                <w:lang w:val="lt"/>
              </w:rPr>
              <w:t>.</w:t>
            </w:r>
          </w:p>
        </w:tc>
      </w:tr>
      <w:tr w:rsidR="00DB6BCE" w:rsidRPr="00871BE8" w14:paraId="332C175C" w14:textId="77777777" w:rsidTr="28C1312A">
        <w:trPr>
          <w:trHeight w:val="70"/>
        </w:trPr>
        <w:tc>
          <w:tcPr>
            <w:tcW w:w="15295" w:type="dxa"/>
          </w:tcPr>
          <w:p w14:paraId="10B053CC" w14:textId="2438BF3A" w:rsidR="00DB6BCE" w:rsidRPr="00871BE8" w:rsidRDefault="00DB6BCE" w:rsidP="00DB6BCE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Priemon</w:t>
            </w:r>
            <w:r w:rsidR="00E33076">
              <w:rPr>
                <w:rFonts w:ascii="Times New Roman" w:hAnsi="Times New Roman" w:cs="Times New Roman"/>
                <w:b/>
                <w:szCs w:val="22"/>
              </w:rPr>
              <w:t>ės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14:paraId="08EF3A8C" w14:textId="796A136A" w:rsidR="00292357" w:rsidRPr="00871BE8" w:rsidRDefault="746AF94B" w:rsidP="2BF0DB4A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Aukštos meninės</w:t>
            </w:r>
            <w:r w:rsidR="50A0E1CF" w:rsidRPr="2BF0DB4A">
              <w:rPr>
                <w:rFonts w:ascii="Times New Roman" w:hAnsi="Times New Roman" w:cs="Times New Roman"/>
              </w:rPr>
              <w:t xml:space="preserve"> </w:t>
            </w:r>
            <w:r w:rsidRPr="2BF0DB4A">
              <w:rPr>
                <w:rFonts w:ascii="Times New Roman" w:hAnsi="Times New Roman" w:cs="Times New Roman"/>
              </w:rPr>
              <w:t xml:space="preserve">vertės, įvairaus ir </w:t>
            </w:r>
            <w:proofErr w:type="spellStart"/>
            <w:r w:rsidRPr="2BF0DB4A">
              <w:rPr>
                <w:rFonts w:ascii="Times New Roman" w:hAnsi="Times New Roman" w:cs="Times New Roman"/>
              </w:rPr>
              <w:t>įtraukaus</w:t>
            </w:r>
            <w:proofErr w:type="spellEnd"/>
            <w:r w:rsidRPr="2BF0DB4A">
              <w:rPr>
                <w:rFonts w:ascii="Times New Roman" w:hAnsi="Times New Roman" w:cs="Times New Roman"/>
              </w:rPr>
              <w:t xml:space="preserve"> kultūros turinio prieinamumo didinimas</w:t>
            </w:r>
            <w:r w:rsidR="5E9A9D7C" w:rsidRPr="2BF0DB4A">
              <w:rPr>
                <w:rFonts w:ascii="Times New Roman" w:hAnsi="Times New Roman" w:cs="Times New Roman"/>
              </w:rPr>
              <w:t>.</w:t>
            </w:r>
            <w:r w:rsidRPr="2BF0DB4A">
              <w:rPr>
                <w:rFonts w:ascii="Times New Roman" w:hAnsi="Times New Roman" w:cs="Times New Roman"/>
              </w:rPr>
              <w:t xml:space="preserve"> </w:t>
            </w:r>
            <w:r w:rsidRPr="2BF0DB4A">
              <w:rPr>
                <w:rFonts w:ascii="Times New Roman" w:hAnsi="Times New Roman" w:cs="Times New Roman"/>
                <w:i/>
                <w:iCs/>
              </w:rPr>
              <w:t>(</w:t>
            </w:r>
            <w:r w:rsidR="4E06F7A0" w:rsidRPr="2BF0DB4A">
              <w:rPr>
                <w:rFonts w:ascii="Times New Roman" w:hAnsi="Times New Roman" w:cs="Times New Roman"/>
                <w:i/>
                <w:iCs/>
              </w:rPr>
              <w:t>S</w:t>
            </w:r>
            <w:r w:rsidRPr="2BF0DB4A">
              <w:rPr>
                <w:rFonts w:ascii="Times New Roman" w:hAnsi="Times New Roman" w:cs="Times New Roman"/>
                <w:i/>
                <w:iCs/>
              </w:rPr>
              <w:t xml:space="preserve">prendžia </w:t>
            </w:r>
            <w:r w:rsidR="4E06F7A0" w:rsidRPr="2BF0DB4A">
              <w:rPr>
                <w:rFonts w:ascii="Times New Roman" w:hAnsi="Times New Roman" w:cs="Times New Roman"/>
                <w:i/>
                <w:iCs/>
              </w:rPr>
              <w:t>2.1</w:t>
            </w:r>
            <w:r w:rsidR="337EB33B" w:rsidRPr="2BF0DB4A">
              <w:rPr>
                <w:rFonts w:ascii="Times New Roman" w:hAnsi="Times New Roman" w:cs="Times New Roman"/>
                <w:i/>
                <w:iCs/>
              </w:rPr>
              <w:t xml:space="preserve"> priežastį</w:t>
            </w:r>
            <w:r w:rsidR="50A0E1CF" w:rsidRPr="2BF0DB4A">
              <w:rPr>
                <w:rFonts w:ascii="Times New Roman" w:hAnsi="Times New Roman" w:cs="Times New Roman"/>
                <w:i/>
                <w:iCs/>
              </w:rPr>
              <w:t>.</w:t>
            </w:r>
            <w:r w:rsidRPr="2BF0DB4A">
              <w:rPr>
                <w:rFonts w:ascii="Times New Roman" w:hAnsi="Times New Roman" w:cs="Times New Roman"/>
                <w:i/>
                <w:iCs/>
              </w:rPr>
              <w:t>)</w:t>
            </w:r>
            <w:r w:rsidR="09B0D823" w:rsidRPr="2BF0DB4A">
              <w:rPr>
                <w:rFonts w:ascii="Times New Roman" w:hAnsi="Times New Roman" w:cs="Times New Roman"/>
                <w:i/>
                <w:iCs/>
              </w:rPr>
              <w:t xml:space="preserve"> (PRIORITETINĖ)</w:t>
            </w:r>
          </w:p>
          <w:p w14:paraId="72E453B8" w14:textId="0308B48D" w:rsidR="003B7D9C" w:rsidRPr="00871BE8" w:rsidRDefault="337EB33B" w:rsidP="703B9A6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i/>
                <w:iCs/>
                <w:color w:val="000000" w:themeColor="text1"/>
                <w:szCs w:val="22"/>
              </w:rPr>
            </w:pPr>
            <w:r w:rsidRPr="703B9A6C">
              <w:rPr>
                <w:rFonts w:ascii="Times New Roman" w:hAnsi="Times New Roman" w:cs="Times New Roman"/>
                <w:color w:val="000000" w:themeColor="text1"/>
              </w:rPr>
              <w:t xml:space="preserve">Kultūrinės edukacijos sistemingas integravimas į formalųjį ir neformalųjį </w:t>
            </w:r>
            <w:r w:rsidR="26005A67" w:rsidRPr="703B9A6C">
              <w:rPr>
                <w:rFonts w:ascii="Times New Roman" w:hAnsi="Times New Roman" w:cs="Times New Roman"/>
                <w:color w:val="000000" w:themeColor="text1"/>
              </w:rPr>
              <w:t>ugdymą</w:t>
            </w:r>
            <w:r w:rsidRPr="703B9A6C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1CFA2FA8" w:rsidRPr="703B9A6C">
              <w:rPr>
                <w:rFonts w:ascii="Times New Roman" w:hAnsi="Times New Roman" w:cs="Times New Roman"/>
              </w:rPr>
              <w:t xml:space="preserve"> </w:t>
            </w:r>
            <w:r w:rsidRPr="703B9A6C">
              <w:rPr>
                <w:rFonts w:ascii="Times New Roman" w:hAnsi="Times New Roman" w:cs="Times New Roman"/>
                <w:i/>
                <w:iCs/>
              </w:rPr>
              <w:t>(</w:t>
            </w:r>
            <w:r w:rsidR="2B65BCE5" w:rsidRPr="703B9A6C">
              <w:rPr>
                <w:rFonts w:ascii="Times New Roman" w:hAnsi="Times New Roman" w:cs="Times New Roman"/>
                <w:i/>
                <w:iCs/>
              </w:rPr>
              <w:t>Prisideda prie</w:t>
            </w:r>
            <w:r w:rsidRPr="703B9A6C">
              <w:rPr>
                <w:rFonts w:ascii="Times New Roman" w:hAnsi="Times New Roman" w:cs="Times New Roman"/>
                <w:i/>
                <w:iCs/>
              </w:rPr>
              <w:t xml:space="preserve"> 2</w:t>
            </w:r>
            <w:r w:rsidR="451D4D44" w:rsidRPr="703B9A6C">
              <w:rPr>
                <w:rFonts w:ascii="Times New Roman" w:hAnsi="Times New Roman" w:cs="Times New Roman"/>
                <w:i/>
                <w:iCs/>
              </w:rPr>
              <w:t>.2</w:t>
            </w:r>
            <w:r w:rsidRPr="703B9A6C">
              <w:rPr>
                <w:rFonts w:ascii="Times New Roman" w:hAnsi="Times New Roman" w:cs="Times New Roman"/>
                <w:i/>
                <w:iCs/>
              </w:rPr>
              <w:t xml:space="preserve"> priežast</w:t>
            </w:r>
            <w:r w:rsidR="3957A321" w:rsidRPr="703B9A6C">
              <w:rPr>
                <w:rFonts w:ascii="Times New Roman" w:hAnsi="Times New Roman" w:cs="Times New Roman"/>
                <w:i/>
                <w:iCs/>
              </w:rPr>
              <w:t>ies sprendimo</w:t>
            </w:r>
            <w:r w:rsidR="13D4FB7F" w:rsidRPr="703B9A6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44E997EC" w:rsidRPr="703B9A6C">
              <w:rPr>
                <w:rFonts w:ascii="Times New Roman" w:hAnsi="Times New Roman" w:cs="Times New Roman"/>
                <w:i/>
                <w:iCs/>
              </w:rPr>
              <w:t xml:space="preserve">veiklos </w:t>
            </w:r>
            <w:r w:rsidR="000964F9">
              <w:rPr>
                <w:rFonts w:ascii="Times New Roman" w:hAnsi="Times New Roman" w:cs="Times New Roman"/>
                <w:i/>
                <w:iCs/>
              </w:rPr>
              <w:t>„</w:t>
            </w:r>
            <w:r w:rsidR="44E997EC" w:rsidRPr="703B9A6C">
              <w:rPr>
                <w:rFonts w:ascii="Times New Roman" w:hAnsi="Times New Roman" w:cs="Times New Roman"/>
                <w:i/>
                <w:iCs/>
              </w:rPr>
              <w:t xml:space="preserve">Kultūrinės edukacijos administravimo platformos ir kultūros </w:t>
            </w:r>
            <w:proofErr w:type="spellStart"/>
            <w:r w:rsidR="44E997EC" w:rsidRPr="703B9A6C">
              <w:rPr>
                <w:rFonts w:ascii="Times New Roman" w:hAnsi="Times New Roman" w:cs="Times New Roman"/>
                <w:i/>
                <w:iCs/>
              </w:rPr>
              <w:t>edukatorių</w:t>
            </w:r>
            <w:proofErr w:type="spellEnd"/>
            <w:r w:rsidR="44E997EC" w:rsidRPr="703B9A6C">
              <w:rPr>
                <w:rFonts w:ascii="Times New Roman" w:hAnsi="Times New Roman" w:cs="Times New Roman"/>
                <w:i/>
                <w:iCs/>
              </w:rPr>
              <w:t xml:space="preserve"> tinklo sukūrimas siekiant užtikrinti kokybišką ir įvairialypį kultūros ugdymą bei nuoseklų koordinavimą</w:t>
            </w:r>
            <w:r w:rsidR="000964F9">
              <w:rPr>
                <w:rFonts w:ascii="Times New Roman" w:hAnsi="Times New Roman" w:cs="Times New Roman"/>
                <w:i/>
                <w:iCs/>
              </w:rPr>
              <w:t>“</w:t>
            </w:r>
            <w:r w:rsidR="44E997EC" w:rsidRPr="703B9A6C">
              <w:rPr>
                <w:rFonts w:ascii="Times New Roman" w:hAnsi="Times New Roman" w:cs="Times New Roman"/>
                <w:i/>
                <w:iCs/>
              </w:rPr>
              <w:t xml:space="preserve"> apimtimi.</w:t>
            </w:r>
            <w:r w:rsidR="13D4FB7F" w:rsidRPr="703B9A6C">
              <w:rPr>
                <w:rFonts w:ascii="Times New Roman" w:hAnsi="Times New Roman" w:cs="Times New Roman"/>
                <w:i/>
                <w:iCs/>
              </w:rPr>
              <w:t>)</w:t>
            </w:r>
            <w:r w:rsidR="0BD99108" w:rsidRPr="703B9A6C">
              <w:rPr>
                <w:rFonts w:ascii="Times New Roman" w:hAnsi="Times New Roman" w:cs="Times New Roman"/>
                <w:i/>
                <w:iCs/>
              </w:rPr>
              <w:t xml:space="preserve"> (PRIORITETINĖ)</w:t>
            </w:r>
          </w:p>
          <w:p w14:paraId="20ED3AD4" w14:textId="4D6CB51A" w:rsidR="00C121A1" w:rsidRPr="004833E9" w:rsidRDefault="5845A670" w:rsidP="2BF0DB4A">
            <w:pPr>
              <w:pStyle w:val="ListParagraph"/>
              <w:numPr>
                <w:ilvl w:val="0"/>
                <w:numId w:val="8"/>
              </w:numPr>
              <w:spacing w:line="259" w:lineRule="auto"/>
              <w:jc w:val="both"/>
              <w:rPr>
                <w:rFonts w:eastAsiaTheme="minorEastAsia"/>
                <w:szCs w:val="22"/>
              </w:rPr>
            </w:pPr>
            <w:r w:rsidRPr="2BF0DB4A">
              <w:rPr>
                <w:rFonts w:ascii="Times New Roman" w:hAnsi="Times New Roman" w:cs="Times New Roman"/>
              </w:rPr>
              <w:t>Investicijos į kultūros išteklių skaitmeninimą ir prieinamumą</w:t>
            </w:r>
            <w:r w:rsidR="369349B7" w:rsidRPr="2BF0DB4A">
              <w:rPr>
                <w:rFonts w:ascii="Times New Roman" w:hAnsi="Times New Roman" w:cs="Times New Roman"/>
              </w:rPr>
              <w:t>.</w:t>
            </w:r>
            <w:r w:rsidR="11C1F84E" w:rsidRPr="2BF0DB4A">
              <w:rPr>
                <w:rFonts w:ascii="Times New Roman" w:hAnsi="Times New Roman" w:cs="Times New Roman"/>
              </w:rPr>
              <w:t xml:space="preserve"> </w:t>
            </w:r>
            <w:r w:rsidR="11C1F84E" w:rsidRPr="2BF0DB4A">
              <w:rPr>
                <w:rFonts w:ascii="Times New Roman" w:hAnsi="Times New Roman" w:cs="Times New Roman"/>
                <w:i/>
                <w:iCs/>
              </w:rPr>
              <w:t>(Sprendžia 2.1 priežastį.) (PRIORITETINĖ)</w:t>
            </w:r>
          </w:p>
          <w:p w14:paraId="084DFE94" w14:textId="180357C6" w:rsidR="00C121A1" w:rsidRPr="004833E9" w:rsidRDefault="3475C1CD" w:rsidP="703B9A6C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Theme="minorEastAsia"/>
                <w:i/>
                <w:iCs/>
                <w:szCs w:val="22"/>
              </w:rPr>
            </w:pPr>
            <w:r w:rsidRPr="703B9A6C">
              <w:rPr>
                <w:rFonts w:ascii="Times New Roman" w:hAnsi="Times New Roman" w:cs="Times New Roman"/>
              </w:rPr>
              <w:t xml:space="preserve">Kritinio mąstymo gebėjimų, atsakomybės už legalaus turinio vartojimą, medijų ir informacinio raštingumo ugdymas visose tikslinėse grupėse. </w:t>
            </w:r>
            <w:r w:rsidRPr="703B9A6C">
              <w:rPr>
                <w:rFonts w:ascii="Times New Roman" w:hAnsi="Times New Roman" w:cs="Times New Roman"/>
                <w:i/>
                <w:iCs/>
              </w:rPr>
              <w:t>(Sprendžia 2.3 priežastį</w:t>
            </w:r>
            <w:r w:rsidR="0ED16673" w:rsidRPr="703B9A6C">
              <w:rPr>
                <w:rFonts w:ascii="Times New Roman" w:hAnsi="Times New Roman" w:cs="Times New Roman"/>
                <w:i/>
                <w:iCs/>
              </w:rPr>
              <w:t>.</w:t>
            </w:r>
            <w:r w:rsidRPr="703B9A6C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34636E" w:rsidRPr="00871BE8" w14:paraId="0CD03420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650D9D90" w14:textId="77777777" w:rsidR="0034636E" w:rsidRPr="00871BE8" w:rsidRDefault="0034636E" w:rsidP="0034636E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NPP uždavinys, kodas ir pavadinimas</w:t>
            </w:r>
          </w:p>
          <w:p w14:paraId="4DC4AA90" w14:textId="48C463A2" w:rsidR="00C837D1" w:rsidRPr="00871BE8" w:rsidRDefault="00E80198" w:rsidP="0034636E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NPP 4.2 uždavinys. </w:t>
            </w:r>
            <w:r w:rsidRPr="00871BE8">
              <w:rPr>
                <w:rFonts w:ascii="Times New Roman" w:hAnsi="Times New Roman" w:cs="Times New Roman"/>
                <w:bCs/>
                <w:szCs w:val="22"/>
              </w:rPr>
              <w:t>Gerinti sąlygas kuriantiems Lietuvoje ir didinti Lietuvos kultūros sklaidą užsienyje</w:t>
            </w:r>
            <w:r w:rsidR="004833E9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</w:tc>
      </w:tr>
      <w:tr w:rsidR="0034636E" w:rsidRPr="00871BE8" w14:paraId="54F80F01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1C644C5A" w14:textId="3EFE9A02" w:rsidR="0034636E" w:rsidRPr="00871BE8" w:rsidRDefault="0034636E" w:rsidP="0034636E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NPP uždavinio rodiklis ir (ar) tikslo rodiklis </w:t>
            </w:r>
          </w:p>
          <w:p w14:paraId="6023667F" w14:textId="015C2672" w:rsidR="00E80198" w:rsidRPr="00871BE8" w:rsidRDefault="0007A9E1" w:rsidP="2BF0DB4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1202519C">
              <w:rPr>
                <w:rFonts w:ascii="Times New Roman" w:hAnsi="Times New Roman" w:cs="Times New Roman"/>
              </w:rPr>
              <w:t xml:space="preserve">4.2.1. Meno studijų krypčių </w:t>
            </w:r>
            <w:r w:rsidR="796FBFE0" w:rsidRPr="1202519C">
              <w:rPr>
                <w:rFonts w:ascii="Times New Roman" w:hAnsi="Times New Roman" w:cs="Times New Roman"/>
              </w:rPr>
              <w:t xml:space="preserve">grupės </w:t>
            </w:r>
            <w:r w:rsidRPr="1202519C">
              <w:rPr>
                <w:rFonts w:ascii="Times New Roman" w:hAnsi="Times New Roman" w:cs="Times New Roman"/>
              </w:rPr>
              <w:t>studentų dalis nuo visų studentų (</w:t>
            </w:r>
            <w:r w:rsidR="3697D542" w:rsidRPr="1202519C">
              <w:rPr>
                <w:rFonts w:ascii="Times New Roman" w:hAnsi="Times New Roman" w:cs="Times New Roman"/>
              </w:rPr>
              <w:t>2025 m. – 5 proc.;</w:t>
            </w:r>
            <w:r w:rsidRPr="1202519C">
              <w:rPr>
                <w:rFonts w:ascii="Times New Roman" w:hAnsi="Times New Roman" w:cs="Times New Roman"/>
              </w:rPr>
              <w:t xml:space="preserve"> 2030 m. – 5,5 proc.);</w:t>
            </w:r>
          </w:p>
          <w:p w14:paraId="491FEDA7" w14:textId="20524780" w:rsidR="00E80198" w:rsidRPr="00871BE8" w:rsidRDefault="62F18B4D" w:rsidP="2BF0DB4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4.2.2. Užimtųjų privačiame ir nevyriausybiniame kultūros sektoriuose dalis nuo visų užimtųjų (</w:t>
            </w:r>
            <w:r w:rsidR="349AE16E" w:rsidRPr="2BF0DB4A">
              <w:rPr>
                <w:rFonts w:ascii="Times New Roman" w:hAnsi="Times New Roman" w:cs="Times New Roman"/>
              </w:rPr>
              <w:t xml:space="preserve">2025 m. – 0,7 proc.; </w:t>
            </w:r>
            <w:r w:rsidRPr="2BF0DB4A">
              <w:rPr>
                <w:rFonts w:ascii="Times New Roman" w:hAnsi="Times New Roman" w:cs="Times New Roman"/>
              </w:rPr>
              <w:t>2030 m. – 0,8 proc.);</w:t>
            </w:r>
          </w:p>
          <w:p w14:paraId="68ECFF80" w14:textId="700C59FE" w:rsidR="00E80198" w:rsidRPr="00871BE8" w:rsidRDefault="62F18B4D" w:rsidP="2BF0DB4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 xml:space="preserve">4.2.3. Lietuvos kūrėjų ir organizacijų, gavusių svarbiausius tarptautinius apdovanojimus kultūros srityje, skaičius </w:t>
            </w:r>
            <w:r w:rsidR="4F6B74CD" w:rsidRPr="2BF0DB4A">
              <w:rPr>
                <w:rFonts w:ascii="Times New Roman" w:hAnsi="Times New Roman" w:cs="Times New Roman"/>
              </w:rPr>
              <w:t>(</w:t>
            </w:r>
            <w:r w:rsidR="349AE16E" w:rsidRPr="2BF0DB4A">
              <w:rPr>
                <w:rFonts w:ascii="Times New Roman" w:hAnsi="Times New Roman" w:cs="Times New Roman"/>
              </w:rPr>
              <w:t>2025 m. – 15 kaupiam</w:t>
            </w:r>
            <w:r w:rsidR="4303F229" w:rsidRPr="2BF0DB4A">
              <w:rPr>
                <w:rFonts w:ascii="Times New Roman" w:hAnsi="Times New Roman" w:cs="Times New Roman"/>
              </w:rPr>
              <w:t>ųjų</w:t>
            </w:r>
            <w:r w:rsidR="349AE16E" w:rsidRPr="2BF0DB4A">
              <w:rPr>
                <w:rFonts w:ascii="Times New Roman" w:hAnsi="Times New Roman" w:cs="Times New Roman"/>
              </w:rPr>
              <w:t xml:space="preserve"> vienet</w:t>
            </w:r>
            <w:r w:rsidR="4303F229" w:rsidRPr="2BF0DB4A">
              <w:rPr>
                <w:rFonts w:ascii="Times New Roman" w:hAnsi="Times New Roman" w:cs="Times New Roman"/>
              </w:rPr>
              <w:t>ų</w:t>
            </w:r>
            <w:r w:rsidR="349AE16E" w:rsidRPr="2BF0DB4A">
              <w:rPr>
                <w:rFonts w:ascii="Times New Roman" w:hAnsi="Times New Roman" w:cs="Times New Roman"/>
              </w:rPr>
              <w:t xml:space="preserve">; </w:t>
            </w:r>
            <w:r w:rsidRPr="2BF0DB4A">
              <w:rPr>
                <w:rFonts w:ascii="Times New Roman" w:hAnsi="Times New Roman" w:cs="Times New Roman"/>
              </w:rPr>
              <w:t>2030 m. –</w:t>
            </w:r>
            <w:r w:rsidR="349AE16E" w:rsidRPr="2BF0DB4A">
              <w:rPr>
                <w:rFonts w:ascii="Times New Roman" w:hAnsi="Times New Roman" w:cs="Times New Roman"/>
              </w:rPr>
              <w:t xml:space="preserve"> </w:t>
            </w:r>
            <w:r w:rsidRPr="2BF0DB4A">
              <w:rPr>
                <w:rFonts w:ascii="Times New Roman" w:hAnsi="Times New Roman" w:cs="Times New Roman"/>
              </w:rPr>
              <w:t>25 kaupiamieji vienetai);</w:t>
            </w:r>
          </w:p>
          <w:p w14:paraId="58266B87" w14:textId="01B2391C" w:rsidR="00EB7210" w:rsidRPr="002E1ECC" w:rsidRDefault="62F18B4D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4.2.4. Kūrinių autorių pajamos, gaunamos už autorinių kūrinių naudojimą (</w:t>
            </w:r>
            <w:r w:rsidR="349AE16E" w:rsidRPr="2BF0DB4A">
              <w:rPr>
                <w:rFonts w:ascii="Times New Roman" w:hAnsi="Times New Roman" w:cs="Times New Roman"/>
              </w:rPr>
              <w:t xml:space="preserve">2025 m. – 12,886 mln. Eur; </w:t>
            </w:r>
            <w:r w:rsidRPr="2BF0DB4A">
              <w:rPr>
                <w:rFonts w:ascii="Times New Roman" w:hAnsi="Times New Roman" w:cs="Times New Roman"/>
              </w:rPr>
              <w:t>2030 m.</w:t>
            </w:r>
            <w:r w:rsidR="396B860C" w:rsidRPr="2BF0DB4A">
              <w:rPr>
                <w:rFonts w:ascii="Times New Roman" w:hAnsi="Times New Roman" w:cs="Times New Roman"/>
              </w:rPr>
              <w:t xml:space="preserve"> –</w:t>
            </w:r>
            <w:r w:rsidRPr="2BF0DB4A">
              <w:rPr>
                <w:rFonts w:ascii="Times New Roman" w:hAnsi="Times New Roman" w:cs="Times New Roman"/>
              </w:rPr>
              <w:t xml:space="preserve"> 14,058 mln. Eur).</w:t>
            </w:r>
          </w:p>
        </w:tc>
      </w:tr>
      <w:tr w:rsidR="0034636E" w:rsidRPr="00871BE8" w14:paraId="6AC09FBD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4B6487F5" w14:textId="00034631" w:rsidR="0034636E" w:rsidRPr="00871BE8" w:rsidRDefault="00211D37" w:rsidP="008303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</w:t>
            </w:r>
            <w:r w:rsidR="0034636E" w:rsidRPr="00871BE8">
              <w:rPr>
                <w:rFonts w:ascii="Times New Roman" w:hAnsi="Times New Roman" w:cs="Times New Roman"/>
                <w:b/>
                <w:szCs w:val="22"/>
              </w:rPr>
              <w:t>roblema:</w:t>
            </w:r>
            <w:r w:rsidR="00500322" w:rsidRPr="00DF2806">
              <w:rPr>
                <w:rFonts w:ascii="Times New Roman" w:hAnsi="Times New Roman" w:cs="Times New Roman"/>
                <w:b/>
                <w:bCs/>
                <w:szCs w:val="22"/>
              </w:rPr>
              <w:t xml:space="preserve"> Nesubalansuotos sąlygos kūrybai neužtikrina kūrybinio potencialo puoselėjimo ir jo konkurencingumo</w:t>
            </w:r>
            <w:r w:rsidR="00500322"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</w:p>
        </w:tc>
      </w:tr>
      <w:tr w:rsidR="0034636E" w:rsidRPr="00871BE8" w14:paraId="23EE236B" w14:textId="77777777" w:rsidTr="28C1312A">
        <w:trPr>
          <w:trHeight w:val="2655"/>
        </w:trPr>
        <w:tc>
          <w:tcPr>
            <w:tcW w:w="15295" w:type="dxa"/>
            <w:shd w:val="clear" w:color="auto" w:fill="FFFFFF" w:themeFill="background1"/>
          </w:tcPr>
          <w:p w14:paraId="767C0CFA" w14:textId="77777777" w:rsidR="0034636E" w:rsidRPr="00871BE8" w:rsidRDefault="0034636E" w:rsidP="0034636E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Spręstinos problemos priežastys:</w:t>
            </w:r>
          </w:p>
          <w:p w14:paraId="0E3BD549" w14:textId="77777777" w:rsidR="00500322" w:rsidRPr="00DF2806" w:rsidRDefault="00500322" w:rsidP="00500322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2806">
              <w:rPr>
                <w:rFonts w:ascii="Times New Roman" w:hAnsi="Times New Roman" w:cs="Times New Roman"/>
                <w:b/>
                <w:bCs/>
                <w:szCs w:val="22"/>
              </w:rPr>
              <w:t xml:space="preserve">Kūrybinių sąlygų ir talentų ugdymo bei įvertinimo fragmentacija nemotyvuoja, neskatina inovacijų ir tolygios raidos. </w:t>
            </w:r>
          </w:p>
          <w:p w14:paraId="597D3FC0" w14:textId="2E589D2D" w:rsidR="0037371A" w:rsidRPr="00871BE8" w:rsidRDefault="000964F9" w:rsidP="0037371A">
            <w:pPr>
              <w:pStyle w:val="ListParagraph"/>
              <w:numPr>
                <w:ilvl w:val="2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0322">
              <w:rPr>
                <w:rFonts w:ascii="Times New Roman" w:hAnsi="Times New Roman" w:cs="Times New Roman"/>
                <w:szCs w:val="22"/>
              </w:rPr>
              <w:t>Taikoma premijų ir stipendijų sistema nešiuolaikiška ir nenuosekli.</w:t>
            </w:r>
          </w:p>
          <w:p w14:paraId="221F14EE" w14:textId="18928F82" w:rsidR="008E3049" w:rsidRPr="00500322" w:rsidRDefault="000964F9" w:rsidP="0037371A">
            <w:pPr>
              <w:pStyle w:val="ListParagraph"/>
              <w:numPr>
                <w:ilvl w:val="2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0322" w:rsidRPr="00500322">
              <w:rPr>
                <w:rFonts w:ascii="Times New Roman" w:hAnsi="Times New Roman" w:cs="Times New Roman"/>
                <w:szCs w:val="22"/>
              </w:rPr>
              <w:t>Netolygios sąlygos kurti, bendradarbiauti su tarptautiniais partneriais ir pristatyti kūrybinės veiklos rezultatus valstybės ir atskirų savivaldybių lygmenimis</w:t>
            </w:r>
            <w:r w:rsidR="003E4586" w:rsidRPr="00500322">
              <w:rPr>
                <w:rFonts w:ascii="Times New Roman" w:hAnsi="Times New Roman" w:cs="Times New Roman"/>
                <w:szCs w:val="22"/>
              </w:rPr>
              <w:t>.</w:t>
            </w:r>
          </w:p>
          <w:p w14:paraId="351FD765" w14:textId="49981EA1" w:rsidR="003E4586" w:rsidRPr="00500322" w:rsidRDefault="000964F9" w:rsidP="003E4586">
            <w:pPr>
              <w:pStyle w:val="ListParagraph"/>
              <w:numPr>
                <w:ilvl w:val="2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00322" w:rsidRPr="00500322">
              <w:rPr>
                <w:rFonts w:ascii="Times New Roman" w:hAnsi="Times New Roman" w:cs="Times New Roman"/>
                <w:szCs w:val="22"/>
              </w:rPr>
              <w:t>Menininkų laimėjimų vertinimas, skatinimas ir komunikacija visuomenei neproporcingi kūrėjų meistriškumui</w:t>
            </w:r>
            <w:r w:rsidR="005B1C93" w:rsidRPr="00500322">
              <w:rPr>
                <w:rFonts w:ascii="Times New Roman" w:hAnsi="Times New Roman" w:cs="Times New Roman"/>
                <w:szCs w:val="22"/>
              </w:rPr>
              <w:t>.</w:t>
            </w:r>
          </w:p>
          <w:p w14:paraId="083DBD56" w14:textId="445CEC50" w:rsidR="00E80198" w:rsidRPr="00871BE8" w:rsidRDefault="00500322" w:rsidP="008303B5">
            <w:pPr>
              <w:pStyle w:val="ListParagraph"/>
              <w:numPr>
                <w:ilvl w:val="1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2806">
              <w:rPr>
                <w:rFonts w:ascii="Times New Roman" w:hAnsi="Times New Roman" w:cs="Times New Roman"/>
                <w:b/>
                <w:bCs/>
                <w:szCs w:val="22"/>
              </w:rPr>
              <w:t>Nėra tolygios ir tvarios kūrybinių pajėgumų stiprinimo konkuruoti tarptautiniu mastu sistemos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</w:p>
          <w:p w14:paraId="2733AF93" w14:textId="6BDBED5D" w:rsidR="0024470F" w:rsidRPr="00871BE8" w:rsidRDefault="000964F9" w:rsidP="00F35CAF">
            <w:pPr>
              <w:pStyle w:val="ListParagraph"/>
              <w:numPr>
                <w:ilvl w:val="2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21777" w:rsidRPr="00871BE8">
              <w:rPr>
                <w:rFonts w:ascii="Times New Roman" w:hAnsi="Times New Roman" w:cs="Times New Roman"/>
                <w:szCs w:val="22"/>
              </w:rPr>
              <w:t xml:space="preserve">Retai keliami </w:t>
            </w:r>
            <w:r w:rsidR="00091892" w:rsidRPr="00871BE8">
              <w:rPr>
                <w:rFonts w:ascii="Times New Roman" w:hAnsi="Times New Roman" w:cs="Times New Roman"/>
                <w:szCs w:val="22"/>
              </w:rPr>
              <w:t>tarptautiškumo uždaviniai valstybinėms kultūros ir meno įstaigo</w:t>
            </w:r>
            <w:r w:rsidR="004876E5" w:rsidRPr="00871BE8">
              <w:rPr>
                <w:rFonts w:ascii="Times New Roman" w:hAnsi="Times New Roman" w:cs="Times New Roman"/>
                <w:szCs w:val="22"/>
              </w:rPr>
              <w:t>ms ir jose dirbantiems specialistams</w:t>
            </w:r>
            <w:r w:rsidR="009B247D">
              <w:rPr>
                <w:rFonts w:ascii="Times New Roman" w:hAnsi="Times New Roman" w:cs="Times New Roman"/>
                <w:szCs w:val="22"/>
              </w:rPr>
              <w:t>.</w:t>
            </w:r>
          </w:p>
          <w:p w14:paraId="2C48996B" w14:textId="6F2DF1AF" w:rsidR="004876E5" w:rsidRPr="00871BE8" w:rsidRDefault="000964F9" w:rsidP="00F35CAF">
            <w:pPr>
              <w:pStyle w:val="ListParagraph"/>
              <w:numPr>
                <w:ilvl w:val="2"/>
                <w:numId w:val="10"/>
              </w:numPr>
              <w:spacing w:line="27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82023" w:rsidRPr="00871BE8">
              <w:rPr>
                <w:rFonts w:ascii="Times New Roman" w:hAnsi="Times New Roman" w:cs="Times New Roman"/>
                <w:szCs w:val="22"/>
              </w:rPr>
              <w:t xml:space="preserve">Atrenkant </w:t>
            </w:r>
            <w:r w:rsidR="002D345F" w:rsidRPr="00871BE8">
              <w:rPr>
                <w:rFonts w:ascii="Times New Roman" w:hAnsi="Times New Roman" w:cs="Times New Roman"/>
                <w:szCs w:val="22"/>
              </w:rPr>
              <w:t xml:space="preserve">priemones Lietuvos kultūros ir meno sklaidai užsienyje nėra taikomi </w:t>
            </w:r>
            <w:r w:rsidR="006F1B78" w:rsidRPr="00871BE8">
              <w:rPr>
                <w:rFonts w:ascii="Times New Roman" w:hAnsi="Times New Roman" w:cs="Times New Roman"/>
                <w:szCs w:val="22"/>
              </w:rPr>
              <w:t>u</w:t>
            </w:r>
            <w:r w:rsidR="004C6650" w:rsidRPr="00871BE8">
              <w:rPr>
                <w:rFonts w:ascii="Times New Roman" w:hAnsi="Times New Roman" w:cs="Times New Roman"/>
                <w:szCs w:val="22"/>
              </w:rPr>
              <w:t>žsienio organizacijų kokybės, žinomumo ir autoriteto kriterijai</w:t>
            </w:r>
            <w:r w:rsidR="009B247D">
              <w:rPr>
                <w:rFonts w:ascii="Times New Roman" w:hAnsi="Times New Roman" w:cs="Times New Roman"/>
                <w:szCs w:val="22"/>
              </w:rPr>
              <w:t>.</w:t>
            </w:r>
          </w:p>
          <w:p w14:paraId="3E24C6DF" w14:textId="57FFEDB9" w:rsidR="00E80198" w:rsidRPr="004833E9" w:rsidRDefault="7C2D25CE" w:rsidP="1A7D827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1A7D8279">
              <w:rPr>
                <w:rFonts w:ascii="Times New Roman" w:hAnsi="Times New Roman" w:cs="Times New Roman"/>
              </w:rPr>
              <w:t xml:space="preserve">             3.2.3.</w:t>
            </w:r>
            <w:r w:rsidR="00711CB3">
              <w:rPr>
                <w:rFonts w:ascii="Times New Roman" w:hAnsi="Times New Roman" w:cs="Times New Roman"/>
              </w:rPr>
              <w:t xml:space="preserve"> </w:t>
            </w:r>
            <w:r w:rsidR="7E5AE663" w:rsidRPr="1A7D8279">
              <w:rPr>
                <w:rFonts w:ascii="Times New Roman" w:hAnsi="Times New Roman" w:cs="Times New Roman"/>
              </w:rPr>
              <w:t xml:space="preserve">Nepasiektas susitarimas dėl </w:t>
            </w:r>
            <w:r w:rsidR="29A2B08A" w:rsidRPr="1A7D8279">
              <w:rPr>
                <w:rFonts w:ascii="Times New Roman" w:hAnsi="Times New Roman" w:cs="Times New Roman"/>
              </w:rPr>
              <w:t xml:space="preserve">prioritetinių tarptautinių mugių ir panašaus pobūdžio renginių Lietuvos kultūros produktų pristatymui užsienyje. </w:t>
            </w:r>
            <w:proofErr w:type="spellStart"/>
            <w:r w:rsidR="08EA5B43" w:rsidRPr="1A7D8279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8EA5B43" w:rsidRPr="1A7D8279">
              <w:rPr>
                <w:rFonts w:ascii="Times New Roman" w:hAnsi="Times New Roman" w:cs="Times New Roman"/>
                <w:i/>
                <w:iCs/>
              </w:rPr>
              <w:t xml:space="preserve"> iš dalies sprendžiama </w:t>
            </w:r>
            <w:r w:rsidR="3974A0D3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>Užsien</w:t>
            </w:r>
            <w:r w:rsidR="175EB3D5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>io</w:t>
            </w:r>
            <w:r w:rsidR="3974A0D3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 xml:space="preserve"> </w:t>
            </w:r>
            <w:r w:rsidR="0D388208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 xml:space="preserve">reikalų ministerijos </w:t>
            </w:r>
            <w:r w:rsidR="08E2396B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>įgyvendinamomis</w:t>
            </w:r>
            <w:r w:rsidR="08EA5B43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 xml:space="preserve"> veiklomis.</w:t>
            </w:r>
          </w:p>
        </w:tc>
      </w:tr>
      <w:tr w:rsidR="00C837D1" w:rsidRPr="00871BE8" w14:paraId="3E619263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17D1AF3D" w14:textId="28A91734" w:rsidR="00E80198" w:rsidRPr="00871BE8" w:rsidRDefault="00E80198" w:rsidP="00E80198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Priemon</w:t>
            </w:r>
            <w:r w:rsidR="00E33076">
              <w:rPr>
                <w:rFonts w:ascii="Times New Roman" w:hAnsi="Times New Roman" w:cs="Times New Roman"/>
                <w:b/>
                <w:szCs w:val="22"/>
              </w:rPr>
              <w:t>ė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14:paraId="5C297B07" w14:textId="0F47C3BD" w:rsidR="00453E7A" w:rsidRPr="00987E97" w:rsidRDefault="1B6AAFD4" w:rsidP="6F6073B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6F6073BF">
              <w:rPr>
                <w:rFonts w:ascii="Times New Roman" w:hAnsi="Times New Roman" w:cs="Times New Roman"/>
              </w:rPr>
              <w:t xml:space="preserve">Lietuvos kūrėjų konkurencingumo ir žinomumo didinimas, Lietuvos kūrybinio potencialo panaudojimo skatinimas </w:t>
            </w:r>
            <w:r w:rsidR="007A1052" w:rsidRPr="6F6073BF">
              <w:rPr>
                <w:rFonts w:ascii="Times New Roman" w:hAnsi="Times New Roman" w:cs="Times New Roman"/>
                <w:i/>
                <w:iCs/>
              </w:rPr>
              <w:t>(Sprendžia 3.1 ir 3.2 priežastis)</w:t>
            </w:r>
            <w:r w:rsidR="00987E97" w:rsidRPr="6F6073B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C837D1" w:rsidRPr="00871BE8" w14:paraId="0B0889F7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3DC91B73" w14:textId="77777777" w:rsidR="00C837D1" w:rsidRPr="00871BE8" w:rsidRDefault="00C837D1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bookmarkStart w:id="0" w:name="_Hlk64898788"/>
            <w:r w:rsidRPr="00871BE8">
              <w:rPr>
                <w:rFonts w:ascii="Times New Roman" w:hAnsi="Times New Roman" w:cs="Times New Roman"/>
                <w:b/>
                <w:szCs w:val="22"/>
              </w:rPr>
              <w:t>NPP uždavinys, kodas ir pavadinimas</w:t>
            </w:r>
          </w:p>
          <w:p w14:paraId="672ED75A" w14:textId="1793613E" w:rsidR="00C837D1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4.3 uždavinys.</w:t>
            </w:r>
            <w:r w:rsidRPr="00871BE8">
              <w:rPr>
                <w:rFonts w:ascii="Times New Roman" w:hAnsi="Times New Roman" w:cs="Times New Roman"/>
                <w:b/>
                <w:szCs w:val="22"/>
                <w:lang w:eastAsia="lt-LT"/>
              </w:rPr>
              <w:t xml:space="preserve"> </w:t>
            </w:r>
            <w:r w:rsidRPr="00871BE8">
              <w:rPr>
                <w:rFonts w:ascii="Times New Roman" w:hAnsi="Times New Roman" w:cs="Times New Roman"/>
                <w:bCs/>
                <w:szCs w:val="22"/>
              </w:rPr>
              <w:t>Skatinti visapusišką tautinių mažumų integraciją</w:t>
            </w:r>
          </w:p>
        </w:tc>
      </w:tr>
      <w:tr w:rsidR="00C837D1" w:rsidRPr="00871BE8" w14:paraId="59239D60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61A17C48" w14:textId="77777777" w:rsidR="00C837D1" w:rsidRPr="00871BE8" w:rsidRDefault="00C837D1" w:rsidP="001B7C40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bCs/>
                <w:szCs w:val="22"/>
              </w:rPr>
              <w:t xml:space="preserve">NPP uždavinio rodiklis ir (ar) tikslo rodiklis </w:t>
            </w:r>
          </w:p>
          <w:p w14:paraId="0B29AECD" w14:textId="10B80551" w:rsidR="00C837D1" w:rsidRPr="00871BE8" w:rsidRDefault="540C7908" w:rsidP="2BF0DB4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2BF0DB4A">
              <w:rPr>
                <w:rFonts w:ascii="Times New Roman" w:hAnsi="Times New Roman" w:cs="Times New Roman"/>
                <w:lang w:eastAsia="lt-LT"/>
              </w:rPr>
              <w:t xml:space="preserve">4.3.1. Tolerancijos tautinėms mažumoms indeksas </w:t>
            </w:r>
            <w:r w:rsidR="65CA11AA" w:rsidRPr="2BF0DB4A">
              <w:rPr>
                <w:rFonts w:ascii="Times New Roman" w:hAnsi="Times New Roman" w:cs="Times New Roman"/>
                <w:lang w:eastAsia="lt-LT"/>
              </w:rPr>
              <w:t>(</w:t>
            </w:r>
            <w:r w:rsidRPr="2BF0DB4A">
              <w:rPr>
                <w:rFonts w:ascii="Times New Roman" w:hAnsi="Times New Roman" w:cs="Times New Roman"/>
                <w:lang w:eastAsia="lt-LT"/>
              </w:rPr>
              <w:t>2025 m. – 20</w:t>
            </w:r>
            <w:r w:rsidR="396B860C" w:rsidRPr="2BF0DB4A">
              <w:rPr>
                <w:rFonts w:ascii="Times New Roman" w:hAnsi="Times New Roman" w:cs="Times New Roman"/>
                <w:lang w:eastAsia="lt-LT"/>
              </w:rPr>
              <w:t xml:space="preserve"> vieta</w:t>
            </w:r>
            <w:r w:rsidR="03F27BAB" w:rsidRPr="2BF0DB4A">
              <w:rPr>
                <w:rFonts w:ascii="Times New Roman" w:hAnsi="Times New Roman" w:cs="Times New Roman"/>
                <w:lang w:eastAsia="lt-LT"/>
              </w:rPr>
              <w:t xml:space="preserve"> ES</w:t>
            </w:r>
            <w:r w:rsidRPr="2BF0DB4A">
              <w:rPr>
                <w:rFonts w:ascii="Times New Roman" w:hAnsi="Times New Roman" w:cs="Times New Roman"/>
                <w:lang w:eastAsia="lt-LT"/>
              </w:rPr>
              <w:t>, 2030 – 17</w:t>
            </w:r>
            <w:r w:rsidR="396B860C" w:rsidRPr="2BF0DB4A">
              <w:rPr>
                <w:rFonts w:ascii="Times New Roman" w:hAnsi="Times New Roman" w:cs="Times New Roman"/>
                <w:lang w:eastAsia="lt-LT"/>
              </w:rPr>
              <w:t xml:space="preserve"> vieta</w:t>
            </w:r>
            <w:r w:rsidR="03F27BAB" w:rsidRPr="2BF0DB4A">
              <w:rPr>
                <w:rFonts w:ascii="Times New Roman" w:hAnsi="Times New Roman" w:cs="Times New Roman"/>
                <w:lang w:eastAsia="lt-LT"/>
              </w:rPr>
              <w:t xml:space="preserve"> ES</w:t>
            </w:r>
            <w:r w:rsidR="65CA11AA" w:rsidRPr="2BF0DB4A">
              <w:rPr>
                <w:rFonts w:ascii="Times New Roman" w:hAnsi="Times New Roman" w:cs="Times New Roman"/>
                <w:lang w:eastAsia="lt-LT"/>
              </w:rPr>
              <w:t>).</w:t>
            </w:r>
          </w:p>
        </w:tc>
      </w:tr>
      <w:tr w:rsidR="00C837D1" w:rsidRPr="00871BE8" w14:paraId="6DE4E055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465960D7" w14:textId="3BE2A389" w:rsidR="00C837D1" w:rsidRPr="00871BE8" w:rsidRDefault="00211D37" w:rsidP="008303B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</w:t>
            </w:r>
            <w:r w:rsidR="00C837D1" w:rsidRPr="00871BE8">
              <w:rPr>
                <w:rFonts w:ascii="Times New Roman" w:hAnsi="Times New Roman" w:cs="Times New Roman"/>
                <w:b/>
                <w:szCs w:val="22"/>
              </w:rPr>
              <w:t>roblema:</w:t>
            </w:r>
            <w:r w:rsidR="00C020D2" w:rsidRPr="00871BE8">
              <w:rPr>
                <w:rFonts w:ascii="Times New Roman" w:hAnsi="Times New Roman" w:cs="Times New Roman"/>
                <w:b/>
                <w:szCs w:val="22"/>
              </w:rPr>
              <w:t xml:space="preserve"> Visuomenės atvirumo tautinėms mažumoms stoka trukdo kurti darnią </w:t>
            </w:r>
            <w:proofErr w:type="spellStart"/>
            <w:r w:rsidR="00C020D2" w:rsidRPr="00871BE8">
              <w:rPr>
                <w:rFonts w:ascii="Times New Roman" w:hAnsi="Times New Roman" w:cs="Times New Roman"/>
                <w:b/>
                <w:szCs w:val="22"/>
              </w:rPr>
              <w:t>daugiakultūrę</w:t>
            </w:r>
            <w:proofErr w:type="spellEnd"/>
            <w:r w:rsidR="00C020D2" w:rsidRPr="00871BE8">
              <w:rPr>
                <w:rFonts w:ascii="Times New Roman" w:hAnsi="Times New Roman" w:cs="Times New Roman"/>
                <w:b/>
                <w:szCs w:val="22"/>
              </w:rPr>
              <w:t xml:space="preserve"> pilietinę valstybę</w:t>
            </w:r>
            <w:r w:rsidR="00500322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</w:tc>
      </w:tr>
      <w:tr w:rsidR="00C837D1" w:rsidRPr="00871BE8" w14:paraId="2820F9A7" w14:textId="77777777" w:rsidTr="28C1312A">
        <w:trPr>
          <w:trHeight w:val="70"/>
        </w:trPr>
        <w:tc>
          <w:tcPr>
            <w:tcW w:w="15295" w:type="dxa"/>
            <w:shd w:val="clear" w:color="auto" w:fill="auto"/>
          </w:tcPr>
          <w:p w14:paraId="100AA853" w14:textId="77777777" w:rsidR="00C837D1" w:rsidRPr="00871BE8" w:rsidRDefault="00C837D1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Spręstinos problemos priežastys:</w:t>
            </w:r>
          </w:p>
          <w:p w14:paraId="48F11F20" w14:textId="2665FC5E" w:rsidR="00500322" w:rsidRPr="00DF2806" w:rsidRDefault="00500322" w:rsidP="00500322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2806">
              <w:rPr>
                <w:rFonts w:ascii="Times New Roman" w:hAnsi="Times New Roman" w:cs="Times New Roman"/>
                <w:b/>
                <w:bCs/>
                <w:szCs w:val="22"/>
              </w:rPr>
              <w:t xml:space="preserve">Neaktyvus tautinių mažumų įsitraukimas ir </w:t>
            </w:r>
            <w:proofErr w:type="spellStart"/>
            <w:r w:rsidRPr="00DF2806">
              <w:rPr>
                <w:rFonts w:ascii="Times New Roman" w:hAnsi="Times New Roman" w:cs="Times New Roman"/>
                <w:b/>
                <w:bCs/>
                <w:szCs w:val="22"/>
              </w:rPr>
              <w:t>įtrauktis</w:t>
            </w:r>
            <w:proofErr w:type="spellEnd"/>
            <w:r w:rsidRPr="00DF2806">
              <w:rPr>
                <w:rFonts w:ascii="Times New Roman" w:hAnsi="Times New Roman" w:cs="Times New Roman"/>
                <w:b/>
                <w:bCs/>
                <w:szCs w:val="22"/>
              </w:rPr>
              <w:t xml:space="preserve"> į kultūrinį bei visuomeninį gyvenimą lėtina jų integraciją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.</w:t>
            </w:r>
          </w:p>
          <w:p w14:paraId="5D55DDFD" w14:textId="104FAA40" w:rsidR="00403EE0" w:rsidRPr="00803201" w:rsidRDefault="00711CB3" w:rsidP="00803201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403EE0" w:rsidRPr="00F223EA">
              <w:rPr>
                <w:rFonts w:ascii="Times New Roman" w:hAnsi="Times New Roman" w:cs="Times New Roman"/>
                <w:bCs/>
                <w:szCs w:val="22"/>
              </w:rPr>
              <w:t>Lietuvos</w:t>
            </w:r>
            <w:r w:rsidR="00F92466" w:rsidRPr="00F223EA">
              <w:rPr>
                <w:rFonts w:ascii="Times New Roman" w:hAnsi="Times New Roman" w:cs="Times New Roman"/>
                <w:bCs/>
                <w:szCs w:val="22"/>
              </w:rPr>
              <w:t xml:space="preserve"> tautinių mažumų istorij</w:t>
            </w:r>
            <w:r w:rsidR="00DB1E79">
              <w:rPr>
                <w:rFonts w:ascii="Times New Roman" w:hAnsi="Times New Roman" w:cs="Times New Roman"/>
                <w:bCs/>
                <w:szCs w:val="22"/>
              </w:rPr>
              <w:t xml:space="preserve">a </w:t>
            </w:r>
            <w:r w:rsidR="00DC3409">
              <w:rPr>
                <w:rFonts w:ascii="Times New Roman" w:hAnsi="Times New Roman" w:cs="Times New Roman"/>
                <w:bCs/>
                <w:szCs w:val="22"/>
              </w:rPr>
              <w:t xml:space="preserve">visuomenei </w:t>
            </w:r>
            <w:r w:rsidR="00500322">
              <w:rPr>
                <w:rFonts w:ascii="Times New Roman" w:hAnsi="Times New Roman" w:cs="Times New Roman"/>
                <w:bCs/>
                <w:szCs w:val="22"/>
              </w:rPr>
              <w:t xml:space="preserve">nepakankamai </w:t>
            </w:r>
            <w:r w:rsidR="00DB1E79">
              <w:rPr>
                <w:rFonts w:ascii="Times New Roman" w:hAnsi="Times New Roman" w:cs="Times New Roman"/>
                <w:bCs/>
                <w:szCs w:val="22"/>
              </w:rPr>
              <w:t>pristatoma</w:t>
            </w:r>
            <w:r w:rsidR="00F223EA" w:rsidRPr="00692A24">
              <w:rPr>
                <w:rFonts w:ascii="Times New Roman" w:hAnsi="Times New Roman" w:cs="Times New Roman"/>
                <w:szCs w:val="24"/>
              </w:rPr>
              <w:t xml:space="preserve"> kaip kultūriškai, </w:t>
            </w:r>
            <w:proofErr w:type="spellStart"/>
            <w:r w:rsidR="00F223EA" w:rsidRPr="00692A24">
              <w:rPr>
                <w:rFonts w:ascii="Times New Roman" w:hAnsi="Times New Roman" w:cs="Times New Roman"/>
                <w:szCs w:val="24"/>
              </w:rPr>
              <w:t>konfesiškai</w:t>
            </w:r>
            <w:proofErr w:type="spellEnd"/>
            <w:r w:rsidR="00F223EA" w:rsidRPr="00692A24">
              <w:rPr>
                <w:rFonts w:ascii="Times New Roman" w:hAnsi="Times New Roman" w:cs="Times New Roman"/>
                <w:szCs w:val="24"/>
              </w:rPr>
              <w:t xml:space="preserve"> ir kalbiškai svarbi</w:t>
            </w:r>
            <w:r w:rsidR="00DB1E79">
              <w:rPr>
                <w:rFonts w:ascii="Times New Roman" w:hAnsi="Times New Roman" w:cs="Times New Roman"/>
                <w:szCs w:val="24"/>
              </w:rPr>
              <w:t xml:space="preserve"> ir aktuali</w:t>
            </w:r>
            <w:r w:rsidR="00F223EA">
              <w:rPr>
                <w:rFonts w:ascii="Times New Roman" w:hAnsi="Times New Roman" w:cs="Times New Roman"/>
                <w:szCs w:val="24"/>
              </w:rPr>
              <w:t xml:space="preserve"> integralios Lietuv</w:t>
            </w:r>
            <w:r w:rsidR="00803201">
              <w:rPr>
                <w:rFonts w:ascii="Times New Roman" w:hAnsi="Times New Roman" w:cs="Times New Roman"/>
                <w:szCs w:val="24"/>
              </w:rPr>
              <w:t>os</w:t>
            </w:r>
            <w:r w:rsidR="00F223EA">
              <w:rPr>
                <w:rFonts w:ascii="Times New Roman" w:hAnsi="Times New Roman" w:cs="Times New Roman"/>
                <w:szCs w:val="24"/>
              </w:rPr>
              <w:t xml:space="preserve"> tapatybės</w:t>
            </w:r>
            <w:r w:rsidR="00803201">
              <w:rPr>
                <w:rFonts w:ascii="Times New Roman" w:hAnsi="Times New Roman" w:cs="Times New Roman"/>
                <w:szCs w:val="24"/>
              </w:rPr>
              <w:t xml:space="preserve"> dalis</w:t>
            </w:r>
            <w:r w:rsidR="00500322">
              <w:rPr>
                <w:rFonts w:ascii="Times New Roman" w:hAnsi="Times New Roman" w:cs="Times New Roman"/>
                <w:szCs w:val="24"/>
              </w:rPr>
              <w:t>.</w:t>
            </w:r>
          </w:p>
          <w:p w14:paraId="6D6CD2F5" w14:textId="5B431D22" w:rsidR="00DB1E79" w:rsidRPr="00871BE8" w:rsidRDefault="00711CB3" w:rsidP="00DB1E79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DB1E79" w:rsidRPr="00871BE8">
              <w:rPr>
                <w:rFonts w:ascii="Times New Roman" w:hAnsi="Times New Roman" w:cs="Times New Roman"/>
                <w:bCs/>
                <w:szCs w:val="22"/>
              </w:rPr>
              <w:t xml:space="preserve">Švietimo programose </w:t>
            </w:r>
            <w:r w:rsidR="00DC3409">
              <w:rPr>
                <w:rFonts w:ascii="Times New Roman" w:hAnsi="Times New Roman" w:cs="Times New Roman"/>
                <w:bCs/>
                <w:szCs w:val="22"/>
              </w:rPr>
              <w:t>stinga</w:t>
            </w:r>
            <w:r w:rsidR="00DB1E79" w:rsidRPr="00871BE8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proofErr w:type="spellStart"/>
            <w:r w:rsidR="00DB1E79" w:rsidRPr="00871BE8">
              <w:rPr>
                <w:rFonts w:ascii="Times New Roman" w:hAnsi="Times New Roman" w:cs="Times New Roman"/>
                <w:bCs/>
                <w:szCs w:val="22"/>
              </w:rPr>
              <w:t>kontekstualaus</w:t>
            </w:r>
            <w:proofErr w:type="spellEnd"/>
            <w:r w:rsidR="00DB1E79" w:rsidRPr="00871BE8">
              <w:rPr>
                <w:rFonts w:ascii="Times New Roman" w:hAnsi="Times New Roman" w:cs="Times New Roman"/>
                <w:bCs/>
                <w:szCs w:val="22"/>
              </w:rPr>
              <w:t xml:space="preserve"> istorinio-kultūrinio tautinių mažumų turinio</w:t>
            </w:r>
            <w:r w:rsidR="009B247D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14:paraId="145CB991" w14:textId="4F2CD4BE" w:rsidR="00F92466" w:rsidRPr="00871BE8" w:rsidRDefault="00711CB3" w:rsidP="008303B5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803201">
              <w:rPr>
                <w:rFonts w:ascii="Times New Roman" w:hAnsi="Times New Roman" w:cs="Times New Roman"/>
                <w:bCs/>
                <w:szCs w:val="22"/>
              </w:rPr>
              <w:t>Lietuvos</w:t>
            </w:r>
            <w:r w:rsidR="00F92466" w:rsidRPr="00871BE8">
              <w:rPr>
                <w:rFonts w:ascii="Times New Roman" w:hAnsi="Times New Roman" w:cs="Times New Roman"/>
                <w:bCs/>
                <w:szCs w:val="22"/>
              </w:rPr>
              <w:t xml:space="preserve"> tautinių mažumų bendruomeni</w:t>
            </w:r>
            <w:r w:rsidR="00D809F3">
              <w:rPr>
                <w:rFonts w:ascii="Times New Roman" w:hAnsi="Times New Roman" w:cs="Times New Roman"/>
                <w:bCs/>
                <w:szCs w:val="22"/>
              </w:rPr>
              <w:t>škumo neskatina silpnai koordinuot</w:t>
            </w:r>
            <w:r w:rsidR="00662EB2">
              <w:rPr>
                <w:rFonts w:ascii="Times New Roman" w:hAnsi="Times New Roman" w:cs="Times New Roman"/>
                <w:bCs/>
                <w:szCs w:val="22"/>
              </w:rPr>
              <w:t>as</w:t>
            </w:r>
            <w:r w:rsidR="00F92466" w:rsidRPr="00871BE8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D809F3">
              <w:rPr>
                <w:rFonts w:ascii="Times New Roman" w:hAnsi="Times New Roman" w:cs="Times New Roman"/>
                <w:bCs/>
                <w:szCs w:val="22"/>
              </w:rPr>
              <w:t>vietos, regioninio ir nacionalinio lygmens susijusių</w:t>
            </w:r>
            <w:r w:rsidR="00DC3409">
              <w:rPr>
                <w:rFonts w:ascii="Times New Roman" w:hAnsi="Times New Roman" w:cs="Times New Roman"/>
                <w:bCs/>
                <w:szCs w:val="22"/>
              </w:rPr>
              <w:t xml:space="preserve"> institucijų </w:t>
            </w:r>
            <w:r w:rsidR="00662EB2">
              <w:rPr>
                <w:rFonts w:ascii="Times New Roman" w:hAnsi="Times New Roman" w:cs="Times New Roman"/>
                <w:bCs/>
                <w:szCs w:val="22"/>
              </w:rPr>
              <w:t>bendradarbiavimas,</w:t>
            </w:r>
            <w:r w:rsidR="00D809F3">
              <w:rPr>
                <w:rFonts w:ascii="Times New Roman" w:hAnsi="Times New Roman" w:cs="Times New Roman"/>
                <w:bCs/>
                <w:szCs w:val="22"/>
              </w:rPr>
              <w:t xml:space="preserve"> neefektyv</w:t>
            </w:r>
            <w:r w:rsidR="00662EB2">
              <w:rPr>
                <w:rFonts w:ascii="Times New Roman" w:hAnsi="Times New Roman" w:cs="Times New Roman"/>
                <w:bCs/>
                <w:szCs w:val="22"/>
              </w:rPr>
              <w:t>i</w:t>
            </w:r>
            <w:r w:rsidR="00D809F3">
              <w:rPr>
                <w:rFonts w:ascii="Times New Roman" w:hAnsi="Times New Roman" w:cs="Times New Roman"/>
                <w:bCs/>
                <w:szCs w:val="22"/>
              </w:rPr>
              <w:t xml:space="preserve"> komunikacij</w:t>
            </w:r>
            <w:r w:rsidR="00662EB2">
              <w:rPr>
                <w:rFonts w:ascii="Times New Roman" w:hAnsi="Times New Roman" w:cs="Times New Roman"/>
                <w:bCs/>
                <w:szCs w:val="22"/>
              </w:rPr>
              <w:t>a</w:t>
            </w:r>
            <w:r w:rsidR="009B247D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14:paraId="0BDD7A3F" w14:textId="74E172F7" w:rsidR="00F92466" w:rsidRPr="00500322" w:rsidRDefault="00711CB3" w:rsidP="008303B5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809F3">
              <w:rPr>
                <w:rFonts w:ascii="Times New Roman" w:hAnsi="Times New Roman" w:cs="Times New Roman"/>
                <w:szCs w:val="22"/>
              </w:rPr>
              <w:t>T</w:t>
            </w:r>
            <w:r w:rsidR="00F92466" w:rsidRPr="00871BE8">
              <w:rPr>
                <w:rFonts w:ascii="Times New Roman" w:hAnsi="Times New Roman" w:cs="Times New Roman"/>
                <w:szCs w:val="22"/>
              </w:rPr>
              <w:t>autinių mažumų bendruomenių ir NVO atstovams</w:t>
            </w:r>
            <w:r w:rsidR="00D809F3">
              <w:rPr>
                <w:rFonts w:ascii="Times New Roman" w:hAnsi="Times New Roman" w:cs="Times New Roman"/>
                <w:szCs w:val="22"/>
              </w:rPr>
              <w:t xml:space="preserve"> stinga kvalifikacijos</w:t>
            </w:r>
            <w:r w:rsidR="00662EB2">
              <w:rPr>
                <w:rFonts w:ascii="Times New Roman" w:hAnsi="Times New Roman" w:cs="Times New Roman"/>
                <w:szCs w:val="22"/>
              </w:rPr>
              <w:t xml:space="preserve"> kėlimo galimybių aktyviai veiklai ir lyderystei stiprinti</w:t>
            </w:r>
            <w:r w:rsidR="00405DA9" w:rsidRPr="00871BE8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</w:p>
          <w:p w14:paraId="1ECA4231" w14:textId="080467A4" w:rsidR="00500322" w:rsidRPr="00500322" w:rsidRDefault="00711CB3" w:rsidP="008303B5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  <w:r w:rsidR="00500322" w:rsidRPr="00500322">
              <w:rPr>
                <w:rFonts w:ascii="Times New Roman" w:hAnsi="Times New Roman" w:cs="Times New Roman"/>
                <w:szCs w:val="22"/>
              </w:rPr>
              <w:t>Nėra kryptingo tautinių mažumų materialaus ir nematerialaus paveldo pažinimo ir aktualizavimo skatinimo.</w:t>
            </w:r>
          </w:p>
          <w:p w14:paraId="675FF856" w14:textId="57C316B5" w:rsidR="00F92466" w:rsidRPr="00871BE8" w:rsidRDefault="00F92466" w:rsidP="008303B5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pacing w:val="-2"/>
                <w:szCs w:val="22"/>
              </w:rPr>
              <w:t>Tautinių mažumų bendruomenių informacinė atskirtis ir informacinio raštingumo stoka</w:t>
            </w:r>
            <w:r w:rsidR="00405DA9" w:rsidRPr="00871BE8">
              <w:rPr>
                <w:rFonts w:ascii="Times New Roman" w:hAnsi="Times New Roman" w:cs="Times New Roman"/>
                <w:b/>
                <w:spacing w:val="-2"/>
                <w:szCs w:val="22"/>
              </w:rPr>
              <w:t>.</w:t>
            </w:r>
          </w:p>
          <w:p w14:paraId="67C6EEEE" w14:textId="2C08C670" w:rsidR="00F92466" w:rsidRPr="00500322" w:rsidRDefault="00711CB3" w:rsidP="008303B5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Cs w:val="22"/>
              </w:rPr>
              <w:t xml:space="preserve"> </w:t>
            </w:r>
            <w:r w:rsidR="00500322" w:rsidRPr="00500322">
              <w:rPr>
                <w:rFonts w:ascii="Times New Roman" w:hAnsi="Times New Roman" w:cs="Times New Roman"/>
                <w:spacing w:val="-2"/>
                <w:szCs w:val="22"/>
              </w:rPr>
              <w:t>Informacinė erdvė menkai orientuota į tautinių mažumų gyvenimo aktualijas ir poreikius</w:t>
            </w:r>
            <w:r w:rsidR="00405DA9" w:rsidRPr="00500322">
              <w:rPr>
                <w:rFonts w:ascii="Times New Roman" w:hAnsi="Times New Roman" w:cs="Times New Roman"/>
                <w:bCs/>
                <w:spacing w:val="-2"/>
                <w:szCs w:val="22"/>
              </w:rPr>
              <w:t>.</w:t>
            </w:r>
          </w:p>
          <w:p w14:paraId="2580728E" w14:textId="67B17194" w:rsidR="0078534B" w:rsidRDefault="00711CB3" w:rsidP="00662EB2">
            <w:pPr>
              <w:pStyle w:val="ListParagraph"/>
              <w:numPr>
                <w:ilvl w:val="2"/>
                <w:numId w:val="12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F92466" w:rsidRPr="00871BE8">
              <w:rPr>
                <w:rFonts w:ascii="Times New Roman" w:hAnsi="Times New Roman" w:cs="Times New Roman"/>
                <w:bCs/>
                <w:szCs w:val="22"/>
              </w:rPr>
              <w:t>Kritinio mąstymo ir informacinio raštingumo stoka visuomenėje</w:t>
            </w:r>
            <w:r w:rsidR="00500322">
              <w:rPr>
                <w:rFonts w:ascii="Times New Roman" w:hAnsi="Times New Roman" w:cs="Times New Roman"/>
                <w:bCs/>
                <w:szCs w:val="22"/>
              </w:rPr>
              <w:t xml:space="preserve"> neigiamai veikia požiūrį į tautines mažumas.</w:t>
            </w:r>
          </w:p>
          <w:p w14:paraId="007F20FB" w14:textId="05EA67E0" w:rsidR="00E50461" w:rsidRPr="00E50461" w:rsidRDefault="2B15D2BF" w:rsidP="239B735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239B735C">
              <w:rPr>
                <w:rFonts w:ascii="Times New Roman" w:hAnsi="Times New Roman" w:cs="Times New Roman"/>
                <w:i/>
                <w:iCs/>
              </w:rPr>
              <w:t xml:space="preserve">    </w:t>
            </w:r>
            <w:r w:rsidR="3C84B9F9" w:rsidRPr="239B73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C26D9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3C84B9F9" w:rsidRPr="239B735C">
              <w:rPr>
                <w:rFonts w:ascii="Times New Roman" w:hAnsi="Times New Roman" w:cs="Times New Roman"/>
                <w:i/>
                <w:iCs/>
              </w:rPr>
              <w:t>4.2 p</w:t>
            </w:r>
            <w:r w:rsidR="00E50461" w:rsidRPr="239B735C">
              <w:rPr>
                <w:rFonts w:ascii="Times New Roman" w:hAnsi="Times New Roman" w:cs="Times New Roman"/>
                <w:i/>
                <w:iCs/>
              </w:rPr>
              <w:t>riežastis sprendžiama pažangos priemonės „Kritinio mąstymo gebėjimų, atsakomybės už legalaus turinio vartojimą, medijų ir informacinio raštingumo ugdymas“ veiklomis.</w:t>
            </w:r>
          </w:p>
        </w:tc>
      </w:tr>
      <w:bookmarkEnd w:id="0"/>
      <w:tr w:rsidR="00C837D1" w:rsidRPr="00871BE8" w14:paraId="05691883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415FF5A6" w14:textId="4E498E68" w:rsidR="00BD0823" w:rsidRPr="00871BE8" w:rsidRDefault="00BD0823" w:rsidP="00BD0823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lastRenderedPageBreak/>
              <w:t>Priemon</w:t>
            </w:r>
            <w:r w:rsidR="00AA4E97">
              <w:rPr>
                <w:rFonts w:ascii="Times New Roman" w:hAnsi="Times New Roman" w:cs="Times New Roman"/>
                <w:b/>
                <w:szCs w:val="22"/>
              </w:rPr>
              <w:t>ė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14:paraId="6208C48C" w14:textId="20571CE3" w:rsidR="00C837D1" w:rsidRPr="004833E9" w:rsidRDefault="00D91232" w:rsidP="239B735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239B735C">
              <w:rPr>
                <w:rFonts w:ascii="Times New Roman" w:hAnsi="Times New Roman" w:cs="Times New Roman"/>
              </w:rPr>
              <w:t xml:space="preserve">Tautinių mažumų įsitraukimo ir </w:t>
            </w:r>
            <w:proofErr w:type="spellStart"/>
            <w:r w:rsidRPr="239B735C">
              <w:rPr>
                <w:rFonts w:ascii="Times New Roman" w:hAnsi="Times New Roman" w:cs="Times New Roman"/>
              </w:rPr>
              <w:t>įtraukties</w:t>
            </w:r>
            <w:proofErr w:type="spellEnd"/>
            <w:r w:rsidRPr="239B735C">
              <w:rPr>
                <w:rFonts w:ascii="Times New Roman" w:hAnsi="Times New Roman" w:cs="Times New Roman"/>
              </w:rPr>
              <w:t xml:space="preserve"> į visuomeninį gyvenimą skatinimas ir informacinės atskirties mažinimas.</w:t>
            </w:r>
            <w:r w:rsidR="00523C29" w:rsidRPr="239B735C">
              <w:rPr>
                <w:rFonts w:ascii="Times New Roman" w:hAnsi="Times New Roman" w:cs="Times New Roman"/>
              </w:rPr>
              <w:t xml:space="preserve"> (</w:t>
            </w:r>
            <w:r w:rsidR="00523C29" w:rsidRPr="239B735C">
              <w:rPr>
                <w:rFonts w:ascii="Times New Roman" w:hAnsi="Times New Roman" w:cs="Times New Roman"/>
                <w:i/>
                <w:iCs/>
              </w:rPr>
              <w:t>Sprendžia 4.1</w:t>
            </w:r>
            <w:r w:rsidR="00B32089" w:rsidRPr="239B735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23C29" w:rsidRPr="239B735C">
              <w:rPr>
                <w:rFonts w:ascii="Times New Roman" w:hAnsi="Times New Roman" w:cs="Times New Roman"/>
                <w:i/>
                <w:iCs/>
              </w:rPr>
              <w:t>priežas</w:t>
            </w:r>
            <w:r w:rsidR="002F7A2A">
              <w:rPr>
                <w:rFonts w:ascii="Times New Roman" w:hAnsi="Times New Roman" w:cs="Times New Roman"/>
                <w:i/>
                <w:iCs/>
              </w:rPr>
              <w:t>tį</w:t>
            </w:r>
            <w:r w:rsidR="00523C29" w:rsidRPr="239B735C">
              <w:rPr>
                <w:rFonts w:ascii="Times New Roman" w:hAnsi="Times New Roman" w:cs="Times New Roman"/>
                <w:i/>
                <w:iCs/>
              </w:rPr>
              <w:t>)</w:t>
            </w:r>
            <w:r w:rsidR="001A4CFD" w:rsidRPr="239B735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C020D2" w:rsidRPr="00871BE8" w14:paraId="5709995B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3E1FF047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NPP uždavinys, kodas ir pavadinimas</w:t>
            </w:r>
          </w:p>
          <w:p w14:paraId="6A51968D" w14:textId="43125BF9" w:rsidR="00C020D2" w:rsidRPr="00871BE8" w:rsidRDefault="00F92466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4.5 uždavinys. </w:t>
            </w:r>
            <w:r w:rsidRPr="00871BE8">
              <w:rPr>
                <w:rFonts w:ascii="Times New Roman" w:hAnsi="Times New Roman" w:cs="Times New Roman"/>
                <w:bCs/>
                <w:szCs w:val="22"/>
              </w:rPr>
              <w:t>Stiprinti istorinės atminties aktualizavimą visuomenėje</w:t>
            </w:r>
          </w:p>
        </w:tc>
      </w:tr>
      <w:tr w:rsidR="00C020D2" w:rsidRPr="00871BE8" w14:paraId="059C204F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264D14BF" w14:textId="4B3C69E6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bCs/>
                <w:szCs w:val="22"/>
              </w:rPr>
              <w:t xml:space="preserve">NPP uždavinio rodiklis ir (ar) tikslo rodiklis </w:t>
            </w:r>
          </w:p>
          <w:p w14:paraId="7621B14F" w14:textId="48FBFF5D" w:rsidR="00453E7A" w:rsidRPr="00AA7DE7" w:rsidRDefault="38B8AD8F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4.5.1. Visuomenės dalis, dalyvaujan</w:t>
            </w:r>
            <w:r w:rsidR="5EAE898B" w:rsidRPr="2BF0DB4A">
              <w:rPr>
                <w:rFonts w:ascii="Times New Roman" w:hAnsi="Times New Roman" w:cs="Times New Roman"/>
              </w:rPr>
              <w:t>ti</w:t>
            </w:r>
            <w:r w:rsidRPr="2BF0DB4A">
              <w:rPr>
                <w:rFonts w:ascii="Times New Roman" w:hAnsi="Times New Roman" w:cs="Times New Roman"/>
              </w:rPr>
              <w:t xml:space="preserve"> istorinės atminties įprasminimo renginiuose ir kaip vertybę puoselėjan</w:t>
            </w:r>
            <w:r w:rsidR="5EAE898B" w:rsidRPr="2BF0DB4A">
              <w:rPr>
                <w:rFonts w:ascii="Times New Roman" w:hAnsi="Times New Roman" w:cs="Times New Roman"/>
              </w:rPr>
              <w:t>ti</w:t>
            </w:r>
            <w:r w:rsidRPr="2BF0DB4A">
              <w:rPr>
                <w:rFonts w:ascii="Times New Roman" w:hAnsi="Times New Roman" w:cs="Times New Roman"/>
              </w:rPr>
              <w:t xml:space="preserve"> pilietinį ir tautinį tapatumą (</w:t>
            </w:r>
            <w:r w:rsidR="0C00BA72" w:rsidRPr="2BF0DB4A">
              <w:rPr>
                <w:rFonts w:ascii="Times New Roman" w:hAnsi="Times New Roman" w:cs="Times New Roman"/>
              </w:rPr>
              <w:t xml:space="preserve">2025 m. – </w:t>
            </w:r>
            <w:r w:rsidR="5EAE898B" w:rsidRPr="2BF0DB4A">
              <w:rPr>
                <w:rFonts w:ascii="Times New Roman" w:hAnsi="Times New Roman" w:cs="Times New Roman"/>
              </w:rPr>
              <w:t>42,7</w:t>
            </w:r>
            <w:r w:rsidR="4303F229" w:rsidRPr="2BF0DB4A">
              <w:rPr>
                <w:rFonts w:ascii="Times New Roman" w:hAnsi="Times New Roman" w:cs="Times New Roman"/>
              </w:rPr>
              <w:t xml:space="preserve"> proc</w:t>
            </w:r>
            <w:r w:rsidR="5EAE898B" w:rsidRPr="2BF0DB4A">
              <w:rPr>
                <w:rFonts w:ascii="Times New Roman" w:hAnsi="Times New Roman" w:cs="Times New Roman"/>
              </w:rPr>
              <w:t>.</w:t>
            </w:r>
            <w:r w:rsidR="0C00BA72" w:rsidRPr="2BF0DB4A">
              <w:rPr>
                <w:rFonts w:ascii="Times New Roman" w:hAnsi="Times New Roman" w:cs="Times New Roman"/>
              </w:rPr>
              <w:t xml:space="preserve">; </w:t>
            </w:r>
            <w:r w:rsidRPr="2BF0DB4A">
              <w:rPr>
                <w:rFonts w:ascii="Times New Roman" w:hAnsi="Times New Roman" w:cs="Times New Roman"/>
              </w:rPr>
              <w:t xml:space="preserve">2030 m. – </w:t>
            </w:r>
            <w:r w:rsidR="5EAE898B" w:rsidRPr="2BF0DB4A">
              <w:rPr>
                <w:rFonts w:ascii="Times New Roman" w:hAnsi="Times New Roman" w:cs="Times New Roman"/>
              </w:rPr>
              <w:t>46</w:t>
            </w:r>
            <w:r w:rsidR="4303F229" w:rsidRPr="2BF0DB4A">
              <w:rPr>
                <w:rFonts w:ascii="Times New Roman" w:hAnsi="Times New Roman" w:cs="Times New Roman"/>
              </w:rPr>
              <w:t xml:space="preserve"> proc</w:t>
            </w:r>
            <w:r w:rsidR="5EAE898B" w:rsidRPr="2BF0DB4A">
              <w:rPr>
                <w:rFonts w:ascii="Times New Roman" w:hAnsi="Times New Roman" w:cs="Times New Roman"/>
              </w:rPr>
              <w:t>.</w:t>
            </w:r>
            <w:r w:rsidRPr="2BF0DB4A">
              <w:rPr>
                <w:rFonts w:ascii="Times New Roman" w:hAnsi="Times New Roman" w:cs="Times New Roman"/>
              </w:rPr>
              <w:t>)</w:t>
            </w:r>
            <w:r w:rsidR="57A86A19" w:rsidRPr="2BF0DB4A">
              <w:rPr>
                <w:rFonts w:ascii="Times New Roman" w:hAnsi="Times New Roman" w:cs="Times New Roman"/>
              </w:rPr>
              <w:t>.</w:t>
            </w:r>
          </w:p>
        </w:tc>
      </w:tr>
      <w:tr w:rsidR="00C020D2" w:rsidRPr="00871BE8" w14:paraId="23164D5E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51902CDF" w14:textId="1EA901A5" w:rsidR="00C020D2" w:rsidRPr="00871BE8" w:rsidRDefault="00195DAA" w:rsidP="239B735C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239B735C">
              <w:rPr>
                <w:rFonts w:ascii="Times New Roman" w:hAnsi="Times New Roman" w:cs="Times New Roman"/>
                <w:b/>
                <w:bCs/>
              </w:rPr>
              <w:t>P</w:t>
            </w:r>
            <w:r w:rsidR="00C020D2" w:rsidRPr="239B735C">
              <w:rPr>
                <w:rFonts w:ascii="Times New Roman" w:hAnsi="Times New Roman" w:cs="Times New Roman"/>
                <w:b/>
                <w:bCs/>
              </w:rPr>
              <w:t>roblema:</w:t>
            </w:r>
            <w:r w:rsidR="002329B0" w:rsidRPr="239B735C">
              <w:rPr>
                <w:rFonts w:ascii="Times New Roman" w:hAnsi="Times New Roman" w:cs="Times New Roman"/>
                <w:b/>
                <w:bCs/>
              </w:rPr>
              <w:t xml:space="preserve"> Istorinės atminties </w:t>
            </w:r>
            <w:r w:rsidR="00B32089" w:rsidRPr="239B735C">
              <w:rPr>
                <w:rFonts w:ascii="Times New Roman" w:hAnsi="Times New Roman" w:cs="Times New Roman"/>
                <w:b/>
                <w:bCs/>
              </w:rPr>
              <w:t>pristatymas</w:t>
            </w:r>
            <w:r w:rsidR="002329B0" w:rsidRPr="239B735C">
              <w:rPr>
                <w:rFonts w:ascii="Times New Roman" w:hAnsi="Times New Roman" w:cs="Times New Roman"/>
                <w:b/>
                <w:bCs/>
              </w:rPr>
              <w:t xml:space="preserve"> per kultūros paslaugas neskatina visuomenės susidomėjimo ir įsitraukimo</w:t>
            </w:r>
            <w:r w:rsidR="00AA7DE7" w:rsidRPr="239B735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020D2" w:rsidRPr="00871BE8" w14:paraId="64C37DC7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73922F0E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Spręstinos problemos priežastys:</w:t>
            </w:r>
          </w:p>
          <w:p w14:paraId="7C4268E8" w14:textId="2097CA6D" w:rsidR="00195DAA" w:rsidRPr="00871BE8" w:rsidRDefault="002329B0" w:rsidP="00563863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Atminties institucijų</w:t>
            </w:r>
            <w:r w:rsidR="00453E7A" w:rsidRPr="00871BE8">
              <w:rPr>
                <w:rStyle w:val="FootnoteReference"/>
                <w:rFonts w:ascii="Times New Roman" w:hAnsi="Times New Roman" w:cs="Times New Roman"/>
                <w:b/>
                <w:szCs w:val="22"/>
              </w:rPr>
              <w:footnoteReference w:id="1"/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 rinkinių pateikimo formos neatliepia dabartinės visuomenės </w:t>
            </w:r>
            <w:r w:rsidR="00563863">
              <w:rPr>
                <w:rFonts w:ascii="Times New Roman" w:hAnsi="Times New Roman" w:cs="Times New Roman"/>
                <w:b/>
                <w:szCs w:val="22"/>
              </w:rPr>
              <w:t xml:space="preserve">lūkesčių ir 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aktualijų. </w:t>
            </w:r>
          </w:p>
          <w:p w14:paraId="5BF81D40" w14:textId="0C5767FF" w:rsidR="00453E7A" w:rsidRDefault="00711CB3" w:rsidP="00563863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B43C0E" w:rsidRPr="00871BE8">
              <w:rPr>
                <w:rFonts w:ascii="Times New Roman" w:hAnsi="Times New Roman" w:cs="Times New Roman"/>
                <w:bCs/>
                <w:szCs w:val="22"/>
              </w:rPr>
              <w:t xml:space="preserve">Ekspozicijos statiškos, nereflektuojančios visuomenės pokyčių ir aktualijų, neskatina </w:t>
            </w:r>
            <w:r w:rsidR="00A670EF" w:rsidRPr="00871BE8">
              <w:rPr>
                <w:rFonts w:ascii="Times New Roman" w:hAnsi="Times New Roman" w:cs="Times New Roman"/>
                <w:bCs/>
                <w:szCs w:val="22"/>
              </w:rPr>
              <w:t>visuomenės įsitraukimo ir aktyvaus pažinimo</w:t>
            </w:r>
            <w:r w:rsidR="009B247D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14:paraId="65E57B66" w14:textId="103D4887" w:rsidR="00563863" w:rsidRDefault="00563863" w:rsidP="00563863">
            <w:pPr>
              <w:pStyle w:val="ListParagraph"/>
              <w:ind w:left="1224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5.1.1.1.</w:t>
            </w:r>
            <w:r w:rsidR="00711CB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t>Infrastruktūros prioretizavimas investiciniuose projektuose.</w:t>
            </w:r>
          </w:p>
          <w:p w14:paraId="7AECF1C1" w14:textId="1A1420F0" w:rsidR="00563863" w:rsidRDefault="00563863" w:rsidP="00563863">
            <w:pPr>
              <w:pStyle w:val="ListParagraph"/>
              <w:ind w:left="1224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5.1.1.2.</w:t>
            </w:r>
            <w:r w:rsidR="00711CB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t>Nuolatinių muziejų ekspozicijų rengimo kokybinių reikalavimų nesilaikymas.</w:t>
            </w:r>
          </w:p>
          <w:p w14:paraId="28F74685" w14:textId="11404C04" w:rsidR="00563863" w:rsidRPr="00871BE8" w:rsidRDefault="00563863" w:rsidP="00563863">
            <w:pPr>
              <w:pStyle w:val="ListParagraph"/>
              <w:ind w:left="1224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5.1.1.3.</w:t>
            </w:r>
            <w:r w:rsidR="00711CB3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t>Nepakankamas bendradarbiavimas su mokslininkais, akademine bendruomene ir mažai naudojamasi mokslinėmis žiniomis.</w:t>
            </w:r>
          </w:p>
          <w:p w14:paraId="324FA3DC" w14:textId="7A3D7077" w:rsidR="536FBF3E" w:rsidRPr="002F7A2A" w:rsidRDefault="00711CB3" w:rsidP="002F7A2A">
            <w:pPr>
              <w:pStyle w:val="ListParagraph"/>
              <w:numPr>
                <w:ilvl w:val="2"/>
                <w:numId w:val="13"/>
              </w:numPr>
              <w:ind w:left="1212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6DF6" w:rsidRPr="239B735C">
              <w:rPr>
                <w:rFonts w:ascii="Times New Roman" w:hAnsi="Times New Roman" w:cs="Times New Roman"/>
              </w:rPr>
              <w:t xml:space="preserve">Tik maža dalis kultūros vertybių yra pristatoma visuomenei </w:t>
            </w:r>
            <w:r w:rsidR="00563863" w:rsidRPr="239B735C">
              <w:rPr>
                <w:rFonts w:ascii="Times New Roman" w:hAnsi="Times New Roman" w:cs="Times New Roman"/>
              </w:rPr>
              <w:t>skaitmenizuotu pavidalu bei per elektronines paslaugas</w:t>
            </w:r>
            <w:r w:rsidR="009B247D" w:rsidRPr="239B735C">
              <w:rPr>
                <w:rFonts w:ascii="Times New Roman" w:hAnsi="Times New Roman" w:cs="Times New Roman"/>
              </w:rPr>
              <w:t>.</w:t>
            </w:r>
            <w:r w:rsidR="002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7A2A" w:rsidRPr="002F7A2A">
              <w:rPr>
                <w:rFonts w:ascii="Times New Roman" w:hAnsi="Times New Roman" w:cs="Times New Roman"/>
                <w:i/>
                <w:iCs/>
              </w:rPr>
              <w:t>Subp</w:t>
            </w:r>
            <w:r w:rsidR="536FBF3E" w:rsidRPr="002F7A2A">
              <w:rPr>
                <w:rFonts w:ascii="Times New Roman" w:hAnsi="Times New Roman" w:cs="Times New Roman"/>
                <w:i/>
                <w:iCs/>
              </w:rPr>
              <w:t>riežastis</w:t>
            </w:r>
            <w:proofErr w:type="spellEnd"/>
            <w:r w:rsidR="536FBF3E" w:rsidRPr="002F7A2A">
              <w:rPr>
                <w:rFonts w:ascii="Times New Roman" w:hAnsi="Times New Roman" w:cs="Times New Roman"/>
                <w:i/>
                <w:iCs/>
              </w:rPr>
              <w:t xml:space="preserve"> sprendžiama pažangos priemonės „</w:t>
            </w:r>
            <w:r w:rsidR="365D997F" w:rsidRPr="002F7A2A">
              <w:rPr>
                <w:rFonts w:ascii="Times New Roman" w:hAnsi="Times New Roman" w:cs="Times New Roman"/>
                <w:i/>
                <w:iCs/>
              </w:rPr>
              <w:t>Investicijos į kultūros išteklių skaitmeninimą ir prieinamumą</w:t>
            </w:r>
            <w:r>
              <w:rPr>
                <w:rFonts w:ascii="Times New Roman" w:hAnsi="Times New Roman" w:cs="Times New Roman"/>
                <w:i/>
                <w:iCs/>
              </w:rPr>
              <w:t>“</w:t>
            </w:r>
            <w:r w:rsidR="536FBF3E" w:rsidRPr="002F7A2A">
              <w:rPr>
                <w:rFonts w:ascii="Times New Roman" w:hAnsi="Times New Roman" w:cs="Times New Roman"/>
                <w:i/>
                <w:iCs/>
              </w:rPr>
              <w:t xml:space="preserve"> veiklomis.</w:t>
            </w:r>
          </w:p>
          <w:p w14:paraId="7A819419" w14:textId="0D72A0B5" w:rsidR="00453E7A" w:rsidRPr="00871BE8" w:rsidRDefault="00711CB3" w:rsidP="6F6073BF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6468DE00" w:rsidRPr="239B735C">
              <w:rPr>
                <w:rFonts w:ascii="Times New Roman" w:hAnsi="Times New Roman" w:cs="Times New Roman"/>
              </w:rPr>
              <w:t>Muziejų</w:t>
            </w:r>
            <w:r w:rsidR="00563863" w:rsidRPr="239B735C">
              <w:rPr>
                <w:rFonts w:ascii="Times New Roman" w:hAnsi="Times New Roman" w:cs="Times New Roman"/>
              </w:rPr>
              <w:t xml:space="preserve"> saugyklų veikla apsiriboja tik saugojimu ir neskatina čia saugomų rinkinių naudoti kaip išteklių</w:t>
            </w:r>
            <w:r w:rsidR="0032149D" w:rsidRPr="239B735C">
              <w:rPr>
                <w:rFonts w:ascii="Times New Roman" w:hAnsi="Times New Roman" w:cs="Times New Roman"/>
              </w:rPr>
              <w:t>.</w:t>
            </w:r>
          </w:p>
          <w:p w14:paraId="768217D3" w14:textId="1F203CE7" w:rsidR="002329B0" w:rsidRPr="00871BE8" w:rsidRDefault="00563863" w:rsidP="00563863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K</w:t>
            </w:r>
            <w:r w:rsidR="002329B0" w:rsidRPr="00871BE8">
              <w:rPr>
                <w:rFonts w:ascii="Times New Roman" w:hAnsi="Times New Roman" w:cs="Times New Roman"/>
                <w:b/>
                <w:szCs w:val="22"/>
              </w:rPr>
              <w:t xml:space="preserve">omunikacija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visuomenei </w:t>
            </w:r>
            <w:r w:rsidR="002329B0" w:rsidRPr="00871BE8">
              <w:rPr>
                <w:rFonts w:ascii="Times New Roman" w:hAnsi="Times New Roman" w:cs="Times New Roman"/>
                <w:b/>
                <w:szCs w:val="22"/>
              </w:rPr>
              <w:t>istorinėmis temomis neskatina refleksijos ir neįtraukia į diskusiją.</w:t>
            </w:r>
          </w:p>
          <w:p w14:paraId="67AD9CA4" w14:textId="018BF5A2" w:rsidR="00563863" w:rsidRPr="00563863" w:rsidRDefault="00711CB3" w:rsidP="00563863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63863" w:rsidRPr="00563863">
              <w:rPr>
                <w:rFonts w:ascii="Times New Roman" w:hAnsi="Times New Roman" w:cs="Times New Roman"/>
                <w:szCs w:val="22"/>
              </w:rPr>
              <w:t>Į istorinės atminties aktualizacijos procesą menkai įtraukiamos įvairios visuomenės grupės, vietos bendruomenės, užsienio lietuviai, menininkai.</w:t>
            </w:r>
          </w:p>
          <w:p w14:paraId="29A2C745" w14:textId="715AEBF7" w:rsidR="002329B0" w:rsidRPr="004833E9" w:rsidRDefault="00711CB3" w:rsidP="002329B0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63863" w:rsidRPr="00563863">
              <w:rPr>
                <w:rFonts w:ascii="Times New Roman" w:hAnsi="Times New Roman" w:cs="Times New Roman"/>
                <w:szCs w:val="22"/>
              </w:rPr>
              <w:t>Trūksta profesionalaus istorinių įvykių ir aktualių visuomenės gyvenimo reiškinių vertinimo, neskatinama visuomenės refleksija.</w:t>
            </w:r>
          </w:p>
        </w:tc>
      </w:tr>
      <w:tr w:rsidR="00C837D1" w:rsidRPr="00871BE8" w14:paraId="2C92FFF5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195FBE38" w14:textId="3A5204A9" w:rsidR="00BD0823" w:rsidRPr="00871BE8" w:rsidRDefault="00BD0823" w:rsidP="00BD0823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Priemon</w:t>
            </w:r>
            <w:r w:rsidR="00AA4E97">
              <w:rPr>
                <w:rFonts w:ascii="Times New Roman" w:hAnsi="Times New Roman" w:cs="Times New Roman"/>
                <w:b/>
                <w:szCs w:val="22"/>
              </w:rPr>
              <w:t>ė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14:paraId="7A51BB7F" w14:textId="22108044" w:rsidR="00CE441A" w:rsidRPr="004833E9" w:rsidRDefault="00892188" w:rsidP="004833E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Is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torinės atminties </w:t>
            </w:r>
            <w:r w:rsidR="00B32089" w:rsidRPr="00871BE8">
              <w:rPr>
                <w:rFonts w:ascii="Times New Roman" w:hAnsi="Times New Roman" w:cs="Times New Roman"/>
                <w:szCs w:val="22"/>
              </w:rPr>
              <w:t>turin</w:t>
            </w:r>
            <w:r w:rsidR="00B32089">
              <w:rPr>
                <w:rFonts w:ascii="Times New Roman" w:hAnsi="Times New Roman" w:cs="Times New Roman"/>
                <w:szCs w:val="22"/>
              </w:rPr>
              <w:t xml:space="preserve">io, </w:t>
            </w:r>
            <w:r w:rsidR="00B32089" w:rsidRPr="00871BE8">
              <w:rPr>
                <w:rFonts w:ascii="Times New Roman" w:hAnsi="Times New Roman" w:cs="Times New Roman"/>
                <w:szCs w:val="22"/>
              </w:rPr>
              <w:t>form</w:t>
            </w:r>
            <w:r w:rsidR="00B32089">
              <w:rPr>
                <w:rFonts w:ascii="Times New Roman" w:hAnsi="Times New Roman" w:cs="Times New Roman"/>
                <w:szCs w:val="22"/>
              </w:rPr>
              <w:t xml:space="preserve">ų ir 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komunikacijos </w:t>
            </w:r>
            <w:r>
              <w:rPr>
                <w:rFonts w:ascii="Times New Roman" w:hAnsi="Times New Roman" w:cs="Times New Roman"/>
                <w:szCs w:val="22"/>
              </w:rPr>
              <w:t>aktualizavimas</w:t>
            </w:r>
            <w:r w:rsidR="00523C29">
              <w:rPr>
                <w:rFonts w:ascii="Times New Roman" w:hAnsi="Times New Roman" w:cs="Times New Roman"/>
                <w:szCs w:val="22"/>
              </w:rPr>
              <w:t>.</w:t>
            </w:r>
            <w:r w:rsidR="002329B0" w:rsidRPr="00871BE8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453E7A" w:rsidRPr="00871BE8">
              <w:rPr>
                <w:rFonts w:ascii="Times New Roman" w:hAnsi="Times New Roman" w:cs="Times New Roman"/>
                <w:i/>
                <w:iCs/>
                <w:szCs w:val="22"/>
              </w:rPr>
              <w:t>S</w:t>
            </w:r>
            <w:r w:rsidR="002329B0" w:rsidRPr="00871BE8">
              <w:rPr>
                <w:rFonts w:ascii="Times New Roman" w:hAnsi="Times New Roman" w:cs="Times New Roman"/>
                <w:i/>
                <w:iCs/>
                <w:szCs w:val="22"/>
              </w:rPr>
              <w:t>prendžia 5.1 ir 5.2 priežastis)</w:t>
            </w:r>
            <w:r w:rsidR="00C62AF6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</w:p>
        </w:tc>
      </w:tr>
      <w:tr w:rsidR="00C020D2" w:rsidRPr="00871BE8" w14:paraId="5977BC33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3ABD21B8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NPP uždavinys, kodas ir pavadinimas</w:t>
            </w:r>
          </w:p>
          <w:p w14:paraId="04C3754D" w14:textId="0F566049" w:rsidR="00C020D2" w:rsidRPr="00871BE8" w:rsidRDefault="00CF43F3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4.6 uždavinys: </w:t>
            </w:r>
            <w:r w:rsidRPr="00871BE8">
              <w:rPr>
                <w:rFonts w:ascii="Times New Roman" w:hAnsi="Times New Roman" w:cs="Times New Roman"/>
                <w:bCs/>
                <w:szCs w:val="22"/>
              </w:rPr>
              <w:t>Atgaivinti visuomenei reikšmingą kultūros ir tautinį paveldą ir didinti jo naudojimą visuomenės poreikiams</w:t>
            </w:r>
          </w:p>
        </w:tc>
      </w:tr>
      <w:tr w:rsidR="00C020D2" w:rsidRPr="00871BE8" w14:paraId="1C2565C4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617BD754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bCs/>
                <w:szCs w:val="22"/>
              </w:rPr>
              <w:t xml:space="preserve">NPP uždavinio rodiklis ir (ar) tikslo rodiklis </w:t>
            </w:r>
          </w:p>
          <w:p w14:paraId="2E36D921" w14:textId="391D9E75" w:rsidR="00CF43F3" w:rsidRDefault="62C147AB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lastRenderedPageBreak/>
              <w:t xml:space="preserve">4.6.1. </w:t>
            </w:r>
            <w:proofErr w:type="spellStart"/>
            <w:r w:rsidRPr="2BF0DB4A">
              <w:rPr>
                <w:rFonts w:ascii="Times New Roman" w:hAnsi="Times New Roman" w:cs="Times New Roman"/>
              </w:rPr>
              <w:t>Įveiklintų</w:t>
            </w:r>
            <w:proofErr w:type="spellEnd"/>
            <w:r w:rsidRPr="2BF0DB4A">
              <w:rPr>
                <w:rFonts w:ascii="Times New Roman" w:hAnsi="Times New Roman" w:cs="Times New Roman"/>
              </w:rPr>
              <w:t xml:space="preserve"> kultūros paveldo objektų dalis (2025 m. – </w:t>
            </w:r>
            <w:r w:rsidR="69929DE6" w:rsidRPr="2BF0DB4A">
              <w:rPr>
                <w:rFonts w:ascii="Times New Roman" w:hAnsi="Times New Roman" w:cs="Times New Roman"/>
              </w:rPr>
              <w:t>30</w:t>
            </w:r>
            <w:r w:rsidR="519F3C01" w:rsidRPr="2BF0DB4A">
              <w:rPr>
                <w:rFonts w:ascii="Times New Roman" w:hAnsi="Times New Roman" w:cs="Times New Roman"/>
              </w:rPr>
              <w:t xml:space="preserve"> proc.</w:t>
            </w:r>
            <w:r w:rsidRPr="2BF0DB4A">
              <w:rPr>
                <w:rFonts w:ascii="Times New Roman" w:hAnsi="Times New Roman" w:cs="Times New Roman"/>
              </w:rPr>
              <w:t>; 2030 m. – 35</w:t>
            </w:r>
            <w:r w:rsidR="519F3C01" w:rsidRPr="2BF0DB4A">
              <w:rPr>
                <w:rFonts w:ascii="Times New Roman" w:hAnsi="Times New Roman" w:cs="Times New Roman"/>
              </w:rPr>
              <w:t xml:space="preserve"> proc.</w:t>
            </w:r>
            <w:r w:rsidRPr="2BF0DB4A">
              <w:rPr>
                <w:rFonts w:ascii="Times New Roman" w:hAnsi="Times New Roman" w:cs="Times New Roman"/>
              </w:rPr>
              <w:t>);</w:t>
            </w:r>
          </w:p>
          <w:p w14:paraId="4054CD37" w14:textId="08F02EC5" w:rsidR="00BF327F" w:rsidRPr="00BF327F" w:rsidRDefault="00BF327F" w:rsidP="2BF0DB4A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F327F">
              <w:rPr>
                <w:rFonts w:ascii="Times New Roman" w:hAnsi="Times New Roman" w:cs="Times New Roman"/>
                <w:szCs w:val="22"/>
              </w:rPr>
              <w:t xml:space="preserve">4.6.2. Kultūros paveldo objektų, į kurių išsaugojimą ir </w:t>
            </w:r>
            <w:proofErr w:type="spellStart"/>
            <w:r w:rsidRPr="00BF327F">
              <w:rPr>
                <w:rFonts w:ascii="Times New Roman" w:hAnsi="Times New Roman" w:cs="Times New Roman"/>
                <w:szCs w:val="22"/>
              </w:rPr>
              <w:t>įveiklinimą</w:t>
            </w:r>
            <w:proofErr w:type="spellEnd"/>
            <w:r w:rsidRPr="00BF327F">
              <w:rPr>
                <w:rFonts w:ascii="Times New Roman" w:hAnsi="Times New Roman" w:cs="Times New Roman"/>
                <w:szCs w:val="22"/>
              </w:rPr>
              <w:t xml:space="preserve"> aktyviai įsitraukė bendruomenės (įskaitant religines), skaičiaus pokytis, palyginti su pradine situacija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2BF0DB4A">
              <w:rPr>
                <w:rFonts w:ascii="Times New Roman" w:hAnsi="Times New Roman" w:cs="Times New Roman"/>
              </w:rPr>
              <w:t xml:space="preserve">(2025 m. – </w:t>
            </w:r>
            <w:r>
              <w:rPr>
                <w:rFonts w:ascii="Times New Roman" w:hAnsi="Times New Roman" w:cs="Times New Roman"/>
              </w:rPr>
              <w:t>15</w:t>
            </w:r>
            <w:r w:rsidRPr="2BF0DB4A">
              <w:rPr>
                <w:rFonts w:ascii="Times New Roman" w:hAnsi="Times New Roman" w:cs="Times New Roman"/>
              </w:rPr>
              <w:t xml:space="preserve"> proc.; 2030 m. – </w:t>
            </w:r>
            <w:r>
              <w:rPr>
                <w:rFonts w:ascii="Times New Roman" w:hAnsi="Times New Roman" w:cs="Times New Roman"/>
              </w:rPr>
              <w:t>20</w:t>
            </w:r>
            <w:r w:rsidRPr="2BF0DB4A">
              <w:rPr>
                <w:rFonts w:ascii="Times New Roman" w:hAnsi="Times New Roman" w:cs="Times New Roman"/>
              </w:rPr>
              <w:t xml:space="preserve"> proc.);</w:t>
            </w:r>
          </w:p>
          <w:p w14:paraId="67009372" w14:textId="2F2853A5" w:rsidR="00136258" w:rsidRPr="00871BE8" w:rsidRDefault="6FE03C4A" w:rsidP="533F7905">
            <w:pPr>
              <w:jc w:val="both"/>
              <w:rPr>
                <w:rFonts w:ascii="Times New Roman" w:hAnsi="Times New Roman" w:cs="Times New Roman"/>
                <w:color w:val="1F497D" w:themeColor="text2"/>
              </w:rPr>
            </w:pPr>
            <w:r w:rsidRPr="00BF327F">
              <w:rPr>
                <w:rFonts w:ascii="Times New Roman" w:hAnsi="Times New Roman" w:cs="Times New Roman"/>
              </w:rPr>
              <w:t>4.6.</w:t>
            </w:r>
            <w:r w:rsidR="00BF327F" w:rsidRPr="00BF327F">
              <w:rPr>
                <w:rFonts w:ascii="Times New Roman" w:hAnsi="Times New Roman" w:cs="Times New Roman"/>
              </w:rPr>
              <w:t>3</w:t>
            </w:r>
            <w:r w:rsidRPr="00BF327F">
              <w:rPr>
                <w:rFonts w:ascii="Times New Roman" w:hAnsi="Times New Roman" w:cs="Times New Roman"/>
              </w:rPr>
              <w:t xml:space="preserve">. Nematerialaus kultūros paveldo vertybių (įskaitant </w:t>
            </w:r>
            <w:r w:rsidR="00BF327F" w:rsidRPr="00BF327F">
              <w:rPr>
                <w:rFonts w:ascii="Times New Roman" w:hAnsi="Times New Roman" w:cs="Times New Roman"/>
              </w:rPr>
              <w:t xml:space="preserve">ir </w:t>
            </w:r>
            <w:r w:rsidRPr="00BF327F">
              <w:rPr>
                <w:rFonts w:ascii="Times New Roman" w:hAnsi="Times New Roman" w:cs="Times New Roman"/>
              </w:rPr>
              <w:t>UNESCO vertybes) sąvade nustatytų ir pristatant visuomenei aktualizuotų vertybių skaičius</w:t>
            </w:r>
            <w:r w:rsidRPr="2BF0DB4A">
              <w:rPr>
                <w:rFonts w:ascii="Times New Roman" w:hAnsi="Times New Roman" w:cs="Times New Roman"/>
              </w:rPr>
              <w:t xml:space="preserve"> (2025 m. – </w:t>
            </w:r>
            <w:r w:rsidR="5113F10A" w:rsidRPr="2BF0DB4A">
              <w:rPr>
                <w:rFonts w:ascii="Times New Roman" w:hAnsi="Times New Roman" w:cs="Times New Roman"/>
              </w:rPr>
              <w:t>70</w:t>
            </w:r>
            <w:r w:rsidR="2DA02592" w:rsidRPr="2BF0DB4A">
              <w:rPr>
                <w:rFonts w:ascii="Times New Roman" w:hAnsi="Times New Roman" w:cs="Times New Roman"/>
              </w:rPr>
              <w:t xml:space="preserve"> kaupiamieji vienetai</w:t>
            </w:r>
            <w:r w:rsidRPr="2BF0DB4A">
              <w:rPr>
                <w:rFonts w:ascii="Times New Roman" w:hAnsi="Times New Roman" w:cs="Times New Roman"/>
              </w:rPr>
              <w:t xml:space="preserve">; 2030 m. – </w:t>
            </w:r>
            <w:r w:rsidR="1DC00A92" w:rsidRPr="2BF0DB4A">
              <w:rPr>
                <w:rFonts w:ascii="Times New Roman" w:hAnsi="Times New Roman" w:cs="Times New Roman"/>
              </w:rPr>
              <w:t>95</w:t>
            </w:r>
            <w:r w:rsidR="2DA02592" w:rsidRPr="2BF0DB4A">
              <w:rPr>
                <w:rFonts w:ascii="Times New Roman" w:hAnsi="Times New Roman" w:cs="Times New Roman"/>
              </w:rPr>
              <w:t xml:space="preserve"> kaupiamieji vienetai</w:t>
            </w:r>
            <w:r w:rsidRPr="2BF0DB4A">
              <w:rPr>
                <w:rFonts w:ascii="Times New Roman" w:hAnsi="Times New Roman" w:cs="Times New Roman"/>
              </w:rPr>
              <w:t>).</w:t>
            </w:r>
          </w:p>
        </w:tc>
      </w:tr>
      <w:tr w:rsidR="00C020D2" w:rsidRPr="00871BE8" w14:paraId="4A41E247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61BDD283" w14:textId="07DADEC2" w:rsidR="00C020D2" w:rsidRPr="00871BE8" w:rsidRDefault="00195DAA" w:rsidP="28C1312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28C1312A">
              <w:rPr>
                <w:rFonts w:ascii="Times New Roman" w:hAnsi="Times New Roman" w:cs="Times New Roman"/>
                <w:b/>
                <w:bCs/>
              </w:rPr>
              <w:lastRenderedPageBreak/>
              <w:t>P</w:t>
            </w:r>
            <w:r w:rsidR="00C020D2" w:rsidRPr="28C1312A">
              <w:rPr>
                <w:rFonts w:ascii="Times New Roman" w:hAnsi="Times New Roman" w:cs="Times New Roman"/>
                <w:b/>
                <w:bCs/>
              </w:rPr>
              <w:t>roblema:</w:t>
            </w:r>
            <w:r w:rsidR="00CF43F3" w:rsidRPr="28C1312A">
              <w:rPr>
                <w:rFonts w:ascii="Times New Roman" w:hAnsi="Times New Roman" w:cs="Times New Roman"/>
                <w:b/>
                <w:bCs/>
              </w:rPr>
              <w:t xml:space="preserve"> Kultūros paveldas kaip unikal</w:t>
            </w:r>
            <w:r w:rsidR="53924BDD" w:rsidRPr="28C1312A">
              <w:rPr>
                <w:rFonts w:ascii="Times New Roman" w:hAnsi="Times New Roman" w:cs="Times New Roman"/>
                <w:b/>
                <w:bCs/>
              </w:rPr>
              <w:t>ū</w:t>
            </w:r>
            <w:r w:rsidR="00CF43F3" w:rsidRPr="28C1312A">
              <w:rPr>
                <w:rFonts w:ascii="Times New Roman" w:hAnsi="Times New Roman" w:cs="Times New Roman"/>
                <w:b/>
                <w:bCs/>
              </w:rPr>
              <w:t>s ištekli</w:t>
            </w:r>
            <w:r w:rsidR="24A351A0" w:rsidRPr="28C1312A">
              <w:rPr>
                <w:rFonts w:ascii="Times New Roman" w:hAnsi="Times New Roman" w:cs="Times New Roman"/>
                <w:b/>
                <w:bCs/>
              </w:rPr>
              <w:t>ai</w:t>
            </w:r>
            <w:r w:rsidR="00CF43F3" w:rsidRPr="28C1312A">
              <w:rPr>
                <w:rFonts w:ascii="Times New Roman" w:hAnsi="Times New Roman" w:cs="Times New Roman"/>
                <w:b/>
                <w:bCs/>
              </w:rPr>
              <w:t xml:space="preserve"> nėra efektyviai naudojam</w:t>
            </w:r>
            <w:r w:rsidR="02397AD7" w:rsidRPr="28C1312A">
              <w:rPr>
                <w:rFonts w:ascii="Times New Roman" w:hAnsi="Times New Roman" w:cs="Times New Roman"/>
                <w:b/>
                <w:bCs/>
              </w:rPr>
              <w:t>i</w:t>
            </w:r>
            <w:r w:rsidR="00CF43F3" w:rsidRPr="28C1312A">
              <w:rPr>
                <w:rFonts w:ascii="Times New Roman" w:hAnsi="Times New Roman" w:cs="Times New Roman"/>
                <w:b/>
                <w:bCs/>
              </w:rPr>
              <w:t xml:space="preserve"> kurti pridėtinę vertę šalies ekonomikoje ir stiprinti tautinę tapatybę</w:t>
            </w:r>
            <w:r w:rsidR="009E3766" w:rsidRPr="28C1312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020D2" w:rsidRPr="00871BE8" w14:paraId="7D320625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120A4F3F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Spręstinos problemos priežastys:</w:t>
            </w:r>
          </w:p>
          <w:p w14:paraId="12DE09E1" w14:textId="7AF58061" w:rsidR="00CF43F3" w:rsidRPr="00871BE8" w:rsidRDefault="00CF43F3" w:rsidP="28C1312A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28C1312A">
              <w:rPr>
                <w:rFonts w:ascii="Times New Roman" w:hAnsi="Times New Roman" w:cs="Times New Roman"/>
                <w:b/>
                <w:bCs/>
              </w:rPr>
              <w:t>Visuomenė menkai pažįsta kultūros paveld</w:t>
            </w:r>
            <w:r w:rsidR="49F14DBA" w:rsidRPr="28C1312A">
              <w:rPr>
                <w:rFonts w:ascii="Times New Roman" w:hAnsi="Times New Roman" w:cs="Times New Roman"/>
                <w:b/>
                <w:bCs/>
              </w:rPr>
              <w:t>o išteklius</w:t>
            </w:r>
            <w:r w:rsidR="009E3766" w:rsidRPr="28C1312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5A03F06C" w14:textId="3D310F58" w:rsidR="00CF43F3" w:rsidRDefault="00520BB1" w:rsidP="703B9A6C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43F3" w:rsidRPr="28C1312A">
              <w:rPr>
                <w:rFonts w:ascii="Times New Roman" w:hAnsi="Times New Roman" w:cs="Times New Roman"/>
              </w:rPr>
              <w:t>Formaliojo ugdymo sistemoje vaikai ir jaunimas nesudominamas kultūros paveld</w:t>
            </w:r>
            <w:r w:rsidR="5057E41E" w:rsidRPr="28C1312A">
              <w:rPr>
                <w:rFonts w:ascii="Times New Roman" w:hAnsi="Times New Roman" w:cs="Times New Roman"/>
              </w:rPr>
              <w:t xml:space="preserve">o vertybėmis </w:t>
            </w:r>
            <w:r w:rsidR="00CF43F3" w:rsidRPr="28C1312A">
              <w:rPr>
                <w:rFonts w:ascii="Times New Roman" w:hAnsi="Times New Roman" w:cs="Times New Roman"/>
              </w:rPr>
              <w:t>ir su juo nesupažindinamas</w:t>
            </w:r>
            <w:r w:rsidR="293F1A54" w:rsidRPr="28C1312A">
              <w:rPr>
                <w:rFonts w:ascii="Times New Roman" w:hAnsi="Times New Roman" w:cs="Times New Roman"/>
              </w:rPr>
              <w:t>.</w:t>
            </w:r>
            <w:r w:rsidR="00CF43F3" w:rsidRPr="28C13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3EB4" w:rsidRPr="28C1312A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023EB4" w:rsidRPr="28C1312A">
              <w:rPr>
                <w:rFonts w:ascii="Times New Roman" w:hAnsi="Times New Roman" w:cs="Times New Roman"/>
                <w:i/>
                <w:iCs/>
              </w:rPr>
              <w:t xml:space="preserve"> iš dalies turi būti sprendžiama </w:t>
            </w:r>
            <w:r w:rsidR="23F6E9B3" w:rsidRPr="28C131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2021–2030 m. Švietimo plėtros programo</w:t>
            </w:r>
            <w:r w:rsidR="00023EB4" w:rsidRPr="28C131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 veiklomis.</w:t>
            </w:r>
          </w:p>
          <w:p w14:paraId="530D3CCE" w14:textId="1E2689EC" w:rsidR="00CF43F3" w:rsidRPr="00871BE8" w:rsidRDefault="00520BB1" w:rsidP="28C1312A">
            <w:pPr>
              <w:pStyle w:val="ListParagraph"/>
              <w:numPr>
                <w:ilvl w:val="2"/>
                <w:numId w:val="5"/>
              </w:numPr>
              <w:jc w:val="both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43F3" w:rsidRPr="28C1312A">
              <w:rPr>
                <w:rFonts w:ascii="Times New Roman" w:hAnsi="Times New Roman" w:cs="Times New Roman"/>
              </w:rPr>
              <w:t>Kultūros paveldo apsaugos specialistų</w:t>
            </w:r>
            <w:r w:rsidR="2E4CB33C" w:rsidRPr="28C1312A">
              <w:rPr>
                <w:rFonts w:ascii="Times New Roman" w:hAnsi="Times New Roman" w:cs="Times New Roman"/>
              </w:rPr>
              <w:t>,</w:t>
            </w:r>
            <w:r w:rsidR="00CF43F3" w:rsidRPr="28C1312A">
              <w:rPr>
                <w:rFonts w:ascii="Times New Roman" w:hAnsi="Times New Roman" w:cs="Times New Roman"/>
              </w:rPr>
              <w:t xml:space="preserve"> tyrėjų profesija bei profesinė veikla jaunimui menkai suprantama ir pažįstama, todėl n</w:t>
            </w:r>
            <w:r w:rsidR="009E3766" w:rsidRPr="28C1312A">
              <w:rPr>
                <w:rFonts w:ascii="Times New Roman" w:hAnsi="Times New Roman" w:cs="Times New Roman"/>
              </w:rPr>
              <w:t>ėra</w:t>
            </w:r>
            <w:r w:rsidR="00CF43F3" w:rsidRPr="28C1312A">
              <w:rPr>
                <w:rFonts w:ascii="Times New Roman" w:hAnsi="Times New Roman" w:cs="Times New Roman"/>
              </w:rPr>
              <w:t xml:space="preserve"> patraukli profesin</w:t>
            </w:r>
            <w:r w:rsidR="009E3766" w:rsidRPr="28C1312A">
              <w:rPr>
                <w:rFonts w:ascii="Times New Roman" w:hAnsi="Times New Roman" w:cs="Times New Roman"/>
              </w:rPr>
              <w:t>ė</w:t>
            </w:r>
            <w:r w:rsidR="00CF43F3" w:rsidRPr="28C1312A">
              <w:rPr>
                <w:rFonts w:ascii="Times New Roman" w:hAnsi="Times New Roman" w:cs="Times New Roman"/>
              </w:rPr>
              <w:t xml:space="preserve"> galimyb</w:t>
            </w:r>
            <w:r w:rsidR="009E3766" w:rsidRPr="28C1312A">
              <w:rPr>
                <w:rFonts w:ascii="Times New Roman" w:hAnsi="Times New Roman" w:cs="Times New Roman"/>
              </w:rPr>
              <w:t>ė</w:t>
            </w:r>
            <w:r w:rsidR="009B247D" w:rsidRPr="28C1312A">
              <w:rPr>
                <w:rFonts w:ascii="Times New Roman" w:hAnsi="Times New Roman" w:cs="Times New Roman"/>
              </w:rPr>
              <w:t>.</w:t>
            </w:r>
            <w:r w:rsidR="11EDDFE2" w:rsidRPr="28C13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3EB4" w:rsidRPr="28C1312A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023EB4" w:rsidRPr="28C1312A">
              <w:rPr>
                <w:rFonts w:ascii="Times New Roman" w:hAnsi="Times New Roman" w:cs="Times New Roman"/>
                <w:i/>
                <w:iCs/>
              </w:rPr>
              <w:t xml:space="preserve"> iš dalies turi būti sprendžiama </w:t>
            </w:r>
            <w:r w:rsidR="11EDDFE2" w:rsidRPr="28C131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2021–2030 m. Švietimo plėtros programo</w:t>
            </w:r>
            <w:r w:rsidR="00023EB4" w:rsidRPr="28C131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 veiklomis</w:t>
            </w:r>
            <w:r w:rsidR="11EDDFE2" w:rsidRPr="28C1312A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3DE29CA7" w14:textId="4785EC3D" w:rsidR="00CF43F3" w:rsidRPr="00871BE8" w:rsidRDefault="00520BB1" w:rsidP="703B9A6C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43F3" w:rsidRPr="28C1312A">
              <w:rPr>
                <w:rFonts w:ascii="Times New Roman" w:hAnsi="Times New Roman" w:cs="Times New Roman"/>
              </w:rPr>
              <w:t xml:space="preserve">Nėra </w:t>
            </w:r>
            <w:r w:rsidR="009E3766" w:rsidRPr="28C1312A">
              <w:rPr>
                <w:rFonts w:ascii="Times New Roman" w:hAnsi="Times New Roman" w:cs="Times New Roman"/>
              </w:rPr>
              <w:t xml:space="preserve">skleidžiamos pozityvios žinios apie kultūros paveldo </w:t>
            </w:r>
            <w:r w:rsidR="70830826" w:rsidRPr="28C1312A">
              <w:rPr>
                <w:rFonts w:ascii="Times New Roman" w:hAnsi="Times New Roman" w:cs="Times New Roman"/>
              </w:rPr>
              <w:t xml:space="preserve">vertybių sukuriamą </w:t>
            </w:r>
            <w:r w:rsidR="009E3766" w:rsidRPr="28C1312A">
              <w:rPr>
                <w:rFonts w:ascii="Times New Roman" w:hAnsi="Times New Roman" w:cs="Times New Roman"/>
              </w:rPr>
              <w:t xml:space="preserve">ekonominę vertę ir praktinius </w:t>
            </w:r>
            <w:r w:rsidR="08337C8C" w:rsidRPr="28C1312A">
              <w:rPr>
                <w:rFonts w:ascii="Times New Roman" w:hAnsi="Times New Roman" w:cs="Times New Roman"/>
              </w:rPr>
              <w:t xml:space="preserve">tvaraus </w:t>
            </w:r>
            <w:r w:rsidR="009E3766" w:rsidRPr="28C1312A">
              <w:rPr>
                <w:rFonts w:ascii="Times New Roman" w:hAnsi="Times New Roman" w:cs="Times New Roman"/>
              </w:rPr>
              <w:t>panaudojimo pavyzdžius</w:t>
            </w:r>
            <w:r w:rsidR="009B247D" w:rsidRPr="28C1312A">
              <w:rPr>
                <w:rFonts w:ascii="Times New Roman" w:hAnsi="Times New Roman" w:cs="Times New Roman"/>
              </w:rPr>
              <w:t>.</w:t>
            </w:r>
          </w:p>
          <w:p w14:paraId="36D17104" w14:textId="77C4C144" w:rsidR="00CF43F3" w:rsidRPr="00871BE8" w:rsidRDefault="00520BB1" w:rsidP="1A7D8279">
            <w:pPr>
              <w:pStyle w:val="ListParagraph"/>
              <w:numPr>
                <w:ilvl w:val="2"/>
                <w:numId w:val="5"/>
              </w:num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D5750D1" w:rsidRPr="1A7D8279">
              <w:rPr>
                <w:rFonts w:ascii="Times New Roman" w:hAnsi="Times New Roman" w:cs="Times New Roman"/>
              </w:rPr>
              <w:t xml:space="preserve">Daliai Lietuvai reikšmingo </w:t>
            </w:r>
            <w:r w:rsidR="6FEBCF51" w:rsidRPr="1A7D8279">
              <w:rPr>
                <w:rFonts w:ascii="Times New Roman" w:hAnsi="Times New Roman" w:cs="Times New Roman"/>
              </w:rPr>
              <w:t xml:space="preserve">kilnojamojo kultūros paveldo </w:t>
            </w:r>
            <w:r w:rsidR="0D5750D1" w:rsidRPr="1A7D8279">
              <w:rPr>
                <w:rFonts w:ascii="Times New Roman" w:hAnsi="Times New Roman" w:cs="Times New Roman"/>
              </w:rPr>
              <w:t>tebesant užsienyje visuomenei nesudarytos galimybės su juo susipažinti</w:t>
            </w:r>
            <w:r w:rsidR="5F43DCC4" w:rsidRPr="1A7D8279">
              <w:rPr>
                <w:rFonts w:ascii="Times New Roman" w:hAnsi="Times New Roman" w:cs="Times New Roman"/>
              </w:rPr>
              <w:t>.</w:t>
            </w:r>
            <w:r w:rsidR="6FB3CD0A" w:rsidRPr="1A7D82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8EA5B43" w:rsidRPr="1A7D8279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8EA5B43" w:rsidRPr="1A7D8279">
              <w:rPr>
                <w:rFonts w:ascii="Times New Roman" w:hAnsi="Times New Roman" w:cs="Times New Roman"/>
                <w:i/>
                <w:iCs/>
              </w:rPr>
              <w:t xml:space="preserve"> iš dalies </w:t>
            </w:r>
            <w:r w:rsidR="29BA908D" w:rsidRPr="1A7D8279">
              <w:rPr>
                <w:rFonts w:ascii="Times New Roman" w:hAnsi="Times New Roman" w:cs="Times New Roman"/>
                <w:i/>
                <w:iCs/>
              </w:rPr>
              <w:t>bus</w:t>
            </w:r>
            <w:r w:rsidR="08EA5B43" w:rsidRPr="1A7D8279">
              <w:rPr>
                <w:rFonts w:ascii="Times New Roman" w:hAnsi="Times New Roman" w:cs="Times New Roman"/>
                <w:i/>
                <w:iCs/>
              </w:rPr>
              <w:t xml:space="preserve"> sprendžiama </w:t>
            </w:r>
            <w:r w:rsidR="7D79F30F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>Užsien</w:t>
            </w:r>
            <w:r w:rsidR="7932E930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>io</w:t>
            </w:r>
            <w:r w:rsidR="7D79F30F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 xml:space="preserve"> </w:t>
            </w:r>
            <w:r w:rsidR="1701E261" w:rsidRPr="1A7D8279">
              <w:rPr>
                <w:rFonts w:ascii="Times New Roman" w:hAnsi="Times New Roman" w:cs="Times New Roman"/>
                <w:i/>
                <w:iCs/>
                <w:color w:val="201F1E"/>
              </w:rPr>
              <w:t>reikalų ministerijos įgyvendinamomis</w:t>
            </w:r>
            <w:r w:rsidR="08EA5B43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veiklomis.</w:t>
            </w:r>
          </w:p>
          <w:p w14:paraId="59805C24" w14:textId="0D31F878" w:rsidR="00CF43F3" w:rsidRPr="00871BE8" w:rsidRDefault="00CF43F3" w:rsidP="28C1312A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28C1312A">
              <w:rPr>
                <w:rFonts w:ascii="Times New Roman" w:hAnsi="Times New Roman" w:cs="Times New Roman"/>
                <w:b/>
                <w:bCs/>
              </w:rPr>
              <w:t>Nesukurtos ilgalaikės prielaidos ir paskatos tvariai panaudoti kultūros paveld</w:t>
            </w:r>
            <w:r w:rsidR="6CD9D7BD" w:rsidRPr="28C1312A">
              <w:rPr>
                <w:rFonts w:ascii="Times New Roman" w:hAnsi="Times New Roman" w:cs="Times New Roman"/>
                <w:b/>
                <w:bCs/>
              </w:rPr>
              <w:t>o vertybes</w:t>
            </w:r>
            <w:r w:rsidRPr="28C1312A">
              <w:rPr>
                <w:rFonts w:ascii="Times New Roman" w:hAnsi="Times New Roman" w:cs="Times New Roman"/>
                <w:b/>
                <w:bCs/>
              </w:rPr>
              <w:t xml:space="preserve"> ir etninę kultūrą kaip išteklius pridėtinei vertei kurti</w:t>
            </w:r>
            <w:r w:rsidR="00163567" w:rsidRPr="28C1312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BDBE0D7" w14:textId="52373720" w:rsidR="009E3766" w:rsidRDefault="00520BB1" w:rsidP="28C1312A">
            <w:pPr>
              <w:pStyle w:val="ListParagraph"/>
              <w:numPr>
                <w:ilvl w:val="2"/>
                <w:numId w:val="5"/>
              </w:numPr>
              <w:spacing w:after="16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E3766" w:rsidRPr="28C1312A">
              <w:rPr>
                <w:rFonts w:ascii="Times New Roman" w:hAnsi="Times New Roman" w:cs="Times New Roman"/>
              </w:rPr>
              <w:t xml:space="preserve">Nėra užtikrinamos nefinansinės paskatos investuoti į kultūros paveldą: procedūros neefektyvios, trūksta tyrimų, </w:t>
            </w:r>
            <w:r w:rsidR="43BA9BCA" w:rsidRPr="28C1312A">
              <w:rPr>
                <w:rFonts w:ascii="Times New Roman" w:hAnsi="Times New Roman" w:cs="Times New Roman"/>
              </w:rPr>
              <w:t xml:space="preserve">metodinės pagalbos savininkams, </w:t>
            </w:r>
            <w:r w:rsidR="009E3766" w:rsidRPr="28C1312A">
              <w:rPr>
                <w:rFonts w:ascii="Times New Roman" w:hAnsi="Times New Roman" w:cs="Times New Roman"/>
              </w:rPr>
              <w:t>suinteresuotų pusių dialogo.</w:t>
            </w:r>
          </w:p>
          <w:p w14:paraId="04658EE3" w14:textId="2147E12D" w:rsidR="009E3766" w:rsidRDefault="009E3766" w:rsidP="009E3766">
            <w:pPr>
              <w:pStyle w:val="ListParagraph"/>
              <w:spacing w:after="160" w:line="276" w:lineRule="auto"/>
              <w:ind w:left="122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6.2.1.1.</w:t>
            </w:r>
            <w:r w:rsidR="00A90A1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Neefektyvus kultūros paveldo objektų vertinimas.</w:t>
            </w:r>
          </w:p>
          <w:p w14:paraId="58D57A98" w14:textId="5D963095" w:rsidR="009E3766" w:rsidRDefault="009E3766" w:rsidP="009E3766">
            <w:pPr>
              <w:pStyle w:val="ListParagraph"/>
              <w:spacing w:after="160" w:line="276" w:lineRule="auto"/>
              <w:ind w:left="122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6.2.1.2.</w:t>
            </w:r>
            <w:r w:rsidR="00A90A1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Trūksta tyrimų ir metodinės pagalbos savininkams.</w:t>
            </w:r>
          </w:p>
          <w:p w14:paraId="2590915E" w14:textId="65D2B348" w:rsidR="009E3766" w:rsidRPr="009E3766" w:rsidRDefault="009E3766" w:rsidP="009E3766">
            <w:pPr>
              <w:pStyle w:val="ListParagraph"/>
              <w:spacing w:after="160" w:line="276" w:lineRule="auto"/>
              <w:ind w:left="1224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6.2.1.3.</w:t>
            </w:r>
            <w:r w:rsidR="00A90A16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Nevyksta visų suinteresuotų pusių dialogas.</w:t>
            </w:r>
          </w:p>
          <w:p w14:paraId="59ED1DB3" w14:textId="35D7E288" w:rsidR="00CF43F3" w:rsidRPr="00871BE8" w:rsidRDefault="00A90A16" w:rsidP="28C1312A">
            <w:pPr>
              <w:pStyle w:val="ListParagraph"/>
              <w:numPr>
                <w:ilvl w:val="2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43F3" w:rsidRPr="28C1312A">
              <w:rPr>
                <w:rFonts w:ascii="Times New Roman" w:hAnsi="Times New Roman" w:cs="Times New Roman"/>
              </w:rPr>
              <w:t xml:space="preserve">Nėra </w:t>
            </w:r>
            <w:r w:rsidR="009E3766" w:rsidRPr="28C1312A">
              <w:rPr>
                <w:rFonts w:ascii="Times New Roman" w:hAnsi="Times New Roman" w:cs="Times New Roman"/>
              </w:rPr>
              <w:t xml:space="preserve">subalansuotų </w:t>
            </w:r>
            <w:r w:rsidR="00CF43F3" w:rsidRPr="28C1312A">
              <w:rPr>
                <w:rFonts w:ascii="Times New Roman" w:hAnsi="Times New Roman" w:cs="Times New Roman"/>
              </w:rPr>
              <w:t xml:space="preserve">ilgalaikių finansinių paskatų </w:t>
            </w:r>
            <w:r w:rsidR="009E3766" w:rsidRPr="28C1312A">
              <w:rPr>
                <w:rFonts w:ascii="Times New Roman" w:hAnsi="Times New Roman" w:cs="Times New Roman"/>
              </w:rPr>
              <w:t xml:space="preserve">sistemos </w:t>
            </w:r>
            <w:r w:rsidR="4C5A6607" w:rsidRPr="28C1312A">
              <w:rPr>
                <w:rFonts w:ascii="Times New Roman" w:hAnsi="Times New Roman" w:cs="Times New Roman"/>
              </w:rPr>
              <w:t xml:space="preserve">kultūros </w:t>
            </w:r>
            <w:r w:rsidR="00CF43F3" w:rsidRPr="28C1312A">
              <w:rPr>
                <w:rFonts w:ascii="Times New Roman" w:hAnsi="Times New Roman" w:cs="Times New Roman"/>
              </w:rPr>
              <w:t xml:space="preserve">paveldo </w:t>
            </w:r>
            <w:r w:rsidR="131AE354" w:rsidRPr="28C1312A">
              <w:rPr>
                <w:rFonts w:ascii="Times New Roman" w:hAnsi="Times New Roman" w:cs="Times New Roman"/>
              </w:rPr>
              <w:t xml:space="preserve">objektų </w:t>
            </w:r>
            <w:r w:rsidR="00CF43F3" w:rsidRPr="28C1312A">
              <w:rPr>
                <w:rFonts w:ascii="Times New Roman" w:hAnsi="Times New Roman" w:cs="Times New Roman"/>
              </w:rPr>
              <w:t xml:space="preserve">savininkams ir naudotojams investuoti į kultūros paveldo </w:t>
            </w:r>
            <w:r w:rsidR="0D946DB2" w:rsidRPr="28C1312A">
              <w:rPr>
                <w:rFonts w:ascii="Times New Roman" w:hAnsi="Times New Roman" w:cs="Times New Roman"/>
              </w:rPr>
              <w:t xml:space="preserve">objektų tvarkybą, tvarų naudojimą ir </w:t>
            </w:r>
            <w:r w:rsidR="00CF43F3" w:rsidRPr="28C1312A">
              <w:rPr>
                <w:rFonts w:ascii="Times New Roman" w:hAnsi="Times New Roman" w:cs="Times New Roman"/>
              </w:rPr>
              <w:t>aktualizavimą.</w:t>
            </w:r>
          </w:p>
          <w:p w14:paraId="4C95D148" w14:textId="361A407E" w:rsidR="00195DAA" w:rsidRPr="00871BE8" w:rsidRDefault="00A90A16" w:rsidP="28C1312A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F43F3" w:rsidRPr="28C1312A">
              <w:rPr>
                <w:rFonts w:ascii="Times New Roman" w:hAnsi="Times New Roman" w:cs="Times New Roman"/>
              </w:rPr>
              <w:t xml:space="preserve">Kultūros paveldo </w:t>
            </w:r>
            <w:r w:rsidR="36F49F60" w:rsidRPr="28C1312A">
              <w:rPr>
                <w:rFonts w:ascii="Times New Roman" w:hAnsi="Times New Roman" w:cs="Times New Roman"/>
              </w:rPr>
              <w:t xml:space="preserve">išteklių </w:t>
            </w:r>
            <w:r w:rsidR="00CF43F3" w:rsidRPr="28C1312A">
              <w:rPr>
                <w:rFonts w:ascii="Times New Roman" w:hAnsi="Times New Roman" w:cs="Times New Roman"/>
              </w:rPr>
              <w:t>potencialas nėra išnaudojamas kuriant Lietuvos kultūros ir turizmo produktus.</w:t>
            </w:r>
          </w:p>
          <w:p w14:paraId="7ABBC629" w14:textId="3A6C3395" w:rsidR="00195DAA" w:rsidRPr="00871BE8" w:rsidRDefault="00195DAA" w:rsidP="008303B5">
            <w:pPr>
              <w:pStyle w:val="ListParagraph"/>
              <w:numPr>
                <w:ilvl w:val="1"/>
                <w:numId w:val="5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Kultūros paveldo valdysenos sprendimai nėra </w:t>
            </w:r>
            <w:r w:rsidR="009E3766">
              <w:rPr>
                <w:rFonts w:ascii="Times New Roman" w:hAnsi="Times New Roman" w:cs="Times New Roman"/>
                <w:b/>
                <w:szCs w:val="22"/>
              </w:rPr>
              <w:t xml:space="preserve">efektyviai reglamentuoti, 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pagrįsti pažangiomis žiniomis, įrodymais </w:t>
            </w:r>
            <w:r w:rsidR="009E3766">
              <w:rPr>
                <w:rFonts w:ascii="Times New Roman" w:hAnsi="Times New Roman" w:cs="Times New Roman"/>
                <w:b/>
                <w:szCs w:val="22"/>
              </w:rPr>
              <w:t>ir ne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suderinti su kitomis politikos sritimis</w:t>
            </w:r>
            <w:r w:rsidR="009E3766">
              <w:rPr>
                <w:rFonts w:ascii="Times New Roman" w:hAnsi="Times New Roman" w:cs="Times New Roman"/>
                <w:b/>
                <w:szCs w:val="22"/>
              </w:rPr>
              <w:t>, kas trukdo savalaikei objektų priežiūrai ir efektyviai paveldosaugai.</w:t>
            </w:r>
          </w:p>
          <w:p w14:paraId="01561573" w14:textId="7911EADD" w:rsidR="00195DAA" w:rsidRDefault="00A90A16" w:rsidP="008303B5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195DAA" w:rsidRPr="00871BE8">
              <w:rPr>
                <w:rFonts w:ascii="Times New Roman" w:hAnsi="Times New Roman" w:cs="Times New Roman"/>
                <w:bCs/>
                <w:szCs w:val="22"/>
              </w:rPr>
              <w:t xml:space="preserve">Nevykdoma nuolatinė sisteminė kultūros paveldo išteklių būklės, apsaugos ir prevencijos priemonių efektyvumo </w:t>
            </w:r>
            <w:r w:rsidR="005E73A9">
              <w:rPr>
                <w:rFonts w:ascii="Times New Roman" w:hAnsi="Times New Roman" w:cs="Times New Roman"/>
                <w:bCs/>
                <w:szCs w:val="22"/>
              </w:rPr>
              <w:t>bei</w:t>
            </w:r>
            <w:r w:rsidR="00195DAA" w:rsidRPr="00871BE8">
              <w:rPr>
                <w:rFonts w:ascii="Times New Roman" w:hAnsi="Times New Roman" w:cs="Times New Roman"/>
                <w:bCs/>
                <w:szCs w:val="22"/>
              </w:rPr>
              <w:t xml:space="preserve"> panaudojimo stebėsena.</w:t>
            </w:r>
          </w:p>
          <w:p w14:paraId="70E96314" w14:textId="472C7950" w:rsidR="001E34C1" w:rsidRPr="00325528" w:rsidRDefault="00A90A16" w:rsidP="28C1312A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6FEBCF51" w:rsidRPr="28C1312A">
              <w:rPr>
                <w:rFonts w:ascii="Times New Roman" w:hAnsi="Times New Roman" w:cs="Times New Roman"/>
              </w:rPr>
              <w:t>Kultūros paveldo apskaitos</w:t>
            </w:r>
            <w:r w:rsidR="766808FB" w:rsidRPr="28C1312A">
              <w:rPr>
                <w:rFonts w:ascii="Times New Roman" w:hAnsi="Times New Roman" w:cs="Times New Roman"/>
              </w:rPr>
              <w:t>, įskaitant</w:t>
            </w:r>
            <w:r w:rsidR="6FEBCF51" w:rsidRPr="28C1312A">
              <w:rPr>
                <w:rFonts w:ascii="Times New Roman" w:hAnsi="Times New Roman" w:cs="Times New Roman"/>
              </w:rPr>
              <w:t xml:space="preserve"> </w:t>
            </w:r>
            <w:r w:rsidR="55DD001E" w:rsidRPr="28C1312A">
              <w:rPr>
                <w:rFonts w:ascii="Times New Roman" w:hAnsi="Times New Roman" w:cs="Times New Roman"/>
              </w:rPr>
              <w:t>inventorizaciją,</w:t>
            </w:r>
            <w:r w:rsidR="6FEBCF51" w:rsidRPr="28C1312A">
              <w:rPr>
                <w:rFonts w:ascii="Times New Roman" w:hAnsi="Times New Roman" w:cs="Times New Roman"/>
              </w:rPr>
              <w:t xml:space="preserve"> trūkumai kenkia investicinei aplinkai.</w:t>
            </w:r>
            <w:r w:rsidR="2C4DF7E2" w:rsidRPr="28C131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2C4DF7E2" w:rsidRPr="28C1312A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2C4DF7E2" w:rsidRPr="28C1312A">
              <w:rPr>
                <w:rFonts w:ascii="Times New Roman" w:hAnsi="Times New Roman" w:cs="Times New Roman"/>
                <w:i/>
                <w:iCs/>
              </w:rPr>
              <w:t xml:space="preserve"> iš dalies sprendžiama pažangos priemonės „Investicijos į kultūros išteklių skaitmeninimą ir prieinamumą</w:t>
            </w:r>
            <w:r>
              <w:rPr>
                <w:rFonts w:ascii="Times New Roman" w:hAnsi="Times New Roman" w:cs="Times New Roman"/>
                <w:i/>
                <w:iCs/>
              </w:rPr>
              <w:t>“</w:t>
            </w:r>
            <w:r w:rsidR="2C4DF7E2" w:rsidRPr="28C1312A">
              <w:rPr>
                <w:rFonts w:ascii="Times New Roman" w:hAnsi="Times New Roman" w:cs="Times New Roman"/>
                <w:i/>
                <w:iCs/>
              </w:rPr>
              <w:t xml:space="preserve"> veiklomis, susijusiomis su technologinių IT sistemų ir registrų sprendinių diegimu.</w:t>
            </w:r>
          </w:p>
          <w:p w14:paraId="5C928CD7" w14:textId="68F180DF" w:rsidR="006D529B" w:rsidRPr="009E3766" w:rsidRDefault="00A90A16" w:rsidP="6F6073BF">
            <w:pPr>
              <w:pStyle w:val="ListParagraph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5DAA" w:rsidRPr="28C1312A">
              <w:rPr>
                <w:rFonts w:ascii="Times New Roman" w:hAnsi="Times New Roman" w:cs="Times New Roman"/>
              </w:rPr>
              <w:t xml:space="preserve">Kultūros paveldo </w:t>
            </w:r>
            <w:r w:rsidR="28C3F387" w:rsidRPr="28C1312A">
              <w:rPr>
                <w:rFonts w:ascii="Times New Roman" w:hAnsi="Times New Roman" w:cs="Times New Roman"/>
              </w:rPr>
              <w:t xml:space="preserve">išteklių </w:t>
            </w:r>
            <w:r w:rsidR="009E3766" w:rsidRPr="28C1312A">
              <w:rPr>
                <w:rFonts w:ascii="Times New Roman" w:hAnsi="Times New Roman" w:cs="Times New Roman"/>
              </w:rPr>
              <w:t>apsaugos</w:t>
            </w:r>
            <w:r w:rsidR="16E18331" w:rsidRPr="28C1312A">
              <w:rPr>
                <w:rFonts w:ascii="Times New Roman" w:hAnsi="Times New Roman" w:cs="Times New Roman"/>
              </w:rPr>
              <w:t xml:space="preserve"> </w:t>
            </w:r>
            <w:r w:rsidR="009E3766" w:rsidRPr="28C1312A">
              <w:rPr>
                <w:rFonts w:ascii="Times New Roman" w:hAnsi="Times New Roman" w:cs="Times New Roman"/>
              </w:rPr>
              <w:t xml:space="preserve">reguliavimas nėra efektyviai suderintas su </w:t>
            </w:r>
            <w:r w:rsidR="00195DAA" w:rsidRPr="28C1312A">
              <w:rPr>
                <w:rFonts w:ascii="Times New Roman" w:hAnsi="Times New Roman" w:cs="Times New Roman"/>
              </w:rPr>
              <w:t xml:space="preserve">teritorijų planavimo, urbanistikos, architektūros, </w:t>
            </w:r>
            <w:r w:rsidR="054D2A51" w:rsidRPr="28C1312A">
              <w:rPr>
                <w:rFonts w:ascii="Times New Roman" w:hAnsi="Times New Roman" w:cs="Times New Roman"/>
              </w:rPr>
              <w:t xml:space="preserve">kultūrinio kraštovaizdžio, </w:t>
            </w:r>
            <w:r w:rsidR="00195DAA" w:rsidRPr="28C1312A">
              <w:rPr>
                <w:rFonts w:ascii="Times New Roman" w:hAnsi="Times New Roman" w:cs="Times New Roman"/>
              </w:rPr>
              <w:t>aplinkosaugos ir energetikos, švietimo ir žemės ūkio politika.</w:t>
            </w:r>
          </w:p>
        </w:tc>
      </w:tr>
      <w:tr w:rsidR="00C020D2" w:rsidRPr="00871BE8" w14:paraId="25347D60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091126D1" w14:textId="4D6D9BEE" w:rsidR="00BD0823" w:rsidRPr="00871BE8" w:rsidRDefault="00BD0823" w:rsidP="00BD0823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Priemon</w:t>
            </w:r>
            <w:r w:rsidR="00AA4E97">
              <w:rPr>
                <w:rFonts w:ascii="Times New Roman" w:hAnsi="Times New Roman" w:cs="Times New Roman"/>
                <w:b/>
                <w:szCs w:val="22"/>
              </w:rPr>
              <w:t>ė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14:paraId="5A69BAEA" w14:textId="4F557ABE" w:rsidR="00C020D2" w:rsidRPr="009D5391" w:rsidRDefault="00905D30" w:rsidP="002611DA">
            <w:pPr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871BE8">
              <w:rPr>
                <w:rFonts w:ascii="Times New Roman" w:hAnsi="Times New Roman" w:cs="Times New Roman"/>
                <w:szCs w:val="22"/>
              </w:rPr>
              <w:t>Tvarių prielaidų ir paskatų aktualizuoti kultūros paveldo vertybes sukūrimas</w:t>
            </w:r>
            <w:r w:rsidR="00523C29">
              <w:rPr>
                <w:rFonts w:ascii="Times New Roman" w:hAnsi="Times New Roman" w:cs="Times New Roman"/>
                <w:szCs w:val="22"/>
              </w:rPr>
              <w:t>.</w:t>
            </w:r>
            <w:r w:rsidRPr="00871BE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71BE8">
              <w:rPr>
                <w:rFonts w:ascii="Times New Roman" w:hAnsi="Times New Roman" w:cs="Times New Roman"/>
                <w:i/>
                <w:iCs/>
                <w:szCs w:val="22"/>
              </w:rPr>
              <w:t>(</w:t>
            </w:r>
            <w:r w:rsidR="00523C29">
              <w:rPr>
                <w:rFonts w:ascii="Times New Roman" w:hAnsi="Times New Roman" w:cs="Times New Roman"/>
                <w:i/>
                <w:iCs/>
                <w:szCs w:val="22"/>
              </w:rPr>
              <w:t>S</w:t>
            </w:r>
            <w:r w:rsidRPr="00871BE8">
              <w:rPr>
                <w:rFonts w:ascii="Times New Roman" w:hAnsi="Times New Roman" w:cs="Times New Roman"/>
                <w:i/>
                <w:iCs/>
                <w:szCs w:val="22"/>
              </w:rPr>
              <w:t xml:space="preserve">prendžia </w:t>
            </w:r>
            <w:r w:rsidR="002611DA" w:rsidRPr="00871BE8">
              <w:rPr>
                <w:rFonts w:ascii="Times New Roman" w:hAnsi="Times New Roman" w:cs="Times New Roman"/>
                <w:i/>
                <w:iCs/>
                <w:szCs w:val="22"/>
              </w:rPr>
              <w:t xml:space="preserve">6.1, </w:t>
            </w:r>
            <w:r w:rsidRPr="00871BE8">
              <w:rPr>
                <w:rFonts w:ascii="Times New Roman" w:hAnsi="Times New Roman" w:cs="Times New Roman"/>
                <w:i/>
                <w:iCs/>
                <w:szCs w:val="22"/>
              </w:rPr>
              <w:t>6.2</w:t>
            </w:r>
            <w:r w:rsidR="002611DA" w:rsidRPr="00871BE8">
              <w:rPr>
                <w:rFonts w:ascii="Times New Roman" w:hAnsi="Times New Roman" w:cs="Times New Roman"/>
                <w:i/>
                <w:iCs/>
                <w:szCs w:val="22"/>
              </w:rPr>
              <w:t xml:space="preserve"> ir 6.3</w:t>
            </w:r>
            <w:r w:rsidRPr="00871BE8">
              <w:rPr>
                <w:rFonts w:ascii="Times New Roman" w:hAnsi="Times New Roman" w:cs="Times New Roman"/>
                <w:i/>
                <w:iCs/>
                <w:szCs w:val="22"/>
              </w:rPr>
              <w:t xml:space="preserve"> priežast</w:t>
            </w:r>
            <w:r w:rsidR="002611DA" w:rsidRPr="00871BE8">
              <w:rPr>
                <w:rFonts w:ascii="Times New Roman" w:hAnsi="Times New Roman" w:cs="Times New Roman"/>
                <w:i/>
                <w:iCs/>
                <w:szCs w:val="22"/>
              </w:rPr>
              <w:t>is</w:t>
            </w:r>
            <w:r w:rsidR="00523C29">
              <w:rPr>
                <w:rFonts w:ascii="Times New Roman" w:hAnsi="Times New Roman" w:cs="Times New Roman"/>
                <w:i/>
                <w:iCs/>
                <w:szCs w:val="22"/>
              </w:rPr>
              <w:t>.</w:t>
            </w:r>
            <w:r w:rsidRPr="00871BE8">
              <w:rPr>
                <w:rFonts w:ascii="Times New Roman" w:hAnsi="Times New Roman" w:cs="Times New Roman"/>
                <w:i/>
                <w:iCs/>
                <w:szCs w:val="22"/>
              </w:rPr>
              <w:t>)</w:t>
            </w:r>
            <w:r w:rsidR="00E52861">
              <w:rPr>
                <w:rFonts w:ascii="Times New Roman" w:hAnsi="Times New Roman" w:cs="Times New Roman"/>
                <w:i/>
                <w:iCs/>
                <w:szCs w:val="22"/>
              </w:rPr>
              <w:t xml:space="preserve"> (PRIORITETINĖ)</w:t>
            </w:r>
          </w:p>
        </w:tc>
      </w:tr>
      <w:tr w:rsidR="00C020D2" w:rsidRPr="00871BE8" w14:paraId="69CE02B1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0322A4D1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NPP uždavinys, kodas ir pavadinimas</w:t>
            </w:r>
          </w:p>
          <w:p w14:paraId="6319A4A4" w14:textId="5D31759D" w:rsidR="00C020D2" w:rsidRPr="00871BE8" w:rsidRDefault="001B7C40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4.7 uždavinys. </w:t>
            </w:r>
            <w:r w:rsidRPr="00871BE8">
              <w:rPr>
                <w:rFonts w:ascii="Times New Roman" w:hAnsi="Times New Roman" w:cs="Times New Roman"/>
                <w:bCs/>
                <w:szCs w:val="22"/>
              </w:rPr>
              <w:t>Didinti lietuvių kalbos aktualumą globalizacijos ir technologinių pokyčių kontekste</w:t>
            </w:r>
          </w:p>
        </w:tc>
      </w:tr>
      <w:tr w:rsidR="00C020D2" w:rsidRPr="00871BE8" w14:paraId="7E022A91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1F4A2C5A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bCs/>
                <w:szCs w:val="22"/>
              </w:rPr>
              <w:lastRenderedPageBreak/>
              <w:t xml:space="preserve">NPP uždavinio rodiklis ir (ar) tikslo rodiklis </w:t>
            </w:r>
          </w:p>
          <w:p w14:paraId="7B942952" w14:textId="12963EDA" w:rsidR="00886715" w:rsidRPr="009D5391" w:rsidRDefault="001B7C40" w:rsidP="001B7C40">
            <w:pPr>
              <w:jc w:val="both"/>
              <w:rPr>
                <w:rFonts w:ascii="Times New Roman" w:hAnsi="Times New Roman" w:cs="Times New Roman"/>
                <w:iCs/>
                <w:szCs w:val="22"/>
              </w:rPr>
            </w:pPr>
            <w:r w:rsidRPr="00871BE8">
              <w:rPr>
                <w:rFonts w:ascii="Times New Roman" w:hAnsi="Times New Roman" w:cs="Times New Roman"/>
                <w:iCs/>
                <w:szCs w:val="22"/>
              </w:rPr>
              <w:t xml:space="preserve">4.7.1. Gyventojų, kuriems vartoti lietuvių kalbą yra patrauklu, </w:t>
            </w:r>
            <w:r w:rsidR="00237E1C">
              <w:rPr>
                <w:rFonts w:ascii="Times New Roman" w:hAnsi="Times New Roman" w:cs="Times New Roman"/>
                <w:iCs/>
                <w:szCs w:val="22"/>
              </w:rPr>
              <w:t>dalis</w:t>
            </w:r>
            <w:r w:rsidRPr="00871BE8">
              <w:rPr>
                <w:rFonts w:ascii="Times New Roman" w:hAnsi="Times New Roman" w:cs="Times New Roman"/>
                <w:iCs/>
                <w:szCs w:val="22"/>
              </w:rPr>
              <w:t xml:space="preserve"> (2025 m. – </w:t>
            </w:r>
            <w:r w:rsidR="00237E1C">
              <w:rPr>
                <w:rFonts w:ascii="Times New Roman" w:hAnsi="Times New Roman" w:cs="Times New Roman"/>
                <w:iCs/>
                <w:szCs w:val="22"/>
              </w:rPr>
              <w:t>66</w:t>
            </w:r>
            <w:r w:rsidR="00464747">
              <w:rPr>
                <w:rFonts w:ascii="Times New Roman" w:hAnsi="Times New Roman" w:cs="Times New Roman"/>
                <w:iCs/>
                <w:szCs w:val="22"/>
              </w:rPr>
              <w:t>,</w:t>
            </w:r>
            <w:r w:rsidR="00237E1C">
              <w:rPr>
                <w:rFonts w:ascii="Times New Roman" w:hAnsi="Times New Roman" w:cs="Times New Roman"/>
                <w:iCs/>
                <w:szCs w:val="22"/>
              </w:rPr>
              <w:t>1</w:t>
            </w:r>
            <w:r w:rsidR="000D681E">
              <w:rPr>
                <w:rFonts w:ascii="Times New Roman" w:hAnsi="Times New Roman" w:cs="Times New Roman"/>
                <w:iCs/>
                <w:szCs w:val="22"/>
              </w:rPr>
              <w:t xml:space="preserve"> proc</w:t>
            </w:r>
            <w:r w:rsidR="00237E1C">
              <w:rPr>
                <w:rFonts w:ascii="Times New Roman" w:hAnsi="Times New Roman" w:cs="Times New Roman"/>
                <w:iCs/>
                <w:szCs w:val="22"/>
              </w:rPr>
              <w:t>.</w:t>
            </w:r>
            <w:r w:rsidR="00464747">
              <w:rPr>
                <w:rFonts w:ascii="Times New Roman" w:hAnsi="Times New Roman" w:cs="Times New Roman"/>
                <w:iCs/>
                <w:szCs w:val="22"/>
              </w:rPr>
              <w:t>;</w:t>
            </w:r>
            <w:r w:rsidRPr="00871BE8">
              <w:rPr>
                <w:rFonts w:ascii="Times New Roman" w:hAnsi="Times New Roman" w:cs="Times New Roman"/>
                <w:iCs/>
                <w:szCs w:val="22"/>
              </w:rPr>
              <w:t xml:space="preserve"> 2030 – </w:t>
            </w:r>
            <w:r w:rsidR="00237E1C">
              <w:rPr>
                <w:rFonts w:ascii="Times New Roman" w:hAnsi="Times New Roman" w:cs="Times New Roman"/>
                <w:iCs/>
                <w:szCs w:val="22"/>
              </w:rPr>
              <w:t>66,3</w:t>
            </w:r>
            <w:r w:rsidR="000D681E">
              <w:rPr>
                <w:rFonts w:ascii="Times New Roman" w:hAnsi="Times New Roman" w:cs="Times New Roman"/>
                <w:iCs/>
                <w:szCs w:val="22"/>
              </w:rPr>
              <w:t xml:space="preserve"> proc</w:t>
            </w:r>
            <w:r w:rsidR="00237E1C">
              <w:rPr>
                <w:rFonts w:ascii="Times New Roman" w:hAnsi="Times New Roman" w:cs="Times New Roman"/>
                <w:iCs/>
                <w:szCs w:val="22"/>
              </w:rPr>
              <w:t>.</w:t>
            </w:r>
            <w:r w:rsidRPr="00871BE8">
              <w:rPr>
                <w:rFonts w:ascii="Times New Roman" w:hAnsi="Times New Roman" w:cs="Times New Roman"/>
                <w:iCs/>
                <w:szCs w:val="22"/>
              </w:rPr>
              <w:t>)</w:t>
            </w:r>
            <w:r w:rsidR="000F76EB">
              <w:rPr>
                <w:rFonts w:ascii="Times New Roman" w:hAnsi="Times New Roman" w:cs="Times New Roman"/>
                <w:iCs/>
                <w:szCs w:val="22"/>
              </w:rPr>
              <w:t>.</w:t>
            </w:r>
          </w:p>
        </w:tc>
      </w:tr>
      <w:tr w:rsidR="00C020D2" w:rsidRPr="00871BE8" w14:paraId="7D8490D3" w14:textId="77777777" w:rsidTr="28C1312A">
        <w:trPr>
          <w:trHeight w:val="70"/>
        </w:trPr>
        <w:tc>
          <w:tcPr>
            <w:tcW w:w="15295" w:type="dxa"/>
            <w:shd w:val="clear" w:color="auto" w:fill="DBE5F1" w:themeFill="accent1" w:themeFillTint="33"/>
          </w:tcPr>
          <w:p w14:paraId="3427FF94" w14:textId="17201EB2" w:rsidR="00C020D2" w:rsidRPr="00871BE8" w:rsidRDefault="001B7C40" w:rsidP="6F6073B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6F6073BF">
              <w:rPr>
                <w:rFonts w:ascii="Times New Roman" w:hAnsi="Times New Roman" w:cs="Times New Roman"/>
                <w:b/>
                <w:bCs/>
              </w:rPr>
              <w:t>P</w:t>
            </w:r>
            <w:r w:rsidR="00C020D2" w:rsidRPr="6F6073BF">
              <w:rPr>
                <w:rFonts w:ascii="Times New Roman" w:hAnsi="Times New Roman" w:cs="Times New Roman"/>
                <w:b/>
                <w:bCs/>
              </w:rPr>
              <w:t>roblema:</w:t>
            </w:r>
            <w:r w:rsidRPr="6F6073B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2FE1EB8E" w:rsidRPr="6F6073BF">
              <w:rPr>
                <w:rFonts w:ascii="Times New Roman" w:hAnsi="Times New Roman" w:cs="Times New Roman"/>
                <w:b/>
                <w:bCs/>
              </w:rPr>
              <w:t>IT pažanga ir globalizacija kelia lietuvių kalbai ir tarmėms gyvybingumo skaitmeninėje terpėje ir kalbinio tapatumo iššūkių</w:t>
            </w:r>
            <w:r w:rsidR="000A03C5" w:rsidRPr="6F6073B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020D2" w:rsidRPr="00871BE8" w14:paraId="76F9A555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35356FC4" w14:textId="77777777" w:rsidR="00C020D2" w:rsidRPr="00871BE8" w:rsidRDefault="00C020D2" w:rsidP="001B7C40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Spręstinos problemos priežastys:</w:t>
            </w:r>
          </w:p>
          <w:p w14:paraId="0205CA02" w14:textId="7B51D503" w:rsidR="000A03C5" w:rsidRPr="00871BE8" w:rsidRDefault="000A03C5" w:rsidP="6F6073BF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>Neužtikrinama</w:t>
            </w:r>
            <w:r w:rsidR="1B7D58CD"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>s spartesnis</w:t>
            </w:r>
            <w:r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valstybės ir šiuolaikinės visuomenės poreikius atitinkan</w:t>
            </w:r>
            <w:r w:rsidR="6E86D0BF"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>čios,</w:t>
            </w:r>
            <w:r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dinamišk</w:t>
            </w:r>
            <w:r w:rsidR="3FA18A00"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>os</w:t>
            </w:r>
            <w:r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ir visavertė</w:t>
            </w:r>
            <w:r w:rsidR="1050E77D"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>s</w:t>
            </w:r>
            <w:r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lietuvių kalbos funkcionavimo sistem</w:t>
            </w:r>
            <w:r w:rsidR="7FB7F431"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>os atnaujinimas</w:t>
            </w:r>
            <w:r w:rsidR="009D5391" w:rsidRPr="6F6073BF">
              <w:rPr>
                <w:rFonts w:ascii="Times New Roman" w:hAnsi="Times New Roman" w:cs="Times New Roman"/>
                <w:b/>
                <w:bCs/>
                <w:lang w:eastAsia="lt-LT"/>
              </w:rPr>
              <w:t>.</w:t>
            </w:r>
          </w:p>
          <w:p w14:paraId="332357DD" w14:textId="13E9E30D" w:rsidR="000A03C5" w:rsidRPr="00871BE8" w:rsidRDefault="00A90A16" w:rsidP="6F6073BF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0A03C5" w:rsidRPr="6F6073BF">
              <w:rPr>
                <w:rFonts w:ascii="Times New Roman" w:hAnsi="Times New Roman" w:cs="Times New Roman"/>
                <w:lang w:eastAsia="lt-LT"/>
              </w:rPr>
              <w:t>Lietuvių k</w:t>
            </w:r>
            <w:r w:rsidR="009D5391" w:rsidRPr="6F6073BF">
              <w:rPr>
                <w:rFonts w:ascii="Times New Roman" w:hAnsi="Times New Roman" w:cs="Times New Roman"/>
                <w:lang w:eastAsia="lt-LT"/>
              </w:rPr>
              <w:t>albos</w:t>
            </w:r>
            <w:r w:rsidR="000A03C5" w:rsidRPr="6F6073BF">
              <w:rPr>
                <w:rFonts w:ascii="Times New Roman" w:hAnsi="Times New Roman" w:cs="Times New Roman"/>
                <w:lang w:eastAsia="lt-LT"/>
              </w:rPr>
              <w:t xml:space="preserve"> politikos ir p</w:t>
            </w:r>
            <w:r w:rsidR="5A223DFE" w:rsidRPr="6F6073BF">
              <w:rPr>
                <w:rFonts w:ascii="Times New Roman" w:hAnsi="Times New Roman" w:cs="Times New Roman"/>
                <w:lang w:eastAsia="lt-LT"/>
              </w:rPr>
              <w:t>lanavimo įgyvendinimas</w:t>
            </w:r>
            <w:r w:rsidR="000A03C5" w:rsidRPr="6F6073BF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57BA02A8" w:rsidRPr="6F6073BF">
              <w:rPr>
                <w:rFonts w:ascii="Times New Roman" w:hAnsi="Times New Roman" w:cs="Times New Roman"/>
                <w:lang w:eastAsia="lt-LT"/>
              </w:rPr>
              <w:t>atsilieka nuo</w:t>
            </w:r>
            <w:r w:rsidR="000A03C5" w:rsidRPr="6F6073BF">
              <w:rPr>
                <w:rFonts w:ascii="Times New Roman" w:hAnsi="Times New Roman" w:cs="Times New Roman"/>
                <w:lang w:eastAsia="lt-LT"/>
              </w:rPr>
              <w:t xml:space="preserve"> technologinės pažangos </w:t>
            </w:r>
            <w:r w:rsidR="6088D462" w:rsidRPr="6F6073BF">
              <w:rPr>
                <w:rFonts w:ascii="Times New Roman" w:hAnsi="Times New Roman" w:cs="Times New Roman"/>
                <w:lang w:eastAsia="lt-LT"/>
              </w:rPr>
              <w:t>diegimo į lietuvišką skaitmeninę terpę</w:t>
            </w:r>
            <w:r w:rsidR="009B247D" w:rsidRPr="6F6073BF">
              <w:rPr>
                <w:rFonts w:ascii="Times New Roman" w:hAnsi="Times New Roman" w:cs="Times New Roman"/>
              </w:rPr>
              <w:t>.</w:t>
            </w:r>
          </w:p>
          <w:p w14:paraId="6DEE8869" w14:textId="0EB81CC1" w:rsidR="000A03C5" w:rsidRPr="00871BE8" w:rsidRDefault="00A90A16" w:rsidP="3F00437A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A03C5" w:rsidRPr="3F00437A">
              <w:rPr>
                <w:rFonts w:ascii="Times New Roman" w:hAnsi="Times New Roman" w:cs="Times New Roman"/>
              </w:rPr>
              <w:t>Kalbinės informacijos sklaidos ir viešo prieinamumo trūkumas</w:t>
            </w:r>
            <w:r w:rsidR="009B247D" w:rsidRPr="3F00437A">
              <w:rPr>
                <w:rFonts w:ascii="Times New Roman" w:hAnsi="Times New Roman" w:cs="Times New Roman"/>
              </w:rPr>
              <w:t>.</w:t>
            </w:r>
          </w:p>
          <w:p w14:paraId="521BA024" w14:textId="221392FA" w:rsidR="46C22441" w:rsidRDefault="2006E1DB" w:rsidP="1A7D8279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7.1 priežastis su </w:t>
            </w:r>
            <w:r w:rsidR="707D4404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7.1.1</w:t>
            </w:r>
            <w:r w:rsidR="00A90A16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–</w:t>
            </w:r>
            <w:r w:rsidR="707D4404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7.1.2 </w:t>
            </w:r>
            <w:proofErr w:type="spellStart"/>
            <w:r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subpriežastimis</w:t>
            </w:r>
            <w:proofErr w:type="spellEnd"/>
            <w:r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65513F44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bus </w:t>
            </w:r>
            <w:r w:rsidR="4391A92C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sprendžiam</w:t>
            </w:r>
            <w:r w:rsidR="00215FD8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os </w:t>
            </w:r>
            <w:r w:rsidR="4391A92C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2021–2030 m. valstybės skaitmeninimo plėtros programo</w:t>
            </w:r>
            <w:r w:rsidR="04BA7F84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 veiklomis</w:t>
            </w:r>
            <w:r w:rsidR="7239C1E3" w:rsidRPr="1A7D8279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.</w:t>
            </w:r>
          </w:p>
          <w:p w14:paraId="017AB244" w14:textId="79D44F99" w:rsidR="000A03C5" w:rsidRPr="00871BE8" w:rsidRDefault="000A03C5" w:rsidP="008303B5">
            <w:pPr>
              <w:pStyle w:val="ListParagraph"/>
              <w:numPr>
                <w:ilvl w:val="1"/>
                <w:numId w:val="13"/>
              </w:num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 xml:space="preserve">Valstybinės lietuvių kalbos prestižo trūkumas </w:t>
            </w:r>
            <w:r w:rsidR="003A3C8B">
              <w:rPr>
                <w:rFonts w:ascii="Times New Roman" w:hAnsi="Times New Roman" w:cs="Times New Roman"/>
                <w:b/>
                <w:szCs w:val="22"/>
              </w:rPr>
              <w:t>silpnina visuomenės kalbinį tapatumą</w:t>
            </w:r>
            <w:r w:rsidR="009D5391">
              <w:rPr>
                <w:rFonts w:ascii="Times New Roman" w:hAnsi="Times New Roman" w:cs="Times New Roman"/>
                <w:b/>
                <w:szCs w:val="22"/>
              </w:rPr>
              <w:t>.</w:t>
            </w:r>
          </w:p>
          <w:p w14:paraId="5B158D34" w14:textId="60FE88E1" w:rsidR="000A03C5" w:rsidRPr="00871BE8" w:rsidRDefault="006F5839" w:rsidP="008303B5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 Gimtos l</w:t>
            </w:r>
            <w:r w:rsidR="00322CBB">
              <w:rPr>
                <w:rFonts w:ascii="Times New Roman" w:hAnsi="Times New Roman" w:cs="Times New Roman"/>
                <w:bCs/>
                <w:szCs w:val="22"/>
              </w:rPr>
              <w:t>ietuvių</w:t>
            </w:r>
            <w:r w:rsidR="000A03C5" w:rsidRPr="00871BE8">
              <w:rPr>
                <w:rFonts w:ascii="Times New Roman" w:hAnsi="Times New Roman" w:cs="Times New Roman"/>
                <w:bCs/>
                <w:szCs w:val="22"/>
              </w:rPr>
              <w:t xml:space="preserve"> kalbos ir jos tarmių vertės</w:t>
            </w:r>
            <w:r w:rsidR="00322CBB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2"/>
              </w:rPr>
              <w:t>kalbinėje bendruomenėje (</w:t>
            </w:r>
            <w:r w:rsidR="00322CBB">
              <w:rPr>
                <w:rFonts w:ascii="Times New Roman" w:hAnsi="Times New Roman" w:cs="Times New Roman"/>
                <w:bCs/>
                <w:szCs w:val="22"/>
              </w:rPr>
              <w:t>visuomenė</w:t>
            </w:r>
            <w:r>
              <w:rPr>
                <w:rFonts w:ascii="Times New Roman" w:hAnsi="Times New Roman" w:cs="Times New Roman"/>
                <w:bCs/>
                <w:szCs w:val="22"/>
              </w:rPr>
              <w:t>je)</w:t>
            </w:r>
            <w:r w:rsidR="00322CBB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0A03C5" w:rsidRPr="00871BE8">
              <w:rPr>
                <w:rFonts w:ascii="Times New Roman" w:hAnsi="Times New Roman" w:cs="Times New Roman"/>
                <w:bCs/>
                <w:szCs w:val="22"/>
              </w:rPr>
              <w:t>suvokimo trūkumas</w:t>
            </w:r>
            <w:r w:rsidR="009B247D">
              <w:rPr>
                <w:rFonts w:ascii="Times New Roman" w:hAnsi="Times New Roman" w:cs="Times New Roman"/>
                <w:bCs/>
                <w:szCs w:val="22"/>
              </w:rPr>
              <w:t>.</w:t>
            </w:r>
          </w:p>
          <w:p w14:paraId="61B4FA78" w14:textId="5D6D4671" w:rsidR="000A03C5" w:rsidRPr="009D5391" w:rsidRDefault="0BA24F1A" w:rsidP="1A7D8279">
            <w:pPr>
              <w:pStyle w:val="ListParagraph"/>
              <w:numPr>
                <w:ilvl w:val="2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1A7D8279">
              <w:rPr>
                <w:rFonts w:ascii="Times New Roman" w:hAnsi="Times New Roman" w:cs="Times New Roman"/>
              </w:rPr>
              <w:t xml:space="preserve"> Didėjantis gyventojų atotrūkis skaitymo gebėjimų srityje.</w:t>
            </w:r>
          </w:p>
        </w:tc>
      </w:tr>
      <w:tr w:rsidR="00C020D2" w:rsidRPr="00871BE8" w14:paraId="4EF5B9F6" w14:textId="77777777" w:rsidTr="28C1312A">
        <w:trPr>
          <w:trHeight w:val="70"/>
        </w:trPr>
        <w:tc>
          <w:tcPr>
            <w:tcW w:w="15295" w:type="dxa"/>
            <w:shd w:val="clear" w:color="auto" w:fill="FFFFFF" w:themeFill="background1"/>
          </w:tcPr>
          <w:p w14:paraId="5366C0E7" w14:textId="3699E5E3" w:rsidR="00C020D2" w:rsidRPr="00871BE8" w:rsidRDefault="005D1E98" w:rsidP="005D1E98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71BE8">
              <w:rPr>
                <w:rFonts w:ascii="Times New Roman" w:hAnsi="Times New Roman" w:cs="Times New Roman"/>
                <w:b/>
                <w:szCs w:val="22"/>
              </w:rPr>
              <w:t>Priemon</w:t>
            </w:r>
            <w:r w:rsidR="00AA4E97">
              <w:rPr>
                <w:rFonts w:ascii="Times New Roman" w:hAnsi="Times New Roman" w:cs="Times New Roman"/>
                <w:b/>
                <w:szCs w:val="22"/>
              </w:rPr>
              <w:t>ė</w:t>
            </w:r>
            <w:r w:rsidRPr="00871BE8">
              <w:rPr>
                <w:rFonts w:ascii="Times New Roman" w:hAnsi="Times New Roman" w:cs="Times New Roman"/>
                <w:b/>
                <w:szCs w:val="22"/>
              </w:rPr>
              <w:t>:</w:t>
            </w:r>
          </w:p>
          <w:p w14:paraId="765FA97B" w14:textId="63FA57BC" w:rsidR="005D1E98" w:rsidRPr="009D5391" w:rsidRDefault="00163567" w:rsidP="239B735C">
            <w:pPr>
              <w:pStyle w:val="ListParagraph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3F00437A">
              <w:rPr>
                <w:rFonts w:ascii="Times New Roman" w:hAnsi="Times New Roman" w:cs="Times New Roman"/>
                <w:lang w:eastAsia="lt-LT"/>
              </w:rPr>
              <w:t>Sąlygų</w:t>
            </w:r>
            <w:r w:rsidR="00FD3305" w:rsidRPr="3F00437A">
              <w:rPr>
                <w:rFonts w:ascii="Times New Roman" w:hAnsi="Times New Roman" w:cs="Times New Roman"/>
                <w:lang w:eastAsia="lt-LT"/>
              </w:rPr>
              <w:t xml:space="preserve"> Lietuvių kalbos gyvybingumui ir prestižo skatinimui</w:t>
            </w:r>
            <w:r w:rsidR="005D1E98" w:rsidRPr="3F00437A">
              <w:rPr>
                <w:rFonts w:ascii="Times New Roman" w:hAnsi="Times New Roman" w:cs="Times New Roman"/>
                <w:lang w:eastAsia="lt-LT"/>
              </w:rPr>
              <w:t xml:space="preserve"> sukūrimas. </w:t>
            </w:r>
            <w:r w:rsidR="005D1E98" w:rsidRPr="3F00437A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(Sprendžia </w:t>
            </w:r>
            <w:r w:rsidR="00FD3305" w:rsidRPr="3F00437A">
              <w:rPr>
                <w:rFonts w:ascii="Times New Roman" w:hAnsi="Times New Roman" w:cs="Times New Roman"/>
                <w:i/>
                <w:iCs/>
                <w:lang w:eastAsia="lt-LT"/>
              </w:rPr>
              <w:t>7.2 priežast</w:t>
            </w:r>
            <w:r w:rsidR="66531446" w:rsidRPr="3F00437A">
              <w:rPr>
                <w:rFonts w:ascii="Times New Roman" w:hAnsi="Times New Roman" w:cs="Times New Roman"/>
                <w:i/>
                <w:iCs/>
                <w:lang w:eastAsia="lt-LT"/>
              </w:rPr>
              <w:t>į</w:t>
            </w:r>
            <w:r w:rsidR="006F1334">
              <w:rPr>
                <w:rFonts w:ascii="Times New Roman" w:hAnsi="Times New Roman" w:cs="Times New Roman"/>
                <w:i/>
                <w:iCs/>
                <w:lang w:eastAsia="lt-LT"/>
              </w:rPr>
              <w:t>.</w:t>
            </w:r>
            <w:r w:rsidR="00FD3305" w:rsidRPr="3F00437A">
              <w:rPr>
                <w:rFonts w:ascii="Times New Roman" w:hAnsi="Times New Roman" w:cs="Times New Roman"/>
                <w:i/>
                <w:iCs/>
                <w:lang w:eastAsia="lt-LT"/>
              </w:rPr>
              <w:t>)</w:t>
            </w:r>
          </w:p>
        </w:tc>
      </w:tr>
    </w:tbl>
    <w:p w14:paraId="7ABCF86A" w14:textId="77777777" w:rsidR="009B500F" w:rsidRPr="00871BE8" w:rsidRDefault="009B500F" w:rsidP="00EA2774">
      <w:pPr>
        <w:keepNext/>
        <w:keepLines/>
        <w:ind w:left="284" w:hanging="284"/>
        <w:jc w:val="center"/>
        <w:rPr>
          <w:b/>
          <w:color w:val="000000"/>
        </w:rPr>
      </w:pPr>
    </w:p>
    <w:p w14:paraId="3E92E3C8" w14:textId="77777777" w:rsidR="00EA2774" w:rsidRPr="00871BE8" w:rsidRDefault="00EA2774" w:rsidP="00EA2774">
      <w:pPr>
        <w:keepNext/>
        <w:keepLines/>
        <w:ind w:left="284" w:hanging="284"/>
        <w:jc w:val="center"/>
        <w:rPr>
          <w:b/>
          <w:color w:val="000000"/>
        </w:rPr>
      </w:pPr>
      <w:r w:rsidRPr="00871BE8">
        <w:rPr>
          <w:b/>
          <w:color w:val="000000"/>
        </w:rPr>
        <w:t>II DALIS</w:t>
      </w:r>
    </w:p>
    <w:p w14:paraId="24395171" w14:textId="77777777" w:rsidR="00EA2774" w:rsidRPr="00871BE8" w:rsidRDefault="00EA2774" w:rsidP="00EA2774">
      <w:pPr>
        <w:keepNext/>
        <w:keepLines/>
        <w:ind w:left="284" w:hanging="284"/>
        <w:jc w:val="center"/>
        <w:rPr>
          <w:b/>
          <w:color w:val="000000"/>
        </w:rPr>
      </w:pPr>
      <w:r w:rsidRPr="00871BE8">
        <w:rPr>
          <w:b/>
          <w:color w:val="000000"/>
        </w:rPr>
        <w:t>FINANSINĖS PROJEKCIJOS</w:t>
      </w:r>
    </w:p>
    <w:p w14:paraId="45F6111A" w14:textId="77777777" w:rsidR="00EA2774" w:rsidRPr="00871BE8" w:rsidRDefault="00EA2774" w:rsidP="00EA2774">
      <w:pPr>
        <w:keepNext/>
        <w:keepLines/>
        <w:jc w:val="both"/>
        <w:rPr>
          <w:b/>
          <w:color w:val="000000"/>
        </w:rPr>
      </w:pPr>
      <w:bookmarkStart w:id="1" w:name="part_441c5b4659d54a259e46dcbb7adc9f04"/>
      <w:bookmarkStart w:id="2" w:name="part_3531dd9ad8ba4cc68d14bb51194e01db"/>
      <w:bookmarkStart w:id="3" w:name="part_87f208816c1d42d389ec66c95e4e5176"/>
      <w:bookmarkStart w:id="4" w:name="part_bf8bf49d2290430baa2b26de6116a0b7"/>
      <w:bookmarkStart w:id="5" w:name="part_c7fb8561d18645e0be30d94680e50eb4"/>
      <w:bookmarkStart w:id="6" w:name="part_71390c2bc8e646cb97c9dd102873a502"/>
      <w:bookmarkStart w:id="7" w:name="part_686c6a3c712e4731b3d3824dcfbedc21"/>
      <w:bookmarkStart w:id="8" w:name="part_df173137c8f64312b2ac0949099ad869"/>
      <w:bookmarkStart w:id="9" w:name="part_1317339d85b244df896a5699ca30a059"/>
      <w:bookmarkStart w:id="10" w:name="part_1aa4a5e8ad5b4c76a43c5fa994c37de8"/>
      <w:bookmarkStart w:id="11" w:name="part_5eb8c84a46ce44828d2851c76eaa7d51"/>
      <w:bookmarkStart w:id="12" w:name="part_dde4a8cf83c74c328b3298fa3ff73e3d"/>
      <w:bookmarkStart w:id="13" w:name="part_f85ac077c4374feca82934467d98fa3f"/>
      <w:bookmarkStart w:id="14" w:name="part_b7a596b0434f46e8bc6d7ef9cef5e45a"/>
      <w:bookmarkStart w:id="15" w:name="part_487a544fa741481fab0db29d22d9f122"/>
      <w:bookmarkStart w:id="16" w:name="part_76e8541c8a34476aac619f712080693e"/>
      <w:bookmarkStart w:id="17" w:name="part_57e1a145112749d68f64b7cd453c00e9"/>
      <w:bookmarkStart w:id="18" w:name="part_6aab4e7da8084c05879130752a05c741"/>
      <w:bookmarkStart w:id="19" w:name="part_d5a7479784794746b372b1b760e81e59"/>
      <w:bookmarkStart w:id="20" w:name="part_be8a7b720d064466b6e5600e1e7edb07"/>
      <w:bookmarkStart w:id="21" w:name="part_93c70dccfc93497cbf2c162687ccf376"/>
      <w:bookmarkStart w:id="22" w:name="part_2ed9d26c921f418fba685c2b18c1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Style w:val="TableGrid"/>
        <w:tblW w:w="5372" w:type="pct"/>
        <w:tblLook w:val="04A0" w:firstRow="1" w:lastRow="0" w:firstColumn="1" w:lastColumn="0" w:noHBand="0" w:noVBand="1"/>
      </w:tblPr>
      <w:tblGrid>
        <w:gridCol w:w="4432"/>
        <w:gridCol w:w="4044"/>
        <w:gridCol w:w="6558"/>
      </w:tblGrid>
      <w:tr w:rsidR="00A173DA" w:rsidRPr="00871BE8" w14:paraId="2607F7AA" w14:textId="77777777" w:rsidTr="26B7D08C">
        <w:trPr>
          <w:trHeight w:val="604"/>
        </w:trPr>
        <w:tc>
          <w:tcPr>
            <w:tcW w:w="1474" w:type="pct"/>
            <w:shd w:val="clear" w:color="auto" w:fill="DBE5F1" w:themeFill="accent1" w:themeFillTint="33"/>
            <w:vAlign w:val="center"/>
          </w:tcPr>
          <w:p w14:paraId="0BFADD01" w14:textId="77777777" w:rsidR="00A173DA" w:rsidRPr="00871BE8" w:rsidRDefault="00A173DA" w:rsidP="000363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1BE8">
              <w:rPr>
                <w:rFonts w:ascii="Times New Roman" w:hAnsi="Times New Roman" w:cs="Times New Roman"/>
                <w:b/>
                <w:sz w:val="20"/>
              </w:rPr>
              <w:t>NPP uždavinys</w:t>
            </w:r>
          </w:p>
        </w:tc>
        <w:tc>
          <w:tcPr>
            <w:tcW w:w="1345" w:type="pct"/>
            <w:shd w:val="clear" w:color="auto" w:fill="DBE5F1" w:themeFill="accent1" w:themeFillTint="33"/>
            <w:vAlign w:val="center"/>
          </w:tcPr>
          <w:p w14:paraId="31FD1893" w14:textId="7C2ECEA4" w:rsidR="00A173DA" w:rsidRPr="00871BE8" w:rsidRDefault="00A173DA" w:rsidP="000363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1BE8">
              <w:rPr>
                <w:rFonts w:ascii="Times New Roman" w:hAnsi="Times New Roman" w:cs="Times New Roman"/>
                <w:b/>
                <w:sz w:val="20"/>
              </w:rPr>
              <w:t>Finansinės projekcijos, tūkst. Eur</w:t>
            </w:r>
          </w:p>
        </w:tc>
        <w:tc>
          <w:tcPr>
            <w:tcW w:w="2181" w:type="pct"/>
            <w:shd w:val="clear" w:color="auto" w:fill="DBE5F1" w:themeFill="accent1" w:themeFillTint="33"/>
            <w:vAlign w:val="center"/>
          </w:tcPr>
          <w:p w14:paraId="55A4957E" w14:textId="77777777" w:rsidR="00A173DA" w:rsidRPr="00871BE8" w:rsidRDefault="00A173DA" w:rsidP="0003633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71BE8">
              <w:rPr>
                <w:rFonts w:ascii="Times New Roman" w:hAnsi="Times New Roman" w:cs="Times New Roman"/>
                <w:b/>
                <w:sz w:val="20"/>
              </w:rPr>
              <w:t>Finansavimo šaltiniai</w:t>
            </w:r>
          </w:p>
        </w:tc>
      </w:tr>
      <w:tr w:rsidR="00A173DA" w:rsidRPr="00871BE8" w14:paraId="49724A15" w14:textId="77777777" w:rsidTr="26B7D08C">
        <w:tc>
          <w:tcPr>
            <w:tcW w:w="1474" w:type="pct"/>
          </w:tcPr>
          <w:p w14:paraId="1AB4F606" w14:textId="77777777" w:rsidR="00A173DA" w:rsidRPr="00871BE8" w:rsidRDefault="00A173DA" w:rsidP="0003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45" w:type="pct"/>
          </w:tcPr>
          <w:p w14:paraId="2B4EFFAD" w14:textId="77777777" w:rsidR="00A173DA" w:rsidRPr="00871BE8" w:rsidRDefault="00A173DA" w:rsidP="0003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81" w:type="pct"/>
          </w:tcPr>
          <w:p w14:paraId="10B34BDE" w14:textId="77777777" w:rsidR="00A173DA" w:rsidRPr="00871BE8" w:rsidRDefault="00A173DA" w:rsidP="000363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173DA" w:rsidRPr="00871BE8" w14:paraId="1B518A7A" w14:textId="77777777" w:rsidTr="26B7D08C">
        <w:trPr>
          <w:trHeight w:val="963"/>
        </w:trPr>
        <w:tc>
          <w:tcPr>
            <w:tcW w:w="1474" w:type="pct"/>
          </w:tcPr>
          <w:p w14:paraId="4090D794" w14:textId="77777777" w:rsidR="00A173DA" w:rsidRPr="00871BE8" w:rsidRDefault="00A173DA" w:rsidP="000363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 xml:space="preserve">Nurodomi NPP uždaviniai, prie kurių įgyvendinimo prisideda Programa. </w:t>
            </w:r>
          </w:p>
          <w:p w14:paraId="0FAB1B57" w14:textId="77777777" w:rsidR="00A173DA" w:rsidRPr="00871BE8" w:rsidRDefault="00A173DA" w:rsidP="000363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>Vienoje eilutėje nurodomas vienas NPP uždavinys.</w:t>
            </w:r>
          </w:p>
        </w:tc>
        <w:tc>
          <w:tcPr>
            <w:tcW w:w="1345" w:type="pct"/>
          </w:tcPr>
          <w:p w14:paraId="32449287" w14:textId="77777777" w:rsidR="00A173DA" w:rsidRPr="00871BE8" w:rsidRDefault="00A173DA" w:rsidP="000363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>NPP uždaviniui tenkanti finansinė projekcija pagal visus finansavimo šaltinius (tūkst. Eur)</w:t>
            </w:r>
          </w:p>
          <w:p w14:paraId="0BB6082F" w14:textId="77777777" w:rsidR="00A173DA" w:rsidRPr="00871BE8" w:rsidRDefault="00A173D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pct"/>
          </w:tcPr>
          <w:p w14:paraId="61649CF5" w14:textId="48F0B9FA" w:rsidR="00A173DA" w:rsidRPr="00871BE8" w:rsidRDefault="00A173DA" w:rsidP="000363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>Nurodomi visi finansavimo šaltiniai</w:t>
            </w:r>
            <w:r w:rsidR="00E6104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 xml:space="preserve"> iš kurių gali būti finansuojamos priemonės, pvz.</w:t>
            </w:r>
            <w:r w:rsidR="00E6104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 xml:space="preserve"> ES fondai, kitos tarptautinės paramos lėšos, valstybės biudžetas, savivaldybių biudžetas, valstybės ar savivaldybių įmonių lėšos, privataus sektoriaus lėšos, papildomo skolinimosi poreikis.</w:t>
            </w:r>
          </w:p>
          <w:p w14:paraId="6BE65172" w14:textId="77777777" w:rsidR="00A173DA" w:rsidRPr="00871BE8" w:rsidRDefault="00A173DA" w:rsidP="000363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F7893" w14:textId="77777777" w:rsidR="00A173DA" w:rsidRPr="00871BE8" w:rsidRDefault="00A173DA" w:rsidP="000363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71BE8">
              <w:rPr>
                <w:rFonts w:ascii="Times New Roman" w:hAnsi="Times New Roman" w:cs="Times New Roman"/>
                <w:sz w:val="16"/>
                <w:szCs w:val="16"/>
              </w:rPr>
              <w:t>Finansavimo šaltiniai nurodomi atskirai kiekvienam uždaviniui (konkreti kiekvieno finansavimo šaltinio suma nenurodoma).</w:t>
            </w:r>
          </w:p>
        </w:tc>
      </w:tr>
      <w:tr w:rsidR="00A173DA" w:rsidRPr="00871BE8" w14:paraId="3577AF41" w14:textId="77777777" w:rsidTr="26B7D08C">
        <w:trPr>
          <w:trHeight w:val="353"/>
        </w:trPr>
        <w:tc>
          <w:tcPr>
            <w:tcW w:w="1474" w:type="pct"/>
          </w:tcPr>
          <w:p w14:paraId="223A3387" w14:textId="1604BC1D" w:rsidR="00A173DA" w:rsidRPr="00284B84" w:rsidRDefault="43736214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1.</w:t>
            </w:r>
            <w:r w:rsidR="76CD5C88" w:rsidRPr="2BF0DB4A">
              <w:rPr>
                <w:rFonts w:ascii="Times New Roman" w:hAnsi="Times New Roman" w:cs="Times New Roman"/>
                <w:sz w:val="20"/>
              </w:rPr>
              <w:t>9</w:t>
            </w:r>
            <w:r w:rsidRPr="2BF0DB4A">
              <w:rPr>
                <w:rFonts w:ascii="Times New Roman" w:hAnsi="Times New Roman" w:cs="Times New Roman"/>
                <w:sz w:val="20"/>
              </w:rPr>
              <w:t xml:space="preserve"> uždavinys. Didinti kultūros ir kūrybinių industrijų potencialą ir skatinti kūrybiniu turiniu grįstų naujų produktų ir paslaugų kūrimą</w:t>
            </w:r>
          </w:p>
        </w:tc>
        <w:tc>
          <w:tcPr>
            <w:tcW w:w="1345" w:type="pct"/>
          </w:tcPr>
          <w:p w14:paraId="406D8257" w14:textId="4EB15ED4" w:rsidR="00A173DA" w:rsidRPr="00284B84" w:rsidRDefault="3D565F59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4</w:t>
            </w:r>
            <w:r w:rsidR="080F2BD4" w:rsidRPr="7C1706E8">
              <w:rPr>
                <w:rFonts w:ascii="Times New Roman" w:hAnsi="Times New Roman" w:cs="Times New Roman"/>
                <w:sz w:val="20"/>
              </w:rPr>
              <w:t>4</w:t>
            </w:r>
            <w:r w:rsidR="00E6104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1E74DE22" w:rsidRPr="7C1706E8">
              <w:rPr>
                <w:rFonts w:ascii="Times New Roman" w:hAnsi="Times New Roman" w:cs="Times New Roman"/>
                <w:sz w:val="20"/>
              </w:rPr>
              <w:t>790</w:t>
            </w:r>
            <w:r w:rsidRPr="7C1706E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181" w:type="pct"/>
          </w:tcPr>
          <w:p w14:paraId="442E0B63" w14:textId="79518247" w:rsidR="00054160" w:rsidRPr="00284B84" w:rsidRDefault="345B1DE3" w:rsidP="7C1706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ERPF (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2021</w:t>
            </w:r>
            <w:r w:rsidR="00E61043">
              <w:rPr>
                <w:rFonts w:ascii="Times New Roman" w:hAnsi="Times New Roman" w:cs="Times New Roman"/>
                <w:sz w:val="20"/>
              </w:rPr>
              <w:t>–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2027</w:t>
            </w:r>
            <w:r w:rsidR="6C996CB0" w:rsidRPr="7C1706E8">
              <w:rPr>
                <w:rFonts w:ascii="Times New Roman" w:hAnsi="Times New Roman" w:cs="Times New Roman"/>
                <w:sz w:val="20"/>
              </w:rPr>
              <w:t>)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7AA6F457" w:rsidRPr="7C1706E8">
              <w:rPr>
                <w:rFonts w:ascii="Times New Roman" w:hAnsi="Times New Roman" w:cs="Times New Roman"/>
                <w:sz w:val="20"/>
              </w:rPr>
              <w:t xml:space="preserve">ir iš privačių šaltinių </w:t>
            </w:r>
          </w:p>
        </w:tc>
      </w:tr>
      <w:tr w:rsidR="00B04B3D" w:rsidRPr="00871BE8" w14:paraId="783844CD" w14:textId="77777777" w:rsidTr="26B7D08C">
        <w:trPr>
          <w:trHeight w:val="353"/>
        </w:trPr>
        <w:tc>
          <w:tcPr>
            <w:tcW w:w="4432" w:type="dxa"/>
            <w:vMerge w:val="restart"/>
          </w:tcPr>
          <w:p w14:paraId="0C2719D1" w14:textId="46FFCE1C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4B84">
              <w:rPr>
                <w:rFonts w:ascii="Times New Roman" w:hAnsi="Times New Roman" w:cs="Times New Roman"/>
                <w:sz w:val="20"/>
              </w:rPr>
              <w:t>4.1 uždavinys.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B84">
              <w:rPr>
                <w:rFonts w:ascii="Times New Roman" w:hAnsi="Times New Roman" w:cs="Times New Roman"/>
                <w:sz w:val="20"/>
              </w:rPr>
              <w:t>Skatinti gyventojus dalyvauti kultūrinėse veiklose ir prisidėti prie kultūros plėtros</w:t>
            </w:r>
          </w:p>
        </w:tc>
        <w:tc>
          <w:tcPr>
            <w:tcW w:w="1345" w:type="pct"/>
          </w:tcPr>
          <w:p w14:paraId="53161382" w14:textId="5E92ECCD" w:rsidR="00B04B3D" w:rsidRPr="00284B84" w:rsidRDefault="0DC2B727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50</w:t>
            </w:r>
            <w:r w:rsidR="00E6104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7C1706E8">
              <w:rPr>
                <w:rFonts w:ascii="Times New Roman" w:hAnsi="Times New Roman" w:cs="Times New Roman"/>
                <w:sz w:val="20"/>
              </w:rPr>
              <w:t>590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181" w:type="pct"/>
          </w:tcPr>
          <w:p w14:paraId="10F73EFE" w14:textId="3EDCC87C" w:rsidR="00054160" w:rsidRPr="00284B84" w:rsidRDefault="2490E6C1" w:rsidP="7C1706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ERPF (2021</w:t>
            </w:r>
            <w:r w:rsidR="00E61043">
              <w:rPr>
                <w:rFonts w:ascii="Times New Roman" w:hAnsi="Times New Roman" w:cs="Times New Roman"/>
                <w:sz w:val="20"/>
              </w:rPr>
              <w:t>–</w:t>
            </w:r>
            <w:r w:rsidRPr="7C1706E8">
              <w:rPr>
                <w:rFonts w:ascii="Times New Roman" w:hAnsi="Times New Roman" w:cs="Times New Roman"/>
                <w:sz w:val="20"/>
              </w:rPr>
              <w:t>2027) ir iš privačių šaltinių</w:t>
            </w:r>
          </w:p>
        </w:tc>
      </w:tr>
      <w:tr w:rsidR="2BF0DB4A" w14:paraId="7FB64306" w14:textId="77777777" w:rsidTr="26B7D08C">
        <w:trPr>
          <w:trHeight w:val="353"/>
        </w:trPr>
        <w:tc>
          <w:tcPr>
            <w:tcW w:w="4432" w:type="dxa"/>
            <w:vMerge/>
          </w:tcPr>
          <w:p w14:paraId="6CB2008D" w14:textId="77777777" w:rsidR="00D3004A" w:rsidRDefault="00D3004A"/>
        </w:tc>
        <w:tc>
          <w:tcPr>
            <w:tcW w:w="4044" w:type="dxa"/>
          </w:tcPr>
          <w:p w14:paraId="783E72E4" w14:textId="37041ADC" w:rsidR="73000314" w:rsidRDefault="73000314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30</w:t>
            </w:r>
            <w:r w:rsidR="00E6104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2BF0DB4A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6558" w:type="dxa"/>
          </w:tcPr>
          <w:p w14:paraId="7567CFDE" w14:textId="33872D49" w:rsidR="73000314" w:rsidRDefault="73000314" w:rsidP="2BF0DB4A">
            <w:pPr>
              <w:jc w:val="both"/>
              <w:rPr>
                <w:rFonts w:ascii="Times New Roman" w:hAnsi="Times New Roman" w:cs="Times New Roman"/>
                <w:sz w:val="20"/>
                <w:lang w:val="lt"/>
              </w:rPr>
            </w:pPr>
            <w:r w:rsidRPr="2BF0DB4A">
              <w:rPr>
                <w:rFonts w:ascii="Times New Roman" w:hAnsi="Times New Roman" w:cs="Times New Roman"/>
                <w:sz w:val="20"/>
                <w:lang w:val="lt"/>
              </w:rPr>
              <w:t>Lietuvos ekonomikos gaivinimo ir atsparumo didinimo planas (RRF)</w:t>
            </w:r>
          </w:p>
        </w:tc>
      </w:tr>
      <w:tr w:rsidR="2BF0DB4A" w14:paraId="5F3F89E8" w14:textId="77777777" w:rsidTr="26B7D08C">
        <w:trPr>
          <w:trHeight w:val="353"/>
        </w:trPr>
        <w:tc>
          <w:tcPr>
            <w:tcW w:w="4432" w:type="dxa"/>
            <w:vMerge/>
          </w:tcPr>
          <w:p w14:paraId="097FBC4C" w14:textId="77777777" w:rsidR="00D3004A" w:rsidRDefault="00D3004A"/>
        </w:tc>
        <w:tc>
          <w:tcPr>
            <w:tcW w:w="4044" w:type="dxa"/>
          </w:tcPr>
          <w:p w14:paraId="57DC95BA" w14:textId="63E1084F" w:rsidR="57D89BBA" w:rsidRDefault="5406D4EA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6B7D08C">
              <w:rPr>
                <w:rFonts w:ascii="Times New Roman" w:hAnsi="Times New Roman" w:cs="Times New Roman"/>
                <w:sz w:val="20"/>
              </w:rPr>
              <w:t>50</w:t>
            </w:r>
            <w:r w:rsidR="00E6104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46149297" w:rsidRPr="26B7D08C">
              <w:rPr>
                <w:rFonts w:ascii="Times New Roman" w:hAnsi="Times New Roman" w:cs="Times New Roman"/>
                <w:sz w:val="20"/>
              </w:rPr>
              <w:t>5</w:t>
            </w:r>
            <w:r w:rsidR="57D89BBA" w:rsidRPr="26B7D08C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6558" w:type="dxa"/>
          </w:tcPr>
          <w:p w14:paraId="6D31C923" w14:textId="4B08A0C8" w:rsidR="73000314" w:rsidRDefault="73000314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Valstybės biudžetas</w:t>
            </w:r>
          </w:p>
        </w:tc>
      </w:tr>
      <w:tr w:rsidR="00B04B3D" w:rsidRPr="00871BE8" w14:paraId="5B45E53B" w14:textId="77777777" w:rsidTr="26B7D08C">
        <w:trPr>
          <w:trHeight w:val="353"/>
        </w:trPr>
        <w:tc>
          <w:tcPr>
            <w:tcW w:w="1474" w:type="pct"/>
          </w:tcPr>
          <w:p w14:paraId="4E7D3E18" w14:textId="250CE995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4B84">
              <w:rPr>
                <w:rFonts w:ascii="Times New Roman" w:hAnsi="Times New Roman" w:cs="Times New Roman"/>
                <w:sz w:val="20"/>
              </w:rPr>
              <w:lastRenderedPageBreak/>
              <w:t>4.2 uždavinys.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84B84">
              <w:rPr>
                <w:rFonts w:ascii="Times New Roman" w:hAnsi="Times New Roman" w:cs="Times New Roman"/>
                <w:sz w:val="20"/>
              </w:rPr>
              <w:t>Gerinti sąlygas kuriantiems Lietuvoje ir didinti Lietuvos kultūros sklaidą užsienyje</w:t>
            </w:r>
          </w:p>
        </w:tc>
        <w:tc>
          <w:tcPr>
            <w:tcW w:w="1345" w:type="pct"/>
          </w:tcPr>
          <w:p w14:paraId="35C3FBEE" w14:textId="7B69B332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F731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2181" w:type="pct"/>
          </w:tcPr>
          <w:p w14:paraId="3AA4B1CD" w14:textId="210C7C9A" w:rsidR="00B04B3D" w:rsidRPr="00284B84" w:rsidRDefault="0E9FBDC2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Valstybės biudžet</w:t>
            </w:r>
            <w:r w:rsidR="567AF577" w:rsidRPr="2BF0DB4A">
              <w:rPr>
                <w:rFonts w:ascii="Times New Roman" w:hAnsi="Times New Roman" w:cs="Times New Roman"/>
                <w:sz w:val="20"/>
              </w:rPr>
              <w:t>as</w:t>
            </w:r>
          </w:p>
        </w:tc>
      </w:tr>
      <w:tr w:rsidR="2BF0DB4A" w14:paraId="5BC5DD4D" w14:textId="77777777" w:rsidTr="26B7D08C">
        <w:trPr>
          <w:trHeight w:val="353"/>
        </w:trPr>
        <w:tc>
          <w:tcPr>
            <w:tcW w:w="4432" w:type="dxa"/>
          </w:tcPr>
          <w:p w14:paraId="6D6BB0F4" w14:textId="483AAAFD" w:rsidR="2BF0DB4A" w:rsidRDefault="2BF0DB4A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4" w:type="dxa"/>
          </w:tcPr>
          <w:p w14:paraId="455E44B5" w14:textId="7714E819" w:rsidR="2BF0DB4A" w:rsidRDefault="7EF58D90" w:rsidP="703B9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26B7D08C">
              <w:rPr>
                <w:rFonts w:ascii="Times New Roman" w:hAnsi="Times New Roman" w:cs="Times New Roman"/>
                <w:color w:val="000000" w:themeColor="text1"/>
                <w:sz w:val="20"/>
              </w:rPr>
              <w:t>10</w:t>
            </w:r>
            <w:r w:rsidR="00F7311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26B7D08C">
              <w:rPr>
                <w:rFonts w:ascii="Times New Roman" w:hAnsi="Times New Roman" w:cs="Times New Roman"/>
                <w:color w:val="000000" w:themeColor="text1"/>
                <w:sz w:val="20"/>
              </w:rPr>
              <w:t>400,00</w:t>
            </w:r>
          </w:p>
        </w:tc>
        <w:tc>
          <w:tcPr>
            <w:tcW w:w="6558" w:type="dxa"/>
          </w:tcPr>
          <w:p w14:paraId="2FCBCBC2" w14:textId="78190436" w:rsidR="78BE11C3" w:rsidRDefault="7F0D289F" w:rsidP="703B9A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lt"/>
              </w:rPr>
            </w:pPr>
            <w:r w:rsidRPr="703B9A6C">
              <w:rPr>
                <w:rFonts w:ascii="Times New Roman" w:hAnsi="Times New Roman" w:cs="Times New Roman"/>
                <w:color w:val="000000" w:themeColor="text1"/>
                <w:sz w:val="20"/>
                <w:lang w:val="lt"/>
              </w:rPr>
              <w:t>Kiti tarptautiniai finansavimo šaltiniai (Kūrybiška Europa)</w:t>
            </w:r>
          </w:p>
        </w:tc>
      </w:tr>
      <w:tr w:rsidR="00B04B3D" w:rsidRPr="00871BE8" w14:paraId="6E730128" w14:textId="77777777" w:rsidTr="26B7D08C">
        <w:trPr>
          <w:trHeight w:val="353"/>
        </w:trPr>
        <w:tc>
          <w:tcPr>
            <w:tcW w:w="1474" w:type="pct"/>
          </w:tcPr>
          <w:p w14:paraId="3F5E4A5E" w14:textId="72C372A4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4B84">
              <w:rPr>
                <w:rFonts w:ascii="Times New Roman" w:hAnsi="Times New Roman" w:cs="Times New Roman"/>
                <w:sz w:val="20"/>
              </w:rPr>
              <w:t>4.3 uždavinys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284B84">
              <w:rPr>
                <w:rFonts w:ascii="Times New Roman" w:hAnsi="Times New Roman" w:cs="Times New Roman"/>
                <w:sz w:val="20"/>
              </w:rPr>
              <w:t>Skatinti visapusišką tautinių mažumų integraciją</w:t>
            </w:r>
          </w:p>
        </w:tc>
        <w:tc>
          <w:tcPr>
            <w:tcW w:w="1345" w:type="pct"/>
          </w:tcPr>
          <w:p w14:paraId="1F57D0DE" w14:textId="4F11F47D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F73118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2181" w:type="pct"/>
          </w:tcPr>
          <w:p w14:paraId="06F48A87" w14:textId="7EDD4370" w:rsidR="00B04B3D" w:rsidRPr="00284B84" w:rsidRDefault="0E9FBDC2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Valstybės biudžet</w:t>
            </w:r>
            <w:r w:rsidR="0F87825F" w:rsidRPr="2BF0DB4A">
              <w:rPr>
                <w:rFonts w:ascii="Times New Roman" w:hAnsi="Times New Roman" w:cs="Times New Roman"/>
                <w:sz w:val="20"/>
              </w:rPr>
              <w:t>as</w:t>
            </w:r>
          </w:p>
        </w:tc>
      </w:tr>
      <w:tr w:rsidR="00B04B3D" w:rsidRPr="00871BE8" w14:paraId="4FB8940A" w14:textId="77777777" w:rsidTr="26B7D08C">
        <w:trPr>
          <w:trHeight w:val="353"/>
        </w:trPr>
        <w:tc>
          <w:tcPr>
            <w:tcW w:w="4432" w:type="dxa"/>
            <w:vMerge w:val="restart"/>
          </w:tcPr>
          <w:p w14:paraId="26D2A885" w14:textId="3F683B0B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4B84">
              <w:rPr>
                <w:rFonts w:ascii="Times New Roman" w:hAnsi="Times New Roman" w:cs="Times New Roman"/>
                <w:sz w:val="20"/>
              </w:rPr>
              <w:t>4.5 uždavinys. Stiprinti istorinės atminties aktualizavimą visuomenėje</w:t>
            </w:r>
          </w:p>
        </w:tc>
        <w:tc>
          <w:tcPr>
            <w:tcW w:w="1345" w:type="pct"/>
          </w:tcPr>
          <w:p w14:paraId="7A97ACF0" w14:textId="00325C87" w:rsidR="00B04B3D" w:rsidRPr="00284B84" w:rsidRDefault="469EDDF2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1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0.000,00</w:t>
            </w:r>
          </w:p>
        </w:tc>
        <w:tc>
          <w:tcPr>
            <w:tcW w:w="2181" w:type="pct"/>
          </w:tcPr>
          <w:p w14:paraId="27D273FE" w14:textId="50F30167" w:rsidR="00B04B3D" w:rsidRPr="00284B84" w:rsidRDefault="41632FF8" w:rsidP="7C1706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ERPF (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2021</w:t>
            </w:r>
            <w:r w:rsidR="00E61043">
              <w:rPr>
                <w:rFonts w:ascii="Times New Roman" w:hAnsi="Times New Roman" w:cs="Times New Roman"/>
                <w:sz w:val="20"/>
              </w:rPr>
              <w:t>–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2027</w:t>
            </w:r>
            <w:r w:rsidR="1C1CE2A6" w:rsidRPr="7C1706E8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2BF0DB4A" w14:paraId="6DA37E10" w14:textId="77777777" w:rsidTr="26B7D08C">
        <w:trPr>
          <w:trHeight w:val="353"/>
        </w:trPr>
        <w:tc>
          <w:tcPr>
            <w:tcW w:w="4432" w:type="dxa"/>
            <w:vMerge/>
          </w:tcPr>
          <w:p w14:paraId="3B0A9BE3" w14:textId="77777777" w:rsidR="00D3004A" w:rsidRDefault="00D3004A"/>
        </w:tc>
        <w:tc>
          <w:tcPr>
            <w:tcW w:w="4044" w:type="dxa"/>
          </w:tcPr>
          <w:p w14:paraId="726E8F5F" w14:textId="1589B52C" w:rsidR="5BD97037" w:rsidRDefault="46301548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3</w:t>
            </w:r>
            <w:r w:rsidR="5BD97037" w:rsidRPr="7C1706E8">
              <w:rPr>
                <w:rFonts w:ascii="Times New Roman" w:hAnsi="Times New Roman" w:cs="Times New Roman"/>
                <w:sz w:val="20"/>
              </w:rPr>
              <w:t>0</w:t>
            </w:r>
            <w:r w:rsidR="00F731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5BD97037" w:rsidRPr="7C1706E8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6558" w:type="dxa"/>
          </w:tcPr>
          <w:p w14:paraId="562F95F7" w14:textId="5EF809E9" w:rsidR="5BD97037" w:rsidRDefault="5BD97037" w:rsidP="7C1706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Valstybės biudžetas</w:t>
            </w:r>
          </w:p>
        </w:tc>
      </w:tr>
      <w:tr w:rsidR="00B04B3D" w:rsidRPr="00871BE8" w14:paraId="20E29FC4" w14:textId="77777777" w:rsidTr="26B7D08C">
        <w:trPr>
          <w:trHeight w:val="353"/>
        </w:trPr>
        <w:tc>
          <w:tcPr>
            <w:tcW w:w="4432" w:type="dxa"/>
            <w:vMerge w:val="restart"/>
          </w:tcPr>
          <w:p w14:paraId="1CF917AE" w14:textId="540CE1BC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4B84">
              <w:rPr>
                <w:rFonts w:ascii="Times New Roman" w:hAnsi="Times New Roman" w:cs="Times New Roman"/>
                <w:sz w:val="20"/>
              </w:rPr>
              <w:t>4.6 uždavinys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84B84">
              <w:rPr>
                <w:rFonts w:ascii="Times New Roman" w:hAnsi="Times New Roman" w:cs="Times New Roman"/>
                <w:sz w:val="20"/>
              </w:rPr>
              <w:t xml:space="preserve"> Atgaivinti visuomenei reikšmingą kultūros ir tautinį paveldą ir didinti jo naudojimą visuomenės poreikiams</w:t>
            </w:r>
          </w:p>
        </w:tc>
        <w:tc>
          <w:tcPr>
            <w:tcW w:w="1345" w:type="pct"/>
          </w:tcPr>
          <w:p w14:paraId="1B0E2343" w14:textId="6CA120EF" w:rsidR="00B04B3D" w:rsidRPr="00284B84" w:rsidRDefault="64F991A4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2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1</w:t>
            </w:r>
            <w:r w:rsidR="00F731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E9FBDC2" w:rsidRPr="7C1706E8">
              <w:rPr>
                <w:rFonts w:ascii="Times New Roman" w:hAnsi="Times New Roman" w:cs="Times New Roman"/>
                <w:sz w:val="20"/>
              </w:rPr>
              <w:t>000,00</w:t>
            </w:r>
            <w:r w:rsidR="6BAFB376" w:rsidRPr="7C1706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81" w:type="pct"/>
          </w:tcPr>
          <w:p w14:paraId="086B8BE6" w14:textId="57E10316" w:rsidR="00054160" w:rsidRPr="00284B84" w:rsidRDefault="56E62BCF" w:rsidP="7C1706E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ERPF (2021</w:t>
            </w:r>
            <w:r w:rsidR="00E61043">
              <w:rPr>
                <w:rFonts w:ascii="Times New Roman" w:hAnsi="Times New Roman" w:cs="Times New Roman"/>
                <w:sz w:val="20"/>
              </w:rPr>
              <w:t>–</w:t>
            </w:r>
            <w:r w:rsidRPr="7C1706E8">
              <w:rPr>
                <w:rFonts w:ascii="Times New Roman" w:hAnsi="Times New Roman" w:cs="Times New Roman"/>
                <w:sz w:val="20"/>
              </w:rPr>
              <w:t>2027) ir iš privačių ša</w:t>
            </w:r>
            <w:r w:rsidR="5B87A2D5" w:rsidRPr="7C1706E8">
              <w:rPr>
                <w:rFonts w:ascii="Times New Roman" w:hAnsi="Times New Roman" w:cs="Times New Roman"/>
                <w:sz w:val="20"/>
              </w:rPr>
              <w:t>ltinių</w:t>
            </w:r>
          </w:p>
        </w:tc>
      </w:tr>
      <w:tr w:rsidR="2BF0DB4A" w14:paraId="33BC9E13" w14:textId="77777777" w:rsidTr="26B7D08C">
        <w:trPr>
          <w:trHeight w:val="353"/>
        </w:trPr>
        <w:tc>
          <w:tcPr>
            <w:tcW w:w="4432" w:type="dxa"/>
            <w:vMerge/>
          </w:tcPr>
          <w:p w14:paraId="28C782A7" w14:textId="77777777" w:rsidR="00D3004A" w:rsidRDefault="00D3004A"/>
        </w:tc>
        <w:tc>
          <w:tcPr>
            <w:tcW w:w="4044" w:type="dxa"/>
          </w:tcPr>
          <w:p w14:paraId="78803666" w14:textId="6E403A6E" w:rsidR="07E052E5" w:rsidRDefault="07E052E5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20</w:t>
            </w:r>
            <w:r w:rsidR="00F7311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2BF0DB4A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6558" w:type="dxa"/>
          </w:tcPr>
          <w:p w14:paraId="7E0B59FE" w14:textId="310E8D31" w:rsidR="07E052E5" w:rsidRDefault="07E052E5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Valstybės biudžeta</w:t>
            </w:r>
            <w:r w:rsidR="27E6E59E" w:rsidRPr="7C1706E8">
              <w:rPr>
                <w:rFonts w:ascii="Times New Roman" w:hAnsi="Times New Roman" w:cs="Times New Roman"/>
                <w:sz w:val="20"/>
              </w:rPr>
              <w:t>s</w:t>
            </w:r>
          </w:p>
        </w:tc>
      </w:tr>
      <w:tr w:rsidR="2BF0DB4A" w14:paraId="5725529F" w14:textId="77777777" w:rsidTr="26B7D08C">
        <w:trPr>
          <w:trHeight w:val="353"/>
        </w:trPr>
        <w:tc>
          <w:tcPr>
            <w:tcW w:w="4432" w:type="dxa"/>
            <w:vMerge/>
          </w:tcPr>
          <w:p w14:paraId="556FA9B4" w14:textId="77777777" w:rsidR="00D3004A" w:rsidRDefault="00D3004A"/>
        </w:tc>
        <w:tc>
          <w:tcPr>
            <w:tcW w:w="4044" w:type="dxa"/>
          </w:tcPr>
          <w:p w14:paraId="1FA16CDB" w14:textId="42938F4C" w:rsidR="32842485" w:rsidRDefault="32842485" w:rsidP="7C160465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7C1706E8">
              <w:rPr>
                <w:rFonts w:ascii="Times New Roman" w:hAnsi="Times New Roman" w:cs="Times New Roman"/>
                <w:sz w:val="20"/>
              </w:rPr>
              <w:t>148</w:t>
            </w:r>
            <w:r w:rsidR="378CB8AA" w:rsidRPr="7C1706E8">
              <w:rPr>
                <w:rFonts w:ascii="Times New Roman" w:hAnsi="Times New Roman" w:cs="Times New Roman"/>
                <w:sz w:val="20"/>
              </w:rPr>
              <w:t>,50</w:t>
            </w:r>
            <w:r w:rsidRPr="7C1706E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558" w:type="dxa"/>
          </w:tcPr>
          <w:p w14:paraId="541989F1" w14:textId="164B54C3" w:rsidR="07E052E5" w:rsidRDefault="07E052E5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Iš finansinių priemonių grįžtančios lėšos</w:t>
            </w:r>
          </w:p>
        </w:tc>
      </w:tr>
      <w:tr w:rsidR="00B04B3D" w:rsidRPr="00871BE8" w14:paraId="24B715C1" w14:textId="77777777" w:rsidTr="26B7D08C">
        <w:trPr>
          <w:trHeight w:val="353"/>
        </w:trPr>
        <w:tc>
          <w:tcPr>
            <w:tcW w:w="1474" w:type="pct"/>
          </w:tcPr>
          <w:p w14:paraId="3117F84C" w14:textId="0814E15D" w:rsidR="00B04B3D" w:rsidRPr="00284B84" w:rsidRDefault="00B04B3D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84B84">
              <w:rPr>
                <w:rFonts w:ascii="Times New Roman" w:hAnsi="Times New Roman" w:cs="Times New Roman"/>
                <w:sz w:val="20"/>
              </w:rPr>
              <w:t>4.7 uždavinys. Didinti lietuvių kalbos aktualumą globalizacijos ir technologinių pokyčių kontekste</w:t>
            </w:r>
          </w:p>
        </w:tc>
        <w:tc>
          <w:tcPr>
            <w:tcW w:w="1345" w:type="pct"/>
          </w:tcPr>
          <w:p w14:paraId="7F9D4A21" w14:textId="62FF8D03" w:rsidR="00B04B3D" w:rsidRPr="002E7BA1" w:rsidRDefault="002E7BA1" w:rsidP="00B04B3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E7BA1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="00F7311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2E7BA1">
              <w:rPr>
                <w:rFonts w:ascii="Times New Roman" w:hAnsi="Times New Roman" w:cs="Times New Roman"/>
                <w:color w:val="000000"/>
                <w:sz w:val="20"/>
              </w:rPr>
              <w:t>000,00</w:t>
            </w:r>
          </w:p>
        </w:tc>
        <w:tc>
          <w:tcPr>
            <w:tcW w:w="2181" w:type="pct"/>
          </w:tcPr>
          <w:p w14:paraId="042CBADD" w14:textId="00D19392" w:rsidR="00B04B3D" w:rsidRPr="00284B84" w:rsidRDefault="21AB8CD9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Valstybės biudžetas</w:t>
            </w:r>
          </w:p>
          <w:p w14:paraId="5031E1FA" w14:textId="3C352155" w:rsidR="00B04B3D" w:rsidRPr="00284B84" w:rsidRDefault="00B04B3D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04B3D" w:rsidRPr="00871BE8" w14:paraId="6DC05085" w14:textId="77777777" w:rsidTr="26B7D08C">
        <w:trPr>
          <w:trHeight w:val="353"/>
        </w:trPr>
        <w:tc>
          <w:tcPr>
            <w:tcW w:w="1474" w:type="pct"/>
          </w:tcPr>
          <w:p w14:paraId="1ECA501A" w14:textId="1AC2D0E3" w:rsidR="00B04B3D" w:rsidRDefault="69CB7398" w:rsidP="2BF0DB4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2BF0DB4A">
              <w:rPr>
                <w:rFonts w:ascii="Times New Roman" w:hAnsi="Times New Roman" w:cs="Times New Roman"/>
                <w:sz w:val="20"/>
              </w:rPr>
              <w:t>Plėtros programos suma iš viso</w:t>
            </w:r>
            <w:r w:rsidR="312EEF3E" w:rsidRPr="2BF0DB4A">
              <w:rPr>
                <w:rFonts w:ascii="Times New Roman" w:hAnsi="Times New Roman" w:cs="Times New Roman"/>
                <w:sz w:val="20"/>
              </w:rPr>
              <w:t xml:space="preserve"> (tūkst. Eur)</w:t>
            </w:r>
            <w:r w:rsidRPr="2BF0DB4A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1345" w:type="pct"/>
          </w:tcPr>
          <w:p w14:paraId="060FD12E" w14:textId="54067A06" w:rsidR="00B04B3D" w:rsidRPr="00C72811" w:rsidRDefault="00B04B3D" w:rsidP="26B7D08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26FB7C2" w14:textId="0316F599" w:rsidR="00B04B3D" w:rsidRPr="00871BE8" w:rsidRDefault="11A51E9B" w:rsidP="26B7D08C">
            <w:pPr>
              <w:jc w:val="both"/>
              <w:rPr>
                <w:sz w:val="20"/>
              </w:rPr>
            </w:pPr>
            <w:r w:rsidRPr="00C72811">
              <w:rPr>
                <w:rFonts w:ascii="Times New Roman" w:hAnsi="Times New Roman" w:cs="Times New Roman"/>
                <w:sz w:val="20"/>
              </w:rPr>
              <w:t>289</w:t>
            </w:r>
            <w:r w:rsidR="00F7311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72811">
              <w:rPr>
                <w:rFonts w:ascii="Times New Roman" w:hAnsi="Times New Roman" w:cs="Times New Roman"/>
                <w:sz w:val="20"/>
              </w:rPr>
              <w:t>928,50</w:t>
            </w:r>
          </w:p>
        </w:tc>
        <w:tc>
          <w:tcPr>
            <w:tcW w:w="2181" w:type="pct"/>
          </w:tcPr>
          <w:p w14:paraId="22E95DCD" w14:textId="77777777" w:rsidR="00B04B3D" w:rsidRPr="00871BE8" w:rsidRDefault="00B04B3D" w:rsidP="7C1706E8">
            <w:pPr>
              <w:jc w:val="both"/>
              <w:rPr>
                <w:sz w:val="16"/>
                <w:szCs w:val="16"/>
              </w:rPr>
            </w:pPr>
          </w:p>
        </w:tc>
      </w:tr>
    </w:tbl>
    <w:p w14:paraId="4B8B25BB" w14:textId="77777777" w:rsidR="00EA2774" w:rsidRPr="00871BE8" w:rsidRDefault="00EA2774" w:rsidP="00EA2774">
      <w:pPr>
        <w:rPr>
          <w:b/>
          <w:color w:val="000000"/>
        </w:rPr>
      </w:pPr>
    </w:p>
    <w:p w14:paraId="34335DF6" w14:textId="77777777" w:rsidR="00EA2774" w:rsidRPr="00871BE8" w:rsidRDefault="00EA2774" w:rsidP="00EA2774">
      <w:pPr>
        <w:ind w:left="284" w:hanging="284"/>
        <w:jc w:val="center"/>
        <w:rPr>
          <w:b/>
          <w:color w:val="000000"/>
        </w:rPr>
      </w:pPr>
      <w:r w:rsidRPr="00871BE8">
        <w:rPr>
          <w:b/>
          <w:color w:val="000000"/>
        </w:rPr>
        <w:t>III DALIS</w:t>
      </w:r>
    </w:p>
    <w:p w14:paraId="31A876D7" w14:textId="77777777" w:rsidR="00EA2774" w:rsidRPr="00871BE8" w:rsidRDefault="00EA2774" w:rsidP="00EA2774">
      <w:pPr>
        <w:ind w:left="284" w:hanging="284"/>
        <w:jc w:val="center"/>
        <w:rPr>
          <w:b/>
          <w:color w:val="000000"/>
        </w:rPr>
      </w:pPr>
      <w:r w:rsidRPr="00871BE8">
        <w:rPr>
          <w:b/>
          <w:color w:val="000000"/>
        </w:rPr>
        <w:t xml:space="preserve">PRIEMONIŲ RINKINYS </w:t>
      </w:r>
    </w:p>
    <w:p w14:paraId="26E3F318" w14:textId="77777777" w:rsidR="00EA2774" w:rsidRPr="00871BE8" w:rsidRDefault="00EA2774" w:rsidP="00EA2774">
      <w:pPr>
        <w:jc w:val="both"/>
      </w:pPr>
    </w:p>
    <w:tbl>
      <w:tblPr>
        <w:tblStyle w:val="TableGrid"/>
        <w:tblW w:w="5470" w:type="pct"/>
        <w:tblLayout w:type="fixed"/>
        <w:tblLook w:val="04A0" w:firstRow="1" w:lastRow="0" w:firstColumn="1" w:lastColumn="0" w:noHBand="0" w:noVBand="1"/>
      </w:tblPr>
      <w:tblGrid>
        <w:gridCol w:w="3056"/>
        <w:gridCol w:w="1259"/>
        <w:gridCol w:w="1261"/>
        <w:gridCol w:w="1261"/>
        <w:gridCol w:w="1258"/>
        <w:gridCol w:w="2881"/>
        <w:gridCol w:w="1212"/>
        <w:gridCol w:w="1396"/>
        <w:gridCol w:w="1724"/>
      </w:tblGrid>
      <w:tr w:rsidR="00EA2774" w:rsidRPr="0023546F" w14:paraId="1BA43FB3" w14:textId="77777777" w:rsidTr="00F73118">
        <w:trPr>
          <w:trHeight w:val="678"/>
        </w:trPr>
        <w:tc>
          <w:tcPr>
            <w:tcW w:w="998" w:type="pct"/>
            <w:vMerge w:val="restart"/>
            <w:shd w:val="clear" w:color="auto" w:fill="DBE5F1" w:themeFill="accent1" w:themeFillTint="33"/>
            <w:vAlign w:val="center"/>
          </w:tcPr>
          <w:p w14:paraId="11F1A328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Priemonė</w:t>
            </w:r>
          </w:p>
        </w:tc>
        <w:tc>
          <w:tcPr>
            <w:tcW w:w="411" w:type="pct"/>
            <w:vMerge w:val="restart"/>
            <w:shd w:val="clear" w:color="auto" w:fill="DBE5F1" w:themeFill="accent1" w:themeFillTint="33"/>
            <w:vAlign w:val="center"/>
          </w:tcPr>
          <w:p w14:paraId="7E0CFB49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NPP uždavinys, kurį įgyvendina priemonė</w:t>
            </w:r>
          </w:p>
        </w:tc>
        <w:tc>
          <w:tcPr>
            <w:tcW w:w="412" w:type="pct"/>
            <w:vMerge w:val="restart"/>
            <w:shd w:val="clear" w:color="auto" w:fill="DBE5F1" w:themeFill="accent1" w:themeFillTint="33"/>
            <w:vAlign w:val="center"/>
          </w:tcPr>
          <w:p w14:paraId="531123D8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Kiti NPP uždaviniai</w:t>
            </w:r>
          </w:p>
        </w:tc>
        <w:tc>
          <w:tcPr>
            <w:tcW w:w="412" w:type="pct"/>
            <w:vMerge w:val="restart"/>
            <w:shd w:val="clear" w:color="auto" w:fill="DBE5F1" w:themeFill="accent1" w:themeFillTint="33"/>
            <w:vAlign w:val="center"/>
          </w:tcPr>
          <w:p w14:paraId="5398E6EA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Būtinos sąlygos</w:t>
            </w:r>
          </w:p>
        </w:tc>
        <w:tc>
          <w:tcPr>
            <w:tcW w:w="411" w:type="pct"/>
            <w:vMerge w:val="restart"/>
            <w:shd w:val="clear" w:color="auto" w:fill="DBE5F1" w:themeFill="accent1" w:themeFillTint="33"/>
            <w:vAlign w:val="center"/>
          </w:tcPr>
          <w:p w14:paraId="2BDF89DB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Dalyvaujančios institucijos</w:t>
            </w:r>
          </w:p>
        </w:tc>
        <w:tc>
          <w:tcPr>
            <w:tcW w:w="941" w:type="pct"/>
            <w:vMerge w:val="restart"/>
            <w:shd w:val="clear" w:color="auto" w:fill="DBE5F1" w:themeFill="accent1" w:themeFillTint="33"/>
            <w:vAlign w:val="center"/>
          </w:tcPr>
          <w:p w14:paraId="39B87126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Priemonės rezultato rodiklio pavadinimas</w:t>
            </w:r>
            <w:r w:rsidR="006201B1" w:rsidRPr="0023546F">
              <w:rPr>
                <w:rStyle w:val="FootnoteReference"/>
                <w:rFonts w:ascii="Times New Roman" w:hAnsi="Times New Roman" w:cs="Times New Roman"/>
                <w:b/>
                <w:szCs w:val="22"/>
              </w:rPr>
              <w:footnoteReference w:id="2"/>
            </w:r>
          </w:p>
        </w:tc>
        <w:tc>
          <w:tcPr>
            <w:tcW w:w="852" w:type="pct"/>
            <w:gridSpan w:val="2"/>
            <w:shd w:val="clear" w:color="auto" w:fill="DBE5F1" w:themeFill="accent1" w:themeFillTint="33"/>
            <w:vAlign w:val="center"/>
          </w:tcPr>
          <w:p w14:paraId="73D9896E" w14:textId="22D8B2D8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Priemonės rezultato rodiklio reikšmės</w:t>
            </w:r>
          </w:p>
        </w:tc>
        <w:tc>
          <w:tcPr>
            <w:tcW w:w="563" w:type="pct"/>
            <w:vMerge w:val="restart"/>
            <w:shd w:val="clear" w:color="auto" w:fill="DBE5F1" w:themeFill="accent1" w:themeFillTint="33"/>
            <w:vAlign w:val="center"/>
          </w:tcPr>
          <w:p w14:paraId="7B7A3DDD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Priemonės papildomas požymis: LRV ĮP, HP, NRD</w:t>
            </w:r>
          </w:p>
        </w:tc>
      </w:tr>
      <w:tr w:rsidR="00EA2774" w:rsidRPr="0023546F" w14:paraId="21D82476" w14:textId="77777777" w:rsidTr="00F73118">
        <w:trPr>
          <w:trHeight w:val="184"/>
        </w:trPr>
        <w:tc>
          <w:tcPr>
            <w:tcW w:w="998" w:type="pct"/>
            <w:vMerge/>
          </w:tcPr>
          <w:p w14:paraId="072C659C" w14:textId="77777777" w:rsidR="00EA2774" w:rsidRPr="0023546F" w:rsidRDefault="00EA2774" w:rsidP="00036331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  <w:vMerge/>
          </w:tcPr>
          <w:p w14:paraId="4D42D242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2" w:type="pct"/>
            <w:vMerge/>
          </w:tcPr>
          <w:p w14:paraId="17891DD9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2" w:type="pct"/>
            <w:vMerge/>
          </w:tcPr>
          <w:p w14:paraId="024AC894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1" w:type="pct"/>
            <w:vMerge/>
          </w:tcPr>
          <w:p w14:paraId="09FD98D4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41" w:type="pct"/>
            <w:vMerge/>
          </w:tcPr>
          <w:p w14:paraId="60DCC64C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96" w:type="pct"/>
          </w:tcPr>
          <w:p w14:paraId="10B034CF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Pradinė</w:t>
            </w:r>
          </w:p>
        </w:tc>
        <w:tc>
          <w:tcPr>
            <w:tcW w:w="456" w:type="pct"/>
          </w:tcPr>
          <w:p w14:paraId="52E6A045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3546F">
              <w:rPr>
                <w:rFonts w:ascii="Times New Roman" w:hAnsi="Times New Roman" w:cs="Times New Roman"/>
                <w:b/>
                <w:szCs w:val="22"/>
              </w:rPr>
              <w:t>2030 m.</w:t>
            </w:r>
          </w:p>
        </w:tc>
        <w:tc>
          <w:tcPr>
            <w:tcW w:w="563" w:type="pct"/>
            <w:vMerge/>
          </w:tcPr>
          <w:p w14:paraId="749F644F" w14:textId="77777777" w:rsidR="00EA2774" w:rsidRPr="0023546F" w:rsidRDefault="00EA2774" w:rsidP="0003633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EA2774" w:rsidRPr="0023546F" w14:paraId="0D6CCDB4" w14:textId="77777777" w:rsidTr="00F73118">
        <w:tc>
          <w:tcPr>
            <w:tcW w:w="998" w:type="pct"/>
          </w:tcPr>
          <w:p w14:paraId="7BFB7CC9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1" w:type="pct"/>
          </w:tcPr>
          <w:p w14:paraId="79EF1484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2" w:type="pct"/>
          </w:tcPr>
          <w:p w14:paraId="63F30290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12" w:type="pct"/>
          </w:tcPr>
          <w:p w14:paraId="7CB63CD4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11" w:type="pct"/>
          </w:tcPr>
          <w:p w14:paraId="76488E25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41" w:type="pct"/>
          </w:tcPr>
          <w:p w14:paraId="58820877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6" w:type="pct"/>
          </w:tcPr>
          <w:p w14:paraId="0F8BB425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56" w:type="pct"/>
          </w:tcPr>
          <w:p w14:paraId="7D8AAD07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563" w:type="pct"/>
          </w:tcPr>
          <w:p w14:paraId="4C1CF195" w14:textId="77777777" w:rsidR="00EA2774" w:rsidRPr="0023546F" w:rsidRDefault="00EA2774" w:rsidP="00036331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3B7D9C" w:rsidRPr="0023546F" w14:paraId="536CF297" w14:textId="77777777" w:rsidTr="00F73118">
        <w:trPr>
          <w:trHeight w:val="4220"/>
        </w:trPr>
        <w:tc>
          <w:tcPr>
            <w:tcW w:w="998" w:type="pct"/>
          </w:tcPr>
          <w:p w14:paraId="4C7498A2" w14:textId="253B6ABD" w:rsidR="003B7D9C" w:rsidRPr="0023546F" w:rsidRDefault="7ACE33C8" w:rsidP="7C16046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7C160465">
              <w:rPr>
                <w:rFonts w:ascii="Times New Roman" w:hAnsi="Times New Roman" w:cs="Times New Roman"/>
                <w:color w:val="000000" w:themeColor="text1"/>
                <w:szCs w:val="22"/>
              </w:rPr>
              <w:lastRenderedPageBreak/>
              <w:t>08-001-04-01-01</w:t>
            </w:r>
            <w:r w:rsidR="1F914552" w:rsidRPr="7C160465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(PP)</w:t>
            </w:r>
            <w:r w:rsidR="630B99E9" w:rsidRPr="7C160465">
              <w:rPr>
                <w:rFonts w:ascii="Times New Roman" w:hAnsi="Times New Roman" w:cs="Times New Roman"/>
              </w:rPr>
              <w:t xml:space="preserve"> </w:t>
            </w:r>
            <w:r w:rsidR="555D49FB" w:rsidRPr="7C160465">
              <w:rPr>
                <w:rFonts w:ascii="Times New Roman" w:hAnsi="Times New Roman" w:cs="Times New Roman"/>
              </w:rPr>
              <w:t xml:space="preserve">Aukštos meninės vertės, įvairaus ir </w:t>
            </w:r>
            <w:proofErr w:type="spellStart"/>
            <w:r w:rsidR="555D49FB" w:rsidRPr="7C160465">
              <w:rPr>
                <w:rFonts w:ascii="Times New Roman" w:hAnsi="Times New Roman" w:cs="Times New Roman"/>
              </w:rPr>
              <w:t>įtraukaus</w:t>
            </w:r>
            <w:proofErr w:type="spellEnd"/>
            <w:r w:rsidR="555D49FB" w:rsidRPr="7C160465">
              <w:rPr>
                <w:rFonts w:ascii="Times New Roman" w:hAnsi="Times New Roman" w:cs="Times New Roman"/>
              </w:rPr>
              <w:t xml:space="preserve"> kultūros turinio prieinamumo didinimas </w:t>
            </w:r>
            <w:r w:rsidR="1EDA44C1" w:rsidRPr="7C160465">
              <w:rPr>
                <w:rFonts w:ascii="Times New Roman" w:hAnsi="Times New Roman" w:cs="Times New Roman"/>
              </w:rPr>
              <w:t>(PRIORITETAS)</w:t>
            </w:r>
          </w:p>
        </w:tc>
        <w:tc>
          <w:tcPr>
            <w:tcW w:w="411" w:type="pct"/>
          </w:tcPr>
          <w:p w14:paraId="30106DAC" w14:textId="6E51D9A6" w:rsidR="003B7D9C" w:rsidRPr="0023546F" w:rsidRDefault="003B7D9C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bCs/>
                <w:szCs w:val="22"/>
              </w:rPr>
              <w:t>4.1</w:t>
            </w:r>
          </w:p>
        </w:tc>
        <w:tc>
          <w:tcPr>
            <w:tcW w:w="412" w:type="pct"/>
          </w:tcPr>
          <w:p w14:paraId="014C2BC4" w14:textId="58638EA2" w:rsidR="003B7D9C" w:rsidRPr="0023546F" w:rsidRDefault="003B7D9C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14:paraId="6237AE3B" w14:textId="77777777" w:rsidR="003B7D9C" w:rsidRPr="0023546F" w:rsidRDefault="003B7D9C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</w:tcPr>
          <w:p w14:paraId="10BD4BE7" w14:textId="7E63C526" w:rsidR="000B6792" w:rsidRDefault="00C44E07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VRM, ŠMSM, EIM, SADM, SAM</w:t>
            </w:r>
          </w:p>
          <w:p w14:paraId="0972BCF5" w14:textId="77777777" w:rsidR="00414208" w:rsidRDefault="00414208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D23F7D6" w14:textId="11EF431E" w:rsidR="000B6792" w:rsidRPr="0023546F" w:rsidRDefault="000B6792" w:rsidP="00482266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41" w:type="pct"/>
          </w:tcPr>
          <w:p w14:paraId="07E89C88" w14:textId="10E21FDF" w:rsidR="003B7D9C" w:rsidRPr="0023546F" w:rsidRDefault="337EB33B" w:rsidP="6956B806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6956B806">
              <w:rPr>
                <w:rFonts w:ascii="Times New Roman" w:hAnsi="Times New Roman" w:cs="Times New Roman"/>
                <w:shd w:val="clear" w:color="auto" w:fill="FFFFFF"/>
              </w:rPr>
              <w:t xml:space="preserve">Bazinio kultūros paslaugų paketo reto dažnumo poreikio kultūros paslaugų </w:t>
            </w:r>
            <w:r w:rsidR="4E8125DC" w:rsidRPr="6956B806">
              <w:rPr>
                <w:rFonts w:ascii="Times New Roman" w:hAnsi="Times New Roman" w:cs="Times New Roman"/>
                <w:shd w:val="clear" w:color="auto" w:fill="FFFFFF"/>
              </w:rPr>
              <w:t>prieinamum</w:t>
            </w:r>
            <w:r w:rsidR="770C051E" w:rsidRPr="6956B806">
              <w:rPr>
                <w:rFonts w:ascii="Times New Roman" w:hAnsi="Times New Roman" w:cs="Times New Roman"/>
                <w:shd w:val="clear" w:color="auto" w:fill="FFFFFF"/>
              </w:rPr>
              <w:t>as</w:t>
            </w:r>
            <w:r w:rsidRPr="6956B806">
              <w:rPr>
                <w:rFonts w:ascii="Times New Roman" w:hAnsi="Times New Roman" w:cs="Times New Roman"/>
                <w:shd w:val="clear" w:color="auto" w:fill="FFFFFF"/>
              </w:rPr>
              <w:t>, proc</w:t>
            </w:r>
            <w:r w:rsidR="4E8125DC" w:rsidRPr="6956B806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14:paraId="7FAC3BEC" w14:textId="3882AEC2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3E821797" w14:textId="77777777" w:rsidR="000E70C8" w:rsidRPr="0037024D" w:rsidRDefault="0037024D" w:rsidP="000B6BF3">
            <w:pPr>
              <w:jc w:val="both"/>
              <w:rPr>
                <w:rFonts w:ascii="Times New Roman" w:hAnsi="Times New Roman" w:cs="Times New Roman"/>
              </w:rPr>
            </w:pPr>
            <w:r w:rsidRPr="0037024D">
              <w:rPr>
                <w:rFonts w:ascii="Times New Roman" w:hAnsi="Times New Roman" w:cs="Times New Roman"/>
              </w:rPr>
              <w:t>Gyventojų pasitenkinimas kultūros paslaugų prieinamumu, proc.</w:t>
            </w:r>
          </w:p>
          <w:p w14:paraId="0165D4F0" w14:textId="77777777" w:rsidR="0037024D" w:rsidRPr="0037024D" w:rsidRDefault="0037024D" w:rsidP="000B6B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6B5CF0B" w14:textId="77777777" w:rsidR="0037024D" w:rsidRDefault="0037024D" w:rsidP="000B6BF3">
            <w:pPr>
              <w:jc w:val="both"/>
              <w:rPr>
                <w:rFonts w:ascii="Times New Roman" w:hAnsi="Times New Roman" w:cs="Times New Roman"/>
              </w:rPr>
            </w:pPr>
            <w:r w:rsidRPr="0037024D">
              <w:rPr>
                <w:rFonts w:ascii="Times New Roman" w:hAnsi="Times New Roman" w:cs="Times New Roman"/>
              </w:rPr>
              <w:t>Gyventojų pasitenkinimas kultūros paslaugų kokybe, proc.</w:t>
            </w:r>
          </w:p>
          <w:p w14:paraId="353C94A8" w14:textId="77777777" w:rsidR="00BC280E" w:rsidRDefault="00BC280E" w:rsidP="000B6BF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37E788FC" w14:textId="5517AA4E" w:rsidR="00206D3B" w:rsidRPr="00BC280E" w:rsidRDefault="1DBB87B3" w:rsidP="1202519C">
            <w:pPr>
              <w:jc w:val="both"/>
              <w:rPr>
                <w:rFonts w:ascii="Times New Roman" w:hAnsi="Times New Roman" w:cs="Times New Roman"/>
                <w:noProof/>
                <w:lang w:eastAsia="en-GB"/>
              </w:rPr>
            </w:pPr>
            <w:r w:rsidRPr="1A7D8279">
              <w:rPr>
                <w:rFonts w:ascii="Times New Roman" w:hAnsi="Times New Roman" w:cs="Times New Roman"/>
                <w:noProof/>
              </w:rPr>
              <w:t>Paramą gavusių kultūros ir turizmo objektų lankytojai</w:t>
            </w:r>
            <w:r w:rsidR="219AF5DD" w:rsidRPr="1A7D8279">
              <w:rPr>
                <w:rFonts w:ascii="Times New Roman" w:hAnsi="Times New Roman" w:cs="Times New Roman"/>
                <w:noProof/>
              </w:rPr>
              <w:t>, vnt</w:t>
            </w:r>
            <w:r w:rsidR="1A4219B4" w:rsidRPr="1A7D8279">
              <w:rPr>
                <w:rFonts w:ascii="Times New Roman" w:hAnsi="Times New Roman" w:cs="Times New Roman"/>
                <w:noProof/>
              </w:rPr>
              <w:t>.</w:t>
            </w:r>
            <w:r w:rsidR="00F97C40">
              <w:rPr>
                <w:rFonts w:ascii="Times New Roman" w:hAnsi="Times New Roman" w:cs="Times New Roman"/>
                <w:noProof/>
              </w:rPr>
              <w:t xml:space="preserve"> </w:t>
            </w:r>
            <w:r w:rsidR="00DE5ED9" w:rsidRPr="1A7D8279">
              <w:rPr>
                <w:rFonts w:ascii="Times New Roman" w:hAnsi="Times New Roman" w:cs="Times New Roman"/>
                <w:noProof/>
              </w:rPr>
              <w:t>/</w:t>
            </w:r>
            <w:r w:rsidR="00F97C40">
              <w:rPr>
                <w:rFonts w:ascii="Times New Roman" w:hAnsi="Times New Roman" w:cs="Times New Roman"/>
                <w:noProof/>
              </w:rPr>
              <w:t xml:space="preserve"> </w:t>
            </w:r>
            <w:r w:rsidR="00DE5ED9" w:rsidRPr="1A7D8279">
              <w:rPr>
                <w:rFonts w:ascii="Times New Roman" w:hAnsi="Times New Roman" w:cs="Times New Roman"/>
                <w:noProof/>
              </w:rPr>
              <w:t>per metus</w:t>
            </w:r>
          </w:p>
        </w:tc>
        <w:tc>
          <w:tcPr>
            <w:tcW w:w="396" w:type="pct"/>
          </w:tcPr>
          <w:p w14:paraId="5086DF6D" w14:textId="13936F1E" w:rsidR="003B7D9C" w:rsidRPr="00762AC6" w:rsidRDefault="003B7D9C" w:rsidP="003B7D9C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762AC6">
              <w:rPr>
                <w:rFonts w:ascii="Times New Roman" w:hAnsi="Times New Roman" w:cs="Times New Roman"/>
                <w:bCs/>
                <w:szCs w:val="22"/>
              </w:rPr>
              <w:t>28</w:t>
            </w:r>
          </w:p>
          <w:p w14:paraId="550FBCB1" w14:textId="4AF2C801" w:rsidR="000B6BF3" w:rsidRPr="00762AC6" w:rsidRDefault="000B6BF3" w:rsidP="003B7D9C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762AC6">
              <w:rPr>
                <w:rFonts w:ascii="Times New Roman" w:hAnsi="Times New Roman" w:cs="Times New Roman"/>
                <w:bCs/>
                <w:szCs w:val="22"/>
              </w:rPr>
              <w:t>(2019)</w:t>
            </w:r>
          </w:p>
          <w:p w14:paraId="75DDF401" w14:textId="77777777" w:rsidR="000B6792" w:rsidRPr="00762AC6" w:rsidRDefault="000B6792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6E1CF40" w14:textId="77777777" w:rsidR="000B6792" w:rsidRPr="00762AC6" w:rsidRDefault="000B6792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A5AEF2B" w14:textId="60E467B3" w:rsidR="2BF0DB4A" w:rsidRPr="00762AC6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295D4704" w14:textId="00C678D6" w:rsidR="000B6792" w:rsidRPr="00762AC6" w:rsidRDefault="0037024D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69,4</w:t>
            </w:r>
          </w:p>
          <w:p w14:paraId="743A31B8" w14:textId="26EABAD1" w:rsidR="0037024D" w:rsidRPr="00762AC6" w:rsidRDefault="0037024D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7F5A0E59" w14:textId="77777777" w:rsidR="000B6792" w:rsidRPr="00762AC6" w:rsidRDefault="000B6792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622169B" w14:textId="77777777" w:rsidR="000B6792" w:rsidRPr="00762AC6" w:rsidRDefault="000B6792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885BDB2" w14:textId="20CFEBE5" w:rsidR="0037024D" w:rsidRPr="00762AC6" w:rsidRDefault="0037024D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70,6</w:t>
            </w:r>
          </w:p>
          <w:p w14:paraId="3D369261" w14:textId="21E1ADB9" w:rsidR="0037024D" w:rsidRPr="00762AC6" w:rsidRDefault="0037024D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69D26860" w14:textId="47FB175F" w:rsidR="0063788C" w:rsidRPr="00762AC6" w:rsidRDefault="0063788C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40C102F" w14:textId="77777777" w:rsidR="001C7B1D" w:rsidRPr="00762AC6" w:rsidRDefault="001C7B1D" w:rsidP="7C1706E8">
            <w:pPr>
              <w:jc w:val="both"/>
              <w:rPr>
                <w:rFonts w:ascii="Times New Roman" w:hAnsi="Times New Roman" w:cs="Times New Roman"/>
              </w:rPr>
            </w:pPr>
          </w:p>
          <w:p w14:paraId="06BC71F4" w14:textId="07ED5146" w:rsidR="0063788C" w:rsidRPr="00762AC6" w:rsidRDefault="7AD87777" w:rsidP="7C1706E8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285</w:t>
            </w:r>
            <w:r w:rsidR="00F73118">
              <w:rPr>
                <w:rFonts w:ascii="Times New Roman" w:hAnsi="Times New Roman" w:cs="Times New Roman"/>
              </w:rPr>
              <w:t xml:space="preserve"> </w:t>
            </w:r>
            <w:r w:rsidRPr="00762AC6">
              <w:rPr>
                <w:rFonts w:ascii="Times New Roman" w:hAnsi="Times New Roman" w:cs="Times New Roman"/>
              </w:rPr>
              <w:t>886,00</w:t>
            </w:r>
          </w:p>
          <w:p w14:paraId="487F06E2" w14:textId="128C8FB1" w:rsidR="00206D3B" w:rsidRPr="00762AC6" w:rsidRDefault="1EC06C9E" w:rsidP="000B6792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(20</w:t>
            </w:r>
            <w:r w:rsidR="36A4E5B1" w:rsidRPr="00762AC6">
              <w:rPr>
                <w:rFonts w:ascii="Times New Roman" w:hAnsi="Times New Roman" w:cs="Times New Roman"/>
              </w:rPr>
              <w:t>19</w:t>
            </w:r>
            <w:r w:rsidRPr="00762A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pct"/>
          </w:tcPr>
          <w:p w14:paraId="595EA438" w14:textId="06EE8061" w:rsidR="003B7D9C" w:rsidRPr="00762AC6" w:rsidRDefault="003B7D9C" w:rsidP="003B7D9C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762AC6">
              <w:rPr>
                <w:rFonts w:ascii="Times New Roman" w:hAnsi="Times New Roman" w:cs="Times New Roman"/>
                <w:bCs/>
                <w:szCs w:val="22"/>
              </w:rPr>
              <w:t>50</w:t>
            </w:r>
          </w:p>
          <w:p w14:paraId="7E6DD1BC" w14:textId="77777777" w:rsidR="000B6792" w:rsidRPr="00762AC6" w:rsidRDefault="000B6792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CD26D48" w14:textId="77777777" w:rsidR="000B6792" w:rsidRPr="00762AC6" w:rsidRDefault="000B6792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62CD779" w14:textId="77777777" w:rsidR="000B6792" w:rsidRPr="00762AC6" w:rsidRDefault="000B6792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DE06883" w14:textId="53A09F18" w:rsidR="2BF0DB4A" w:rsidRPr="00762AC6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660F81CC" w14:textId="3BF9CD57" w:rsidR="000B6792" w:rsidRPr="00762AC6" w:rsidRDefault="0037024D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71,2</w:t>
            </w:r>
          </w:p>
          <w:p w14:paraId="0264AF68" w14:textId="77777777" w:rsidR="000B6792" w:rsidRPr="00762AC6" w:rsidRDefault="000B6792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D0971F2" w14:textId="77777777" w:rsidR="0037024D" w:rsidRPr="00762AC6" w:rsidRDefault="0037024D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ADDF796" w14:textId="77777777" w:rsidR="0037024D" w:rsidRPr="00762AC6" w:rsidRDefault="0037024D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1FB503E" w14:textId="44937C17" w:rsidR="0037024D" w:rsidRPr="00762AC6" w:rsidRDefault="0037024D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74,57</w:t>
            </w:r>
          </w:p>
          <w:p w14:paraId="1E78DF0C" w14:textId="0022D52B" w:rsidR="00206D3B" w:rsidRPr="00762AC6" w:rsidRDefault="00206D3B" w:rsidP="1202519C">
            <w:pPr>
              <w:jc w:val="both"/>
              <w:rPr>
                <w:rFonts w:ascii="Times New Roman" w:hAnsi="Times New Roman" w:cs="Times New Roman"/>
              </w:rPr>
            </w:pPr>
          </w:p>
          <w:p w14:paraId="5777BB99" w14:textId="3BAFE31D" w:rsidR="7C1706E8" w:rsidRPr="00762AC6" w:rsidRDefault="7C1706E8" w:rsidP="7C1706E8">
            <w:pPr>
              <w:jc w:val="both"/>
              <w:rPr>
                <w:rFonts w:ascii="Times New Roman" w:hAnsi="Times New Roman" w:cs="Times New Roman"/>
              </w:rPr>
            </w:pPr>
          </w:p>
          <w:p w14:paraId="1AA42585" w14:textId="77777777" w:rsidR="001C7B1D" w:rsidRPr="00762AC6" w:rsidRDefault="001C7B1D" w:rsidP="003B7D9C">
            <w:pPr>
              <w:jc w:val="both"/>
              <w:rPr>
                <w:rFonts w:ascii="Times New Roman" w:hAnsi="Times New Roman" w:cs="Times New Roman"/>
              </w:rPr>
            </w:pPr>
          </w:p>
          <w:p w14:paraId="4C37F60D" w14:textId="3653A33A" w:rsidR="00206D3B" w:rsidRPr="00762AC6" w:rsidRDefault="429A28AA" w:rsidP="003B7D9C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695</w:t>
            </w:r>
            <w:r w:rsidR="00F73118">
              <w:rPr>
                <w:rFonts w:ascii="Times New Roman" w:hAnsi="Times New Roman" w:cs="Times New Roman"/>
              </w:rPr>
              <w:t xml:space="preserve"> </w:t>
            </w:r>
            <w:r w:rsidRPr="00762AC6">
              <w:rPr>
                <w:rFonts w:ascii="Times New Roman" w:hAnsi="Times New Roman" w:cs="Times New Roman"/>
              </w:rPr>
              <w:t>964,00</w:t>
            </w:r>
          </w:p>
        </w:tc>
        <w:tc>
          <w:tcPr>
            <w:tcW w:w="563" w:type="pct"/>
          </w:tcPr>
          <w:p w14:paraId="2BCC9979" w14:textId="41A9B5C5" w:rsidR="003B7D9C" w:rsidRPr="00414208" w:rsidRDefault="51D5C2CD" w:rsidP="2BBCF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2BBCF285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HP </w:t>
            </w:r>
            <w:r w:rsidR="00F97C4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–</w:t>
            </w:r>
            <w:r w:rsidRPr="2BBCF285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lygios galimybės visiems,</w:t>
            </w:r>
          </w:p>
          <w:p w14:paraId="386148A7" w14:textId="44FF09A9" w:rsidR="003B7D9C" w:rsidRPr="00414208" w:rsidRDefault="004D2C5D" w:rsidP="2BBCF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2BBCF285">
              <w:rPr>
                <w:rFonts w:ascii="Times New Roman" w:hAnsi="Times New Roman" w:cs="Times New Roman"/>
              </w:rPr>
              <w:t>LRV ĮP</w:t>
            </w:r>
          </w:p>
          <w:p w14:paraId="19E7246C" w14:textId="29620BB3" w:rsidR="003B7D9C" w:rsidRPr="00414208" w:rsidRDefault="003B7D9C" w:rsidP="2BBCF2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</w:p>
        </w:tc>
      </w:tr>
      <w:tr w:rsidR="000B6792" w:rsidRPr="0023546F" w14:paraId="46F6ABC5" w14:textId="77777777" w:rsidTr="00F73118">
        <w:trPr>
          <w:trHeight w:val="1421"/>
        </w:trPr>
        <w:tc>
          <w:tcPr>
            <w:tcW w:w="998" w:type="pct"/>
          </w:tcPr>
          <w:p w14:paraId="0BA927AD" w14:textId="002E2A08" w:rsidR="000B6792" w:rsidRPr="0023546F" w:rsidRDefault="44C918D4" w:rsidP="09DFDDC2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Cs w:val="22"/>
              </w:rPr>
            </w:pPr>
            <w:r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>08-001-04-01-02</w:t>
            </w:r>
            <w:r w:rsidR="00F97C40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="21D163B7"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>(PP)</w:t>
            </w:r>
            <w:r w:rsidR="630B99E9"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</w:t>
            </w:r>
            <w:r w:rsidR="6BF60C45"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Kultūrinės edukacijos sistemingas integravimas į formalųjį ir neformalųjį </w:t>
            </w:r>
            <w:r w:rsidR="2B5396EE"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>ugdym</w:t>
            </w:r>
            <w:r w:rsidR="001B610C">
              <w:rPr>
                <w:rFonts w:ascii="Times New Roman" w:hAnsi="Times New Roman" w:cs="Times New Roman"/>
                <w:color w:val="000000" w:themeColor="text1"/>
                <w:szCs w:val="22"/>
              </w:rPr>
              <w:t>ą</w:t>
            </w:r>
            <w:r w:rsidR="6BF60C45"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(PRIORITETAS)</w:t>
            </w:r>
          </w:p>
        </w:tc>
        <w:tc>
          <w:tcPr>
            <w:tcW w:w="411" w:type="pct"/>
          </w:tcPr>
          <w:p w14:paraId="7363C806" w14:textId="26AF2E45" w:rsidR="000B6792" w:rsidRPr="0023546F" w:rsidRDefault="000B6792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412" w:type="pct"/>
          </w:tcPr>
          <w:p w14:paraId="55FD8683" w14:textId="77777777" w:rsidR="000B6792" w:rsidRPr="0023546F" w:rsidRDefault="000B6792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14:paraId="7A1E4500" w14:textId="77777777" w:rsidR="000B6792" w:rsidRPr="0023546F" w:rsidRDefault="000B6792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</w:tcPr>
          <w:p w14:paraId="764A030A" w14:textId="001E3C6C" w:rsidR="000B6792" w:rsidRPr="0023546F" w:rsidRDefault="000B6792" w:rsidP="000B6792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ŠMSM</w:t>
            </w:r>
          </w:p>
        </w:tc>
        <w:tc>
          <w:tcPr>
            <w:tcW w:w="941" w:type="pct"/>
          </w:tcPr>
          <w:p w14:paraId="10638228" w14:textId="2486C25F" w:rsidR="000B6792" w:rsidRDefault="403B7535" w:rsidP="09DFDDC2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>Kultūros paso paslaugų gavėjų pasitenkinimas paslaugų kokybe, proc</w:t>
            </w:r>
            <w:r w:rsidR="795E2045" w:rsidRPr="09DFDDC2">
              <w:rPr>
                <w:rFonts w:ascii="Times New Roman" w:hAnsi="Times New Roman" w:cs="Times New Roman"/>
                <w:color w:val="000000" w:themeColor="text1"/>
                <w:szCs w:val="22"/>
              </w:rPr>
              <w:t>.</w:t>
            </w:r>
          </w:p>
        </w:tc>
        <w:tc>
          <w:tcPr>
            <w:tcW w:w="396" w:type="pct"/>
          </w:tcPr>
          <w:p w14:paraId="125F0E2B" w14:textId="0F039649" w:rsidR="15E04F8E" w:rsidRDefault="15E04F8E" w:rsidP="2BF0DB4A">
            <w:pPr>
              <w:spacing w:line="259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2BF0DB4A">
              <w:rPr>
                <w:rFonts w:ascii="Times New Roman" w:hAnsi="Times New Roman" w:cs="Times New Roman"/>
                <w:lang w:val="en-US"/>
              </w:rPr>
              <w:t>57</w:t>
            </w:r>
          </w:p>
          <w:p w14:paraId="5485052F" w14:textId="35713E29" w:rsidR="007A4A60" w:rsidRPr="00F73118" w:rsidRDefault="4E8125DC" w:rsidP="09DFDDC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2BF0DB4A">
              <w:rPr>
                <w:rFonts w:ascii="Times New Roman" w:hAnsi="Times New Roman" w:cs="Times New Roman"/>
                <w:lang w:val="en-US"/>
              </w:rPr>
              <w:t>(202</w:t>
            </w:r>
            <w:r w:rsidR="70ABEDA7" w:rsidRPr="2BF0DB4A">
              <w:rPr>
                <w:rFonts w:ascii="Times New Roman" w:hAnsi="Times New Roman" w:cs="Times New Roman"/>
                <w:lang w:val="en-US"/>
              </w:rPr>
              <w:t>1</w:t>
            </w:r>
            <w:r w:rsidRPr="2BF0DB4A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456" w:type="pct"/>
          </w:tcPr>
          <w:p w14:paraId="4AF18CC8" w14:textId="546A81F6" w:rsidR="000B6792" w:rsidRPr="0023546F" w:rsidRDefault="10AD8D71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84</w:t>
            </w:r>
          </w:p>
          <w:p w14:paraId="2FB2C413" w14:textId="77777777" w:rsidR="000B6792" w:rsidRPr="0023546F" w:rsidRDefault="000B6792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0E24AEF3" w14:textId="28AD103F" w:rsidR="000B6792" w:rsidRPr="0023546F" w:rsidRDefault="000B6792" w:rsidP="2BF0DB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</w:tcPr>
          <w:p w14:paraId="30584FB5" w14:textId="38BAA4E1" w:rsidR="000B6792" w:rsidRPr="00414208" w:rsidRDefault="004D2C5D" w:rsidP="000B6792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414208">
              <w:rPr>
                <w:rFonts w:ascii="Times New Roman" w:hAnsi="Times New Roman" w:cs="Times New Roman"/>
                <w:bCs/>
                <w:szCs w:val="22"/>
              </w:rPr>
              <w:t>LRV ĮP</w:t>
            </w:r>
          </w:p>
        </w:tc>
      </w:tr>
      <w:tr w:rsidR="2BF0DB4A" w14:paraId="68CCC97A" w14:textId="77777777" w:rsidTr="00F73118">
        <w:trPr>
          <w:trHeight w:val="521"/>
        </w:trPr>
        <w:tc>
          <w:tcPr>
            <w:tcW w:w="998" w:type="pct"/>
          </w:tcPr>
          <w:p w14:paraId="6EB7CD45" w14:textId="4238ABBD" w:rsidR="6F50759F" w:rsidRDefault="7173B3EA" w:rsidP="7C16046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7C160465">
              <w:rPr>
                <w:rFonts w:ascii="Times New Roman" w:hAnsi="Times New Roman" w:cs="Times New Roman"/>
                <w:color w:val="000000" w:themeColor="text1"/>
                <w:szCs w:val="22"/>
              </w:rPr>
              <w:t>08-001-04-01-03</w:t>
            </w:r>
            <w:r w:rsidR="00F97C40">
              <w:rPr>
                <w:rFonts w:ascii="Times New Roman" w:hAnsi="Times New Roman" w:cs="Times New Roman"/>
                <w:color w:val="000000" w:themeColor="text1"/>
                <w:szCs w:val="22"/>
              </w:rPr>
              <w:t> </w:t>
            </w:r>
            <w:r w:rsidR="02E62DC0" w:rsidRPr="7C160465">
              <w:rPr>
                <w:rFonts w:ascii="Times New Roman" w:hAnsi="Times New Roman" w:cs="Times New Roman"/>
                <w:color w:val="000000" w:themeColor="text1"/>
                <w:szCs w:val="22"/>
              </w:rPr>
              <w:t>(PP)</w:t>
            </w:r>
            <w:r w:rsidR="212F04B1" w:rsidRPr="7C160465">
              <w:rPr>
                <w:rFonts w:ascii="Times New Roman" w:hAnsi="Times New Roman" w:cs="Times New Roman"/>
              </w:rPr>
              <w:t xml:space="preserve"> Investicijos į kultūros išteklių skaitmeninimą ir prieinamumą (PRIORITETAS)</w:t>
            </w:r>
          </w:p>
        </w:tc>
        <w:tc>
          <w:tcPr>
            <w:tcW w:w="411" w:type="pct"/>
          </w:tcPr>
          <w:p w14:paraId="1B472F45" w14:textId="298ECF88" w:rsidR="7D4D665E" w:rsidRDefault="7D4D665E" w:rsidP="2BF0DB4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2BF0DB4A">
              <w:rPr>
                <w:rFonts w:ascii="Times New Roman" w:hAnsi="Times New Roman" w:cs="Times New Roman"/>
                <w:lang w:val="en-US"/>
              </w:rPr>
              <w:t>4.1</w:t>
            </w:r>
          </w:p>
        </w:tc>
        <w:tc>
          <w:tcPr>
            <w:tcW w:w="412" w:type="pct"/>
          </w:tcPr>
          <w:p w14:paraId="4B4CE30F" w14:textId="2135FA08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</w:tcPr>
          <w:p w14:paraId="130E284F" w14:textId="0123960F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14:paraId="2A7FE95F" w14:textId="61CFE052" w:rsidR="2BF0DB4A" w:rsidRDefault="00F72EEF" w:rsidP="2BF0DB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EIM</w:t>
            </w:r>
          </w:p>
        </w:tc>
        <w:tc>
          <w:tcPr>
            <w:tcW w:w="941" w:type="pct"/>
          </w:tcPr>
          <w:p w14:paraId="624E5A70" w14:textId="58337E04" w:rsidR="5A16A47C" w:rsidRDefault="01B50354" w:rsidP="1BE24A6E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1BE24A6E">
              <w:rPr>
                <w:rFonts w:ascii="Times New Roman" w:hAnsi="Times New Roman" w:cs="Times New Roman"/>
                <w:color w:val="201F1E"/>
                <w:szCs w:val="22"/>
              </w:rPr>
              <w:t>Suskaitmenintų ir skaitmeninių kultūros išteklių peržiūrų skaičiaus didėjimas</w:t>
            </w:r>
            <w:r w:rsidR="5A16A47C" w:rsidRPr="1BE24A6E">
              <w:rPr>
                <w:rFonts w:ascii="Times New Roman" w:hAnsi="Times New Roman" w:cs="Times New Roman"/>
                <w:lang w:eastAsia="lt-LT"/>
              </w:rPr>
              <w:t xml:space="preserve">, </w:t>
            </w:r>
            <w:r w:rsidR="7F0D06D0" w:rsidRPr="1BE24A6E">
              <w:rPr>
                <w:rFonts w:ascii="Times New Roman" w:hAnsi="Times New Roman" w:cs="Times New Roman"/>
                <w:lang w:eastAsia="lt-LT"/>
              </w:rPr>
              <w:t>proc</w:t>
            </w:r>
            <w:r w:rsidR="5A16A47C" w:rsidRPr="1BE24A6E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34100003" w14:textId="500DE0D1" w:rsidR="5A16A47C" w:rsidRDefault="5A16A47C" w:rsidP="2BF0DB4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</w:p>
          <w:p w14:paraId="14ED389F" w14:textId="0FDBBC2D" w:rsidR="5A16A47C" w:rsidRDefault="5303B08C" w:rsidP="2BF0DB4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1A7D8279">
              <w:rPr>
                <w:rFonts w:ascii="Times New Roman" w:hAnsi="Times New Roman" w:cs="Times New Roman"/>
                <w:lang w:eastAsia="lt-LT"/>
              </w:rPr>
              <w:t>Asmenims su negalia</w:t>
            </w:r>
            <w:r w:rsidR="5A16A47C" w:rsidRPr="1A7D8279">
              <w:rPr>
                <w:rFonts w:ascii="Times New Roman" w:hAnsi="Times New Roman" w:cs="Times New Roman"/>
                <w:lang w:eastAsia="lt-LT"/>
              </w:rPr>
              <w:t xml:space="preserve"> pritaikyti skaitmeniniai (elektroniniai) leidybos ištekliai, proc.</w:t>
            </w:r>
          </w:p>
        </w:tc>
        <w:tc>
          <w:tcPr>
            <w:tcW w:w="396" w:type="pct"/>
          </w:tcPr>
          <w:p w14:paraId="18C47750" w14:textId="26BDF48A" w:rsidR="5A16A47C" w:rsidRDefault="5A16A47C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0</w:t>
            </w:r>
          </w:p>
          <w:p w14:paraId="48D6E8EF" w14:textId="791136E0" w:rsidR="5A16A47C" w:rsidRDefault="5A16A47C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(2021)</w:t>
            </w:r>
          </w:p>
          <w:p w14:paraId="55599DD0" w14:textId="59D4C507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0E47C9E9" w14:textId="72D9B3C4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28E5B3F4" w14:textId="4B82BF88" w:rsidR="5A16A47C" w:rsidRDefault="5A16A47C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15</w:t>
            </w:r>
          </w:p>
          <w:p w14:paraId="64FAE0E1" w14:textId="64F3C74C" w:rsidR="5A16A47C" w:rsidRDefault="5A16A47C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(2021)</w:t>
            </w:r>
          </w:p>
        </w:tc>
        <w:tc>
          <w:tcPr>
            <w:tcW w:w="456" w:type="pct"/>
          </w:tcPr>
          <w:p w14:paraId="09496048" w14:textId="29BA905B" w:rsidR="5A16A47C" w:rsidRDefault="3CCBF3BE" w:rsidP="2BF0DB4A">
            <w:pPr>
              <w:jc w:val="both"/>
              <w:rPr>
                <w:rFonts w:ascii="Times New Roman" w:hAnsi="Times New Roman" w:cs="Times New Roman"/>
              </w:rPr>
            </w:pPr>
            <w:r w:rsidRPr="1BE24A6E">
              <w:rPr>
                <w:rFonts w:ascii="Times New Roman" w:hAnsi="Times New Roman" w:cs="Times New Roman"/>
              </w:rPr>
              <w:t>20</w:t>
            </w:r>
          </w:p>
          <w:p w14:paraId="697A7EB7" w14:textId="5E4EDA97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17D606DA" w14:textId="2D4CFDB7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0B3CECE0" w14:textId="75EF068B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556C995F" w14:textId="3BE264ED" w:rsidR="5A16A47C" w:rsidRDefault="5A16A47C" w:rsidP="2BF0DB4A">
            <w:pPr>
              <w:jc w:val="both"/>
              <w:rPr>
                <w:rFonts w:ascii="Times New Roman" w:hAnsi="Times New Roman" w:cs="Times New Roman"/>
              </w:rPr>
            </w:pPr>
            <w:r w:rsidRPr="2BF0DB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3" w:type="pct"/>
          </w:tcPr>
          <w:p w14:paraId="16A24253" w14:textId="66BC4C4D" w:rsidR="17A8850A" w:rsidRDefault="6D661BF8" w:rsidP="2BBCF285">
            <w:pPr>
              <w:jc w:val="both"/>
              <w:rPr>
                <w:rFonts w:ascii="Times New Roman" w:hAnsi="Times New Roman" w:cs="Times New Roman"/>
              </w:rPr>
            </w:pPr>
            <w:r w:rsidRPr="2BBCF285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HP </w:t>
            </w:r>
            <w:r w:rsidR="00F97C4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–</w:t>
            </w:r>
            <w:r w:rsidRPr="2BBCF285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lygios galimybės visiems,</w:t>
            </w:r>
          </w:p>
          <w:p w14:paraId="3F220D04" w14:textId="3855FA09" w:rsidR="17A8850A" w:rsidRDefault="17A8850A" w:rsidP="2BBCF285">
            <w:pPr>
              <w:jc w:val="both"/>
              <w:rPr>
                <w:rFonts w:ascii="Times New Roman" w:hAnsi="Times New Roman" w:cs="Times New Roman"/>
              </w:rPr>
            </w:pPr>
            <w:r w:rsidRPr="2BBCF285">
              <w:rPr>
                <w:rFonts w:ascii="Times New Roman" w:hAnsi="Times New Roman" w:cs="Times New Roman"/>
              </w:rPr>
              <w:t>LRV ĮP</w:t>
            </w:r>
          </w:p>
          <w:p w14:paraId="229D4477" w14:textId="5E83ECB9" w:rsidR="2BF0DB4A" w:rsidRDefault="2BF0DB4A" w:rsidP="2BF0DB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70C8" w:rsidRPr="0023546F" w14:paraId="037EB713" w14:textId="77777777" w:rsidTr="00F73118">
        <w:trPr>
          <w:trHeight w:val="521"/>
        </w:trPr>
        <w:tc>
          <w:tcPr>
            <w:tcW w:w="998" w:type="pct"/>
          </w:tcPr>
          <w:p w14:paraId="167DF509" w14:textId="18A6051B" w:rsidR="000E70C8" w:rsidRPr="0023546F" w:rsidRDefault="3F3D9ED3" w:rsidP="7C160465">
            <w:pPr>
              <w:jc w:val="both"/>
              <w:rPr>
                <w:rFonts w:ascii="Times New Roman" w:hAnsi="Times New Roman" w:cs="Times New Roman"/>
              </w:rPr>
            </w:pPr>
            <w:r w:rsidRPr="7C160465">
              <w:rPr>
                <w:rFonts w:ascii="Times New Roman" w:hAnsi="Times New Roman" w:cs="Times New Roman"/>
                <w:color w:val="000000" w:themeColor="text1"/>
                <w:szCs w:val="22"/>
              </w:rPr>
              <w:t>08-001-04-06-01</w:t>
            </w:r>
            <w:r w:rsidR="630B99E9" w:rsidRPr="7C160465">
              <w:rPr>
                <w:rFonts w:ascii="Times New Roman" w:hAnsi="Times New Roman" w:cs="Times New Roman"/>
              </w:rPr>
              <w:t xml:space="preserve"> </w:t>
            </w:r>
            <w:r w:rsidR="50B0193C" w:rsidRPr="7C160465">
              <w:rPr>
                <w:rFonts w:ascii="Times New Roman" w:hAnsi="Times New Roman" w:cs="Times New Roman"/>
              </w:rPr>
              <w:t xml:space="preserve">(PP) </w:t>
            </w:r>
            <w:r w:rsidR="1EDA44C1" w:rsidRPr="7C160465">
              <w:rPr>
                <w:rFonts w:ascii="Times New Roman" w:hAnsi="Times New Roman" w:cs="Times New Roman"/>
              </w:rPr>
              <w:t>Tvarių prielaidų ir paskatų aktualizuoti kultūros paveldo vertybes sukūrimas (PRIORITETAS)</w:t>
            </w:r>
          </w:p>
          <w:p w14:paraId="33A19E7C" w14:textId="1321E5EA" w:rsidR="000E70C8" w:rsidRPr="0023546F" w:rsidRDefault="000E70C8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</w:tcPr>
          <w:p w14:paraId="5A49B7BD" w14:textId="60C81324" w:rsidR="000E70C8" w:rsidRPr="0023546F" w:rsidRDefault="000E70C8" w:rsidP="003B7D9C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3546F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4.6</w:t>
            </w:r>
          </w:p>
        </w:tc>
        <w:tc>
          <w:tcPr>
            <w:tcW w:w="412" w:type="pct"/>
          </w:tcPr>
          <w:p w14:paraId="591AAC71" w14:textId="77777777" w:rsidR="000E70C8" w:rsidRPr="0023546F" w:rsidRDefault="000E70C8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14:paraId="6F5662A2" w14:textId="77777777" w:rsidR="000E70C8" w:rsidRPr="0023546F" w:rsidRDefault="000E70C8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</w:tcPr>
          <w:p w14:paraId="1C5ED536" w14:textId="57D97167" w:rsidR="00C44E07" w:rsidRDefault="00C44E07" w:rsidP="003B7D9C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AM, ŠMSM, EIM, ŽŪM, </w:t>
            </w:r>
          </w:p>
          <w:p w14:paraId="0B07890C" w14:textId="77777777" w:rsidR="00C44E07" w:rsidRDefault="00C44E07" w:rsidP="003B7D9C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VRM,</w:t>
            </w:r>
          </w:p>
          <w:p w14:paraId="6012DD28" w14:textId="521BAEA3" w:rsidR="000E70C8" w:rsidRPr="0023546F" w:rsidRDefault="00C44E07" w:rsidP="003B7D9C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FM</w:t>
            </w:r>
          </w:p>
        </w:tc>
        <w:tc>
          <w:tcPr>
            <w:tcW w:w="941" w:type="pct"/>
          </w:tcPr>
          <w:p w14:paraId="58EE3119" w14:textId="3DC1D10A" w:rsidR="008E64A0" w:rsidRDefault="004F3739" w:rsidP="10700E53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10700E53">
              <w:rPr>
                <w:rFonts w:ascii="Times New Roman" w:hAnsi="Times New Roman" w:cs="Times New Roman"/>
                <w:lang w:eastAsia="lt-LT"/>
              </w:rPr>
              <w:lastRenderedPageBreak/>
              <w:t xml:space="preserve">Gyventojų, </w:t>
            </w:r>
            <w:r w:rsidR="007A4A60" w:rsidRPr="10700E53">
              <w:rPr>
                <w:rFonts w:ascii="Times New Roman" w:hAnsi="Times New Roman" w:cs="Times New Roman"/>
                <w:lang w:eastAsia="lt-LT"/>
              </w:rPr>
              <w:t>lankiusių</w:t>
            </w:r>
            <w:r w:rsidRPr="10700E53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="007A4A60" w:rsidRPr="10700E53">
              <w:rPr>
                <w:rFonts w:ascii="Times New Roman" w:hAnsi="Times New Roman" w:cs="Times New Roman"/>
                <w:lang w:eastAsia="lt-LT"/>
              </w:rPr>
              <w:t xml:space="preserve">kultūros </w:t>
            </w:r>
            <w:r w:rsidRPr="10700E53">
              <w:rPr>
                <w:rFonts w:ascii="Times New Roman" w:hAnsi="Times New Roman" w:cs="Times New Roman"/>
                <w:lang w:eastAsia="lt-LT"/>
              </w:rPr>
              <w:t>paveldo objektus Lietuvoje</w:t>
            </w:r>
            <w:r w:rsidR="007A4A60" w:rsidRPr="10700E53">
              <w:rPr>
                <w:rFonts w:ascii="Times New Roman" w:hAnsi="Times New Roman" w:cs="Times New Roman"/>
                <w:lang w:eastAsia="lt-LT"/>
              </w:rPr>
              <w:t>,</w:t>
            </w:r>
            <w:r w:rsidRPr="10700E53">
              <w:rPr>
                <w:rFonts w:ascii="Times New Roman" w:hAnsi="Times New Roman" w:cs="Times New Roman"/>
                <w:lang w:eastAsia="lt-LT"/>
              </w:rPr>
              <w:t xml:space="preserve"> dali</w:t>
            </w:r>
            <w:r w:rsidR="677FD4D2" w:rsidRPr="10700E53">
              <w:rPr>
                <w:rFonts w:ascii="Times New Roman" w:hAnsi="Times New Roman" w:cs="Times New Roman"/>
                <w:lang w:eastAsia="lt-LT"/>
              </w:rPr>
              <w:t>s</w:t>
            </w:r>
            <w:r w:rsidRPr="10700E53">
              <w:rPr>
                <w:rFonts w:ascii="Times New Roman" w:hAnsi="Times New Roman" w:cs="Times New Roman"/>
                <w:lang w:eastAsia="lt-LT"/>
              </w:rPr>
              <w:t>, proc.</w:t>
            </w:r>
          </w:p>
          <w:p w14:paraId="2729102B" w14:textId="77777777" w:rsidR="008E64A0" w:rsidRDefault="008E64A0" w:rsidP="003B7D9C">
            <w:pPr>
              <w:jc w:val="both"/>
              <w:rPr>
                <w:rFonts w:ascii="Times New Roman" w:hAnsi="Times New Roman" w:cs="Times New Roman"/>
                <w:bCs/>
                <w:szCs w:val="22"/>
                <w:lang w:eastAsia="lt-LT"/>
              </w:rPr>
            </w:pPr>
          </w:p>
          <w:p w14:paraId="167C82F3" w14:textId="77777777" w:rsidR="000E70C8" w:rsidRPr="00942AC5" w:rsidRDefault="008E64A0" w:rsidP="003B7D9C">
            <w:pPr>
              <w:jc w:val="both"/>
              <w:rPr>
                <w:rFonts w:ascii="Times New Roman" w:hAnsi="Times New Roman" w:cs="Times New Roman"/>
                <w:bCs/>
                <w:szCs w:val="22"/>
                <w:lang w:eastAsia="lt-LT"/>
              </w:rPr>
            </w:pPr>
            <w:r w:rsidRPr="00942AC5">
              <w:rPr>
                <w:rFonts w:ascii="Times New Roman" w:hAnsi="Times New Roman" w:cs="Times New Roman"/>
                <w:color w:val="000000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Gyventojų pasitenkinimas kultūros paveldo apsaugos paslaugų kokybe, proc.</w:t>
            </w:r>
            <w:r w:rsidR="004F3739" w:rsidRPr="00942AC5">
              <w:rPr>
                <w:rFonts w:ascii="Times New Roman" w:hAnsi="Times New Roman" w:cs="Times New Roman"/>
                <w:bCs/>
                <w:szCs w:val="22"/>
                <w:lang w:eastAsia="lt-LT"/>
              </w:rPr>
              <w:t xml:space="preserve"> </w:t>
            </w:r>
          </w:p>
          <w:p w14:paraId="59F122EE" w14:textId="77777777" w:rsidR="0087400E" w:rsidRDefault="0087400E" w:rsidP="003B7D9C">
            <w:pPr>
              <w:jc w:val="both"/>
              <w:rPr>
                <w:rFonts w:ascii="Times New Roman" w:hAnsi="Times New Roman" w:cs="Times New Roman"/>
                <w:bCs/>
                <w:szCs w:val="22"/>
                <w:lang w:eastAsia="lt-LT"/>
              </w:rPr>
            </w:pPr>
          </w:p>
          <w:p w14:paraId="4EBB2E8F" w14:textId="014CD4EE" w:rsidR="00307353" w:rsidRPr="0023546F" w:rsidRDefault="3E69151A" w:rsidP="533F7905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1A7D8279">
              <w:rPr>
                <w:rFonts w:ascii="Times New Roman" w:hAnsi="Times New Roman" w:cs="Times New Roman"/>
                <w:noProof/>
              </w:rPr>
              <w:t>Paramą gavusių kultūros ir turizmo objektų lankytojai</w:t>
            </w:r>
            <w:r w:rsidR="5F186407" w:rsidRPr="1A7D8279">
              <w:rPr>
                <w:rFonts w:ascii="Times New Roman" w:hAnsi="Times New Roman" w:cs="Times New Roman"/>
                <w:noProof/>
              </w:rPr>
              <w:t>, vnt</w:t>
            </w:r>
            <w:r w:rsidR="015F1834" w:rsidRPr="1A7D8279">
              <w:rPr>
                <w:rFonts w:ascii="Times New Roman" w:hAnsi="Times New Roman" w:cs="Times New Roman"/>
                <w:noProof/>
              </w:rPr>
              <w:t>.</w:t>
            </w:r>
            <w:r w:rsidR="00F97C40">
              <w:rPr>
                <w:rFonts w:ascii="Times New Roman" w:hAnsi="Times New Roman" w:cs="Times New Roman"/>
                <w:noProof/>
              </w:rPr>
              <w:t xml:space="preserve"> </w:t>
            </w:r>
            <w:r w:rsidR="00DE5ED9" w:rsidRPr="1A7D8279">
              <w:rPr>
                <w:rFonts w:ascii="Times New Roman" w:hAnsi="Times New Roman" w:cs="Times New Roman"/>
                <w:noProof/>
              </w:rPr>
              <w:t>/</w:t>
            </w:r>
            <w:r w:rsidR="00F97C40">
              <w:rPr>
                <w:rFonts w:ascii="Times New Roman" w:hAnsi="Times New Roman" w:cs="Times New Roman"/>
                <w:noProof/>
              </w:rPr>
              <w:t xml:space="preserve"> </w:t>
            </w:r>
            <w:r w:rsidR="00DE5ED9" w:rsidRPr="1A7D8279">
              <w:rPr>
                <w:rFonts w:ascii="Times New Roman" w:hAnsi="Times New Roman" w:cs="Times New Roman"/>
                <w:noProof/>
              </w:rPr>
              <w:t>per metus</w:t>
            </w:r>
            <w:r w:rsidR="5F186407" w:rsidRPr="1A7D8279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96" w:type="pct"/>
          </w:tcPr>
          <w:p w14:paraId="46C722F8" w14:textId="77777777" w:rsidR="000E70C8" w:rsidRPr="00762AC6" w:rsidRDefault="004F3739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lastRenderedPageBreak/>
              <w:t>58</w:t>
            </w:r>
          </w:p>
          <w:p w14:paraId="0ECDBABA" w14:textId="77777777" w:rsidR="007A4A60" w:rsidRPr="00762AC6" w:rsidRDefault="007A4A6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48D2B3DF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4221F6B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D54D9AF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lastRenderedPageBreak/>
              <w:t>65,9</w:t>
            </w:r>
          </w:p>
          <w:p w14:paraId="43F0C7A0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02184433" w14:textId="77777777" w:rsidR="0087400E" w:rsidRPr="00762AC6" w:rsidRDefault="0087400E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37180A4" w14:textId="77777777" w:rsidR="0087400E" w:rsidRPr="00762AC6" w:rsidRDefault="0087400E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8A30659" w14:textId="76933EDE" w:rsidR="0087400E" w:rsidRPr="00762AC6" w:rsidRDefault="55C83F3A" w:rsidP="7C1706E8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326</w:t>
            </w:r>
            <w:r w:rsidR="00F73118">
              <w:rPr>
                <w:rFonts w:ascii="Times New Roman" w:hAnsi="Times New Roman" w:cs="Times New Roman"/>
              </w:rPr>
              <w:t xml:space="preserve"> </w:t>
            </w:r>
            <w:r w:rsidRPr="00762AC6">
              <w:rPr>
                <w:rFonts w:ascii="Times New Roman" w:hAnsi="Times New Roman" w:cs="Times New Roman"/>
              </w:rPr>
              <w:t>848,00</w:t>
            </w:r>
          </w:p>
          <w:p w14:paraId="41DED573" w14:textId="7B915C3D" w:rsidR="00307353" w:rsidRPr="00F73118" w:rsidRDefault="18DE085C" w:rsidP="003B7D9C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(20</w:t>
            </w:r>
            <w:r w:rsidR="0C0B2AFD" w:rsidRPr="00762AC6">
              <w:rPr>
                <w:rFonts w:ascii="Times New Roman" w:hAnsi="Times New Roman" w:cs="Times New Roman"/>
              </w:rPr>
              <w:t>19</w:t>
            </w:r>
            <w:r w:rsidRPr="00762AC6">
              <w:rPr>
                <w:rFonts w:ascii="Times New Roman" w:hAnsi="Times New Roman" w:cs="Times New Roman"/>
              </w:rPr>
              <w:t>)</w:t>
            </w:r>
          </w:p>
          <w:p w14:paraId="7DF5F46B" w14:textId="2577DE64" w:rsidR="00307353" w:rsidRPr="00762AC6" w:rsidRDefault="00307353" w:rsidP="003B7D9C">
            <w:pPr>
              <w:jc w:val="both"/>
            </w:pPr>
          </w:p>
        </w:tc>
        <w:tc>
          <w:tcPr>
            <w:tcW w:w="456" w:type="pct"/>
          </w:tcPr>
          <w:p w14:paraId="2DBF79DB" w14:textId="0167243E" w:rsidR="000E70C8" w:rsidRPr="00762AC6" w:rsidRDefault="003D053A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lastRenderedPageBreak/>
              <w:t>68</w:t>
            </w:r>
          </w:p>
          <w:p w14:paraId="4F560B05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C7C940A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A846D4C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B6E4B35" w14:textId="77777777" w:rsidR="008E64A0" w:rsidRPr="00762AC6" w:rsidRDefault="008E64A0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lastRenderedPageBreak/>
              <w:t>72,3</w:t>
            </w:r>
          </w:p>
          <w:p w14:paraId="3541DAAD" w14:textId="77777777" w:rsidR="0087400E" w:rsidRPr="00762AC6" w:rsidRDefault="0087400E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A1719D9" w14:textId="77777777" w:rsidR="0087400E" w:rsidRPr="00762AC6" w:rsidRDefault="0087400E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780BB69" w14:textId="77777777" w:rsidR="0087400E" w:rsidRPr="00762AC6" w:rsidRDefault="0087400E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C3D5E4C" w14:textId="09DFAEFB" w:rsidR="0087400E" w:rsidRPr="00762AC6" w:rsidRDefault="3F6DFA05" w:rsidP="2BF0DB4A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559</w:t>
            </w:r>
            <w:r w:rsidR="00F73118">
              <w:rPr>
                <w:rFonts w:ascii="Times New Roman" w:hAnsi="Times New Roman" w:cs="Times New Roman"/>
              </w:rPr>
              <w:t xml:space="preserve"> </w:t>
            </w:r>
            <w:r w:rsidRPr="00762AC6">
              <w:rPr>
                <w:rFonts w:ascii="Times New Roman" w:hAnsi="Times New Roman" w:cs="Times New Roman"/>
              </w:rPr>
              <w:t>664,00</w:t>
            </w:r>
          </w:p>
          <w:p w14:paraId="4F376CB2" w14:textId="77777777" w:rsidR="00307353" w:rsidRPr="00762AC6" w:rsidRDefault="00307353" w:rsidP="003B7D9C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FAEB038" w14:textId="3806A480" w:rsidR="00307353" w:rsidRPr="00762AC6" w:rsidRDefault="00307353" w:rsidP="533F7905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3" w:type="pct"/>
          </w:tcPr>
          <w:p w14:paraId="093278BC" w14:textId="1ED166BE" w:rsidR="000E70C8" w:rsidRPr="00762AC6" w:rsidRDefault="09A535DA" w:rsidP="28C1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28C13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HP – darnus vystymasis,</w:t>
            </w:r>
          </w:p>
          <w:p w14:paraId="4BAB3E38" w14:textId="48E3B74E" w:rsidR="000E70C8" w:rsidRPr="00762AC6" w:rsidRDefault="285F912A" w:rsidP="28C1312A">
            <w:pPr>
              <w:jc w:val="both"/>
              <w:rPr>
                <w:rFonts w:ascii="Times New Roman" w:hAnsi="Times New Roman" w:cs="Times New Roman"/>
              </w:rPr>
            </w:pPr>
            <w:r w:rsidRPr="28C1312A">
              <w:rPr>
                <w:rFonts w:ascii="Times New Roman" w:hAnsi="Times New Roman" w:cs="Times New Roman"/>
              </w:rPr>
              <w:t>LRV ĮP</w:t>
            </w:r>
          </w:p>
        </w:tc>
      </w:tr>
      <w:tr w:rsidR="00046A43" w:rsidRPr="0023546F" w14:paraId="3C131B6D" w14:textId="77777777" w:rsidTr="00F73118">
        <w:trPr>
          <w:trHeight w:val="521"/>
        </w:trPr>
        <w:tc>
          <w:tcPr>
            <w:tcW w:w="998" w:type="pct"/>
          </w:tcPr>
          <w:p w14:paraId="6E9791E7" w14:textId="411AAB3F" w:rsidR="00046A43" w:rsidRPr="0023546F" w:rsidRDefault="60DE2706" w:rsidP="2BF0DB4A">
            <w:pPr>
              <w:jc w:val="both"/>
              <w:rPr>
                <w:rFonts w:ascii="Times New Roman" w:hAnsi="Times New Roman" w:cs="Times New Roman"/>
              </w:rPr>
            </w:pPr>
            <w:r w:rsidRPr="7C160465">
              <w:rPr>
                <w:rFonts w:ascii="Times New Roman" w:hAnsi="Times New Roman" w:cs="Times New Roman"/>
              </w:rPr>
              <w:t>08-001-01-09-01 (PP)</w:t>
            </w:r>
            <w:r w:rsidR="630B99E9" w:rsidRPr="7C160465">
              <w:rPr>
                <w:rFonts w:ascii="Times New Roman" w:hAnsi="Times New Roman" w:cs="Times New Roman"/>
              </w:rPr>
              <w:t xml:space="preserve"> KKI plėtra skatinanti konkurencingumą ir pridėtinės vertės kūrimą </w:t>
            </w:r>
          </w:p>
          <w:p w14:paraId="3550732A" w14:textId="77777777" w:rsidR="00046A43" w:rsidRPr="0023546F" w:rsidRDefault="00046A43" w:rsidP="00046A43">
            <w:pPr>
              <w:jc w:val="both"/>
              <w:rPr>
                <w:szCs w:val="22"/>
              </w:rPr>
            </w:pPr>
          </w:p>
        </w:tc>
        <w:tc>
          <w:tcPr>
            <w:tcW w:w="411" w:type="pct"/>
          </w:tcPr>
          <w:p w14:paraId="6A5EDD69" w14:textId="65488F0D" w:rsidR="00046A43" w:rsidRPr="0023546F" w:rsidRDefault="4820A3A3" w:rsidP="00046A43">
            <w:pPr>
              <w:jc w:val="both"/>
            </w:pPr>
            <w:r w:rsidRPr="2BF0DB4A">
              <w:rPr>
                <w:rFonts w:ascii="Times New Roman" w:hAnsi="Times New Roman" w:cs="Times New Roman"/>
              </w:rPr>
              <w:t>1.</w:t>
            </w:r>
            <w:r w:rsidR="3D5112DE" w:rsidRPr="2BF0D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2" w:type="pct"/>
          </w:tcPr>
          <w:p w14:paraId="5460E61A" w14:textId="6B166051" w:rsidR="00046A43" w:rsidRDefault="00046A43" w:rsidP="00046A43">
            <w:pPr>
              <w:jc w:val="both"/>
              <w:rPr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1.4, 1.</w:t>
            </w:r>
            <w:r w:rsidR="002A2F6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2" w:type="pct"/>
          </w:tcPr>
          <w:p w14:paraId="24684EEF" w14:textId="77777777" w:rsidR="00046A43" w:rsidRPr="0023546F" w:rsidRDefault="00046A43" w:rsidP="00046A43">
            <w:pPr>
              <w:jc w:val="both"/>
              <w:rPr>
                <w:szCs w:val="22"/>
              </w:rPr>
            </w:pPr>
          </w:p>
        </w:tc>
        <w:tc>
          <w:tcPr>
            <w:tcW w:w="411" w:type="pct"/>
          </w:tcPr>
          <w:p w14:paraId="50A8F858" w14:textId="5DCC0A6B" w:rsidR="00046A43" w:rsidRDefault="4820A3A3" w:rsidP="2BF0DB4A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1B610C">
              <w:rPr>
                <w:rFonts w:ascii="Times New Roman" w:hAnsi="Times New Roman" w:cs="Times New Roman"/>
              </w:rPr>
              <w:t>EIM</w:t>
            </w:r>
          </w:p>
        </w:tc>
        <w:tc>
          <w:tcPr>
            <w:tcW w:w="941" w:type="pct"/>
          </w:tcPr>
          <w:p w14:paraId="77B89318" w14:textId="3F40A7DE" w:rsidR="00046A43" w:rsidRPr="006F58A8" w:rsidRDefault="4820A3A3" w:rsidP="2BF0DB4A">
            <w:pPr>
              <w:jc w:val="both"/>
              <w:rPr>
                <w:rFonts w:ascii="Times New Roman" w:hAnsi="Times New Roman" w:cs="Times New Roman"/>
                <w:color w:val="000000" w:themeColor="text1"/>
                <w:szCs w:val="22"/>
                <w:shd w:val="clear" w:color="auto" w:fill="FFFFFF"/>
              </w:rPr>
            </w:pPr>
            <w:r w:rsidRPr="006F58A8">
              <w:rPr>
                <w:rFonts w:ascii="Times New Roman" w:hAnsi="Times New Roman" w:cs="Times New Roman"/>
                <w:color w:val="000000" w:themeColor="text1"/>
                <w:szCs w:val="22"/>
              </w:rPr>
              <w:t>KKI sektoriaus produkcijos augimas</w:t>
            </w:r>
            <w:r w:rsidR="1CC28F32" w:rsidRPr="006F58A8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palyginti su 2016 m.</w:t>
            </w:r>
            <w:r w:rsidRPr="006F58A8">
              <w:rPr>
                <w:rFonts w:ascii="Times New Roman" w:hAnsi="Times New Roman" w:cs="Times New Roman"/>
                <w:color w:val="000000" w:themeColor="text1"/>
                <w:szCs w:val="22"/>
              </w:rPr>
              <w:t>, proc.</w:t>
            </w:r>
          </w:p>
          <w:p w14:paraId="172680E5" w14:textId="77777777" w:rsidR="00046A43" w:rsidRPr="006F58A8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D4C39C8" w14:textId="66B676FF" w:rsidR="00784515" w:rsidRPr="00F73118" w:rsidRDefault="33901704" w:rsidP="006F58A8">
            <w:pPr>
              <w:pStyle w:val="NormalWeb"/>
              <w:rPr>
                <w:rFonts w:ascii="Times New Roman" w:hAnsi="Times New Roman" w:cs="Times New Roman"/>
                <w:szCs w:val="22"/>
                <w:lang w:val="lt-LT"/>
              </w:rPr>
            </w:pPr>
            <w:r w:rsidRPr="00F73118">
              <w:rPr>
                <w:rFonts w:ascii="Times New Roman" w:hAnsi="Times New Roman" w:cs="Times New Roman"/>
                <w:szCs w:val="22"/>
                <w:lang w:val="lt-LT" w:eastAsia="en-GB"/>
              </w:rPr>
              <w:t xml:space="preserve">Privačiosios investicijos, </w:t>
            </w:r>
            <w:r w:rsidR="64AC1D49" w:rsidRPr="00F73118">
              <w:rPr>
                <w:rFonts w:ascii="Times New Roman" w:hAnsi="Times New Roman" w:cs="Times New Roman"/>
                <w:szCs w:val="22"/>
                <w:lang w:val="lt-LT" w:eastAsia="en-GB"/>
              </w:rPr>
              <w:t>papildančios</w:t>
            </w:r>
            <w:r w:rsidRPr="00F73118">
              <w:rPr>
                <w:rFonts w:ascii="Times New Roman" w:hAnsi="Times New Roman" w:cs="Times New Roman"/>
                <w:szCs w:val="22"/>
                <w:lang w:val="lt-LT" w:eastAsia="en-GB"/>
              </w:rPr>
              <w:t xml:space="preserve"> viešąją paramą</w:t>
            </w:r>
            <w:r w:rsidR="006F58A8" w:rsidRPr="00F73118">
              <w:rPr>
                <w:rFonts w:ascii="Times New Roman" w:hAnsi="Times New Roman" w:cs="Times New Roman"/>
                <w:szCs w:val="22"/>
                <w:lang w:val="lt-LT" w:eastAsia="en-GB"/>
              </w:rPr>
              <w:t xml:space="preserve"> </w:t>
            </w:r>
            <w:r w:rsidR="006F58A8" w:rsidRPr="00F73118">
              <w:rPr>
                <w:rStyle w:val="cf01"/>
                <w:rFonts w:ascii="Times New Roman" w:hAnsi="Times New Roman" w:cs="Times New Roman"/>
                <w:sz w:val="22"/>
                <w:szCs w:val="22"/>
                <w:lang w:val="lt-LT"/>
              </w:rPr>
              <w:t>(iš kurių: dotacijos, finansinės priemonės)</w:t>
            </w:r>
            <w:r w:rsidR="0C1AFA4F" w:rsidRPr="00F73118">
              <w:rPr>
                <w:rFonts w:ascii="Times New Roman" w:hAnsi="Times New Roman" w:cs="Times New Roman"/>
                <w:szCs w:val="22"/>
                <w:lang w:val="lt-LT" w:eastAsia="en-GB"/>
              </w:rPr>
              <w:t xml:space="preserve">, </w:t>
            </w:r>
            <w:r w:rsidR="00B76875" w:rsidRPr="00F73118">
              <w:rPr>
                <w:rFonts w:ascii="Times New Roman" w:hAnsi="Times New Roman" w:cs="Times New Roman"/>
                <w:szCs w:val="22"/>
                <w:lang w:val="lt-LT" w:eastAsia="en-GB"/>
              </w:rPr>
              <w:t>E</w:t>
            </w:r>
            <w:r w:rsidR="0C1AFA4F" w:rsidRPr="00F73118">
              <w:rPr>
                <w:rFonts w:ascii="Times New Roman" w:hAnsi="Times New Roman" w:cs="Times New Roman"/>
                <w:szCs w:val="22"/>
                <w:lang w:val="lt-LT" w:eastAsia="en-GB"/>
              </w:rPr>
              <w:t>ur</w:t>
            </w:r>
          </w:p>
        </w:tc>
        <w:tc>
          <w:tcPr>
            <w:tcW w:w="396" w:type="pct"/>
          </w:tcPr>
          <w:p w14:paraId="756C2FCB" w14:textId="77777777" w:rsidR="00192FCF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A02F25">
              <w:rPr>
                <w:rFonts w:ascii="Times New Roman" w:hAnsi="Times New Roman" w:cs="Times New Roman"/>
                <w:szCs w:val="22"/>
              </w:rPr>
              <w:t>13,4 (2017)</w:t>
            </w:r>
            <w:r w:rsidR="00192FCF" w:rsidRPr="00A02F2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E5A57FF" w14:textId="77777777" w:rsidR="00192FCF" w:rsidRPr="00A02F25" w:rsidRDefault="00192FCF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1901E95" w14:textId="77777777" w:rsidR="006F58A8" w:rsidRDefault="006F58A8" w:rsidP="2BF0DB4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16584F3F" w14:textId="77777777" w:rsidR="006F58A8" w:rsidRDefault="006F58A8" w:rsidP="2BF0DB4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7051AA7C" w14:textId="6C12551E" w:rsidR="00046A43" w:rsidRPr="00A02F25" w:rsidRDefault="4BFECB6B" w:rsidP="2BF0DB4A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A02F2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6" w:type="pct"/>
          </w:tcPr>
          <w:p w14:paraId="464FF92B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A02F25">
              <w:rPr>
                <w:rFonts w:ascii="Times New Roman" w:hAnsi="Times New Roman" w:cs="Times New Roman"/>
                <w:szCs w:val="22"/>
              </w:rPr>
              <w:t>15</w:t>
            </w:r>
          </w:p>
          <w:p w14:paraId="565DAF78" w14:textId="77777777" w:rsidR="00192FCF" w:rsidRPr="00A02F25" w:rsidRDefault="00192FCF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29688AC" w14:textId="77777777" w:rsidR="00192FCF" w:rsidRPr="00A02F25" w:rsidRDefault="00192FCF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428496C" w14:textId="77777777" w:rsidR="006F58A8" w:rsidRDefault="006F58A8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7636FB2F" w14:textId="77777777" w:rsidR="006F58A8" w:rsidRDefault="006F58A8" w:rsidP="2BF0DB4A">
            <w:pPr>
              <w:jc w:val="both"/>
              <w:rPr>
                <w:rFonts w:ascii="Times New Roman" w:hAnsi="Times New Roman" w:cs="Times New Roman"/>
              </w:rPr>
            </w:pPr>
          </w:p>
          <w:p w14:paraId="08064891" w14:textId="6150B1A1" w:rsidR="00192FCF" w:rsidRPr="00A02F25" w:rsidRDefault="7FCB3F08" w:rsidP="2BF0DB4A">
            <w:pPr>
              <w:jc w:val="both"/>
              <w:rPr>
                <w:rFonts w:ascii="Times New Roman" w:hAnsi="Times New Roman" w:cs="Times New Roman"/>
              </w:rPr>
            </w:pPr>
            <w:r w:rsidRPr="00A02F25">
              <w:rPr>
                <w:rFonts w:ascii="Times New Roman" w:hAnsi="Times New Roman" w:cs="Times New Roman"/>
              </w:rPr>
              <w:t>8</w:t>
            </w:r>
            <w:r w:rsidR="00F73118">
              <w:rPr>
                <w:rFonts w:ascii="Times New Roman" w:hAnsi="Times New Roman" w:cs="Times New Roman"/>
              </w:rPr>
              <w:t xml:space="preserve"> </w:t>
            </w:r>
            <w:r w:rsidRPr="00A02F25">
              <w:rPr>
                <w:rFonts w:ascii="Times New Roman" w:hAnsi="Times New Roman" w:cs="Times New Roman"/>
              </w:rPr>
              <w:t>304</w:t>
            </w:r>
            <w:r w:rsidR="00F73118">
              <w:rPr>
                <w:rFonts w:ascii="Times New Roman" w:hAnsi="Times New Roman" w:cs="Times New Roman"/>
              </w:rPr>
              <w:t xml:space="preserve"> </w:t>
            </w:r>
            <w:r w:rsidRPr="00A02F25">
              <w:rPr>
                <w:rFonts w:ascii="Times New Roman" w:hAnsi="Times New Roman" w:cs="Times New Roman"/>
              </w:rPr>
              <w:t>706,00</w:t>
            </w:r>
          </w:p>
        </w:tc>
        <w:tc>
          <w:tcPr>
            <w:tcW w:w="563" w:type="pct"/>
          </w:tcPr>
          <w:p w14:paraId="741A9D57" w14:textId="46CD07A8" w:rsidR="00046A43" w:rsidRPr="00414208" w:rsidRDefault="00046A43" w:rsidP="2BBCF285">
            <w:r w:rsidRPr="2BBCF285">
              <w:rPr>
                <w:rFonts w:ascii="Times New Roman" w:hAnsi="Times New Roman" w:cs="Times New Roman"/>
              </w:rPr>
              <w:t>HP</w:t>
            </w:r>
            <w:r w:rsidR="18443081" w:rsidRPr="2BBCF285">
              <w:rPr>
                <w:rFonts w:ascii="Times New Roman" w:hAnsi="Times New Roman" w:cs="Times New Roman"/>
              </w:rPr>
              <w:t xml:space="preserve"> </w:t>
            </w:r>
            <w:r w:rsidR="00F97C40">
              <w:rPr>
                <w:rFonts w:ascii="Times New Roman" w:hAnsi="Times New Roman" w:cs="Times New Roman"/>
              </w:rPr>
              <w:t>–</w:t>
            </w:r>
            <w:r w:rsidRPr="2BBCF285">
              <w:rPr>
                <w:rFonts w:ascii="Times New Roman" w:hAnsi="Times New Roman" w:cs="Times New Roman"/>
              </w:rPr>
              <w:t>inova</w:t>
            </w:r>
            <w:r w:rsidR="187382EC" w:rsidRPr="2BBCF285">
              <w:rPr>
                <w:rFonts w:ascii="Times New Roman" w:hAnsi="Times New Roman" w:cs="Times New Roman"/>
              </w:rPr>
              <w:t>tyvumas (kūrybingumas)</w:t>
            </w:r>
            <w:r w:rsidRPr="2BBCF285">
              <w:rPr>
                <w:rFonts w:ascii="Times New Roman" w:hAnsi="Times New Roman" w:cs="Times New Roman"/>
              </w:rPr>
              <w:t>, LRV ĮP</w:t>
            </w:r>
          </w:p>
        </w:tc>
      </w:tr>
      <w:tr w:rsidR="00046A43" w:rsidRPr="0023546F" w14:paraId="0DC9241A" w14:textId="77777777" w:rsidTr="00F73118">
        <w:trPr>
          <w:trHeight w:val="521"/>
        </w:trPr>
        <w:tc>
          <w:tcPr>
            <w:tcW w:w="998" w:type="pct"/>
          </w:tcPr>
          <w:p w14:paraId="3C661A80" w14:textId="68DAF989" w:rsidR="00046A43" w:rsidRPr="0023546F" w:rsidRDefault="31AE6B20" w:rsidP="7C160465">
            <w:pPr>
              <w:jc w:val="both"/>
              <w:rPr>
                <w:rFonts w:ascii="Times New Roman" w:hAnsi="Times New Roman" w:cs="Times New Roman"/>
              </w:rPr>
            </w:pPr>
            <w:r w:rsidRPr="7C160465">
              <w:rPr>
                <w:rFonts w:ascii="Times New Roman" w:hAnsi="Times New Roman" w:cs="Times New Roman"/>
              </w:rPr>
              <w:t>08-001-0</w:t>
            </w:r>
            <w:r w:rsidR="6C27DBD6" w:rsidRPr="7C160465">
              <w:rPr>
                <w:rFonts w:ascii="Times New Roman" w:hAnsi="Times New Roman" w:cs="Times New Roman"/>
              </w:rPr>
              <w:t>4</w:t>
            </w:r>
            <w:r w:rsidR="604F565C" w:rsidRPr="7C160465">
              <w:rPr>
                <w:rFonts w:ascii="Times New Roman" w:hAnsi="Times New Roman" w:cs="Times New Roman"/>
              </w:rPr>
              <w:t>-0</w:t>
            </w:r>
            <w:r w:rsidR="6C27DBD6" w:rsidRPr="7C160465">
              <w:rPr>
                <w:rFonts w:ascii="Times New Roman" w:hAnsi="Times New Roman" w:cs="Times New Roman"/>
              </w:rPr>
              <w:t>2</w:t>
            </w:r>
            <w:r w:rsidR="70F6066D" w:rsidRPr="7C160465">
              <w:rPr>
                <w:rFonts w:ascii="Times New Roman" w:hAnsi="Times New Roman" w:cs="Times New Roman"/>
              </w:rPr>
              <w:t>-0</w:t>
            </w:r>
            <w:r w:rsidR="6C27DBD6" w:rsidRPr="7C160465">
              <w:rPr>
                <w:rFonts w:ascii="Times New Roman" w:hAnsi="Times New Roman" w:cs="Times New Roman"/>
              </w:rPr>
              <w:t xml:space="preserve">1 </w:t>
            </w:r>
            <w:r w:rsidR="2BCC06DE" w:rsidRPr="7C160465">
              <w:rPr>
                <w:rFonts w:ascii="Times New Roman" w:hAnsi="Times New Roman" w:cs="Times New Roman"/>
              </w:rPr>
              <w:t xml:space="preserve">(PP) </w:t>
            </w:r>
            <w:r w:rsidR="6C27DBD6" w:rsidRPr="7C160465">
              <w:rPr>
                <w:rFonts w:ascii="Times New Roman" w:hAnsi="Times New Roman" w:cs="Times New Roman"/>
              </w:rPr>
              <w:t>Lietuvos kūrėjų konkurencingumo ir žinomumo didinimas, Lietuvos kūrybinio potencialo panaudojimo skatinimas.</w:t>
            </w:r>
          </w:p>
          <w:p w14:paraId="1ED66609" w14:textId="77777777" w:rsidR="00046A43" w:rsidRPr="0023546F" w:rsidRDefault="00046A43" w:rsidP="00046A43">
            <w:pPr>
              <w:jc w:val="both"/>
              <w:rPr>
                <w:szCs w:val="22"/>
              </w:rPr>
            </w:pPr>
          </w:p>
        </w:tc>
        <w:tc>
          <w:tcPr>
            <w:tcW w:w="411" w:type="pct"/>
          </w:tcPr>
          <w:p w14:paraId="22153127" w14:textId="29EEA10C" w:rsidR="00046A43" w:rsidRPr="0023546F" w:rsidRDefault="00046A43" w:rsidP="00046A43">
            <w:pPr>
              <w:jc w:val="both"/>
              <w:rPr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4.2</w:t>
            </w:r>
          </w:p>
        </w:tc>
        <w:tc>
          <w:tcPr>
            <w:tcW w:w="412" w:type="pct"/>
          </w:tcPr>
          <w:p w14:paraId="220B5C64" w14:textId="77777777" w:rsidR="00046A43" w:rsidRDefault="00046A43" w:rsidP="00046A43">
            <w:pPr>
              <w:jc w:val="both"/>
              <w:rPr>
                <w:szCs w:val="22"/>
              </w:rPr>
            </w:pPr>
          </w:p>
        </w:tc>
        <w:tc>
          <w:tcPr>
            <w:tcW w:w="412" w:type="pct"/>
          </w:tcPr>
          <w:p w14:paraId="28E43D26" w14:textId="77777777" w:rsidR="00046A43" w:rsidRPr="0023546F" w:rsidRDefault="00046A43" w:rsidP="00046A43">
            <w:pPr>
              <w:jc w:val="both"/>
              <w:rPr>
                <w:szCs w:val="22"/>
              </w:rPr>
            </w:pPr>
          </w:p>
        </w:tc>
        <w:tc>
          <w:tcPr>
            <w:tcW w:w="411" w:type="pct"/>
          </w:tcPr>
          <w:p w14:paraId="570AA5F5" w14:textId="67BCAAA2" w:rsidR="00046A43" w:rsidRDefault="00046A43" w:rsidP="00046A43">
            <w:pPr>
              <w:jc w:val="both"/>
              <w:rPr>
                <w:szCs w:val="22"/>
              </w:rPr>
            </w:pPr>
            <w:r w:rsidRPr="00155DC2">
              <w:rPr>
                <w:rFonts w:ascii="Times New Roman" w:hAnsi="Times New Roman" w:cs="Times New Roman"/>
                <w:bCs/>
                <w:szCs w:val="22"/>
              </w:rPr>
              <w:t>SADM, SAM, LRVK, URM</w:t>
            </w:r>
          </w:p>
        </w:tc>
        <w:tc>
          <w:tcPr>
            <w:tcW w:w="941" w:type="pct"/>
          </w:tcPr>
          <w:p w14:paraId="4BEAF100" w14:textId="77777777" w:rsidR="00046A43" w:rsidRPr="003C3BDA" w:rsidRDefault="246E5EF6" w:rsidP="7C1706E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7C1706E8">
              <w:rPr>
                <w:rFonts w:ascii="Times New Roman" w:hAnsi="Times New Roman" w:cs="Times New Roman"/>
                <w:lang w:eastAsia="lt-LT"/>
              </w:rPr>
              <w:t>Užimtųjų kultūros sektoriuje (neįskaitant viešojo sektoriaus darbuotojų) vidutinio darbo užmokesčio dalis palyginti su šalies vidutiniu darbo užmokesčio lygiu, proc.</w:t>
            </w:r>
          </w:p>
          <w:p w14:paraId="0F2C7946" w14:textId="77777777" w:rsidR="00046A43" w:rsidRPr="003C3BDA" w:rsidRDefault="00046A43" w:rsidP="7C1706E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</w:p>
          <w:p w14:paraId="4E8D88F6" w14:textId="7F525CB5" w:rsidR="00046A43" w:rsidRDefault="2C268D4C" w:rsidP="7C1706E8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7C1706E8">
              <w:rPr>
                <w:rFonts w:ascii="Times New Roman" w:hAnsi="Times New Roman" w:cs="Times New Roman"/>
                <w:color w:val="201F1E"/>
                <w:szCs w:val="22"/>
              </w:rPr>
              <w:t>Lietuvos meno kūrėjų ir kultūros srities specialistų, dalyvavusių tarptautinėse veiklose, dalis,</w:t>
            </w:r>
            <w:r w:rsidR="71118401" w:rsidRPr="7C1706E8">
              <w:rPr>
                <w:rFonts w:ascii="Times New Roman" w:hAnsi="Times New Roman" w:cs="Times New Roman"/>
                <w:lang w:eastAsia="lt-LT"/>
              </w:rPr>
              <w:t xml:space="preserve"> proc.</w:t>
            </w:r>
          </w:p>
        </w:tc>
        <w:tc>
          <w:tcPr>
            <w:tcW w:w="396" w:type="pct"/>
          </w:tcPr>
          <w:p w14:paraId="6CB0C7C8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A02F25">
              <w:rPr>
                <w:rFonts w:ascii="Times New Roman" w:hAnsi="Times New Roman" w:cs="Times New Roman"/>
                <w:szCs w:val="22"/>
              </w:rPr>
              <w:t>71,9</w:t>
            </w:r>
          </w:p>
          <w:p w14:paraId="54ED47AE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A02F25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2DE3BA26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46918C7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EE83D06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E79C188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0025AA5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6CC20DB" w14:textId="4DB0C6CC" w:rsidR="00046A43" w:rsidRPr="00A02F25" w:rsidRDefault="566E26CC" w:rsidP="00046A43">
            <w:pPr>
              <w:jc w:val="both"/>
              <w:rPr>
                <w:rFonts w:ascii="Times New Roman" w:hAnsi="Times New Roman" w:cs="Times New Roman"/>
              </w:rPr>
            </w:pPr>
            <w:r w:rsidRPr="00A02F25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456" w:type="pct"/>
          </w:tcPr>
          <w:p w14:paraId="34A13352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A02F25">
              <w:rPr>
                <w:rFonts w:ascii="Times New Roman" w:hAnsi="Times New Roman" w:cs="Times New Roman"/>
                <w:szCs w:val="22"/>
              </w:rPr>
              <w:t>80,0</w:t>
            </w:r>
          </w:p>
          <w:p w14:paraId="273A9EF1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EF04857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313DB57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BD2791E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47D2593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01762A8" w14:textId="77777777" w:rsidR="00046A43" w:rsidRPr="00A02F25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0154316" w14:textId="7DF70318" w:rsidR="00046A43" w:rsidRPr="00A02F25" w:rsidRDefault="564C620B" w:rsidP="00046A43">
            <w:pPr>
              <w:jc w:val="both"/>
              <w:rPr>
                <w:rFonts w:ascii="Times New Roman" w:hAnsi="Times New Roman" w:cs="Times New Roman"/>
              </w:rPr>
            </w:pPr>
            <w:r w:rsidRPr="00A02F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" w:type="pct"/>
          </w:tcPr>
          <w:p w14:paraId="56A36A39" w14:textId="42A51E67" w:rsidR="00046A43" w:rsidRPr="00414208" w:rsidRDefault="47539E07" w:rsidP="1A7D8279">
            <w:pPr>
              <w:jc w:val="both"/>
              <w:rPr>
                <w:rFonts w:ascii="Times New Roman" w:hAnsi="Times New Roman" w:cs="Times New Roman"/>
              </w:rPr>
            </w:pPr>
            <w:r w:rsidRPr="1A7D8279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HP </w:t>
            </w:r>
            <w:r w:rsidR="00F97C40">
              <w:rPr>
                <w:rFonts w:ascii="Times New Roman" w:hAnsi="Times New Roman" w:cs="Times New Roman"/>
                <w:sz w:val="24"/>
                <w:szCs w:val="24"/>
                <w:lang w:val="lt"/>
              </w:rPr>
              <w:t>–</w:t>
            </w:r>
            <w:r w:rsidRPr="1A7D8279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lygios galimybės visiems,</w:t>
            </w:r>
          </w:p>
          <w:p w14:paraId="4ABB4815" w14:textId="3AC0E423" w:rsidR="00046A43" w:rsidRPr="00414208" w:rsidRDefault="00046A43" w:rsidP="1A7D8279">
            <w:pPr>
              <w:jc w:val="both"/>
              <w:rPr>
                <w:rFonts w:ascii="Times New Roman" w:hAnsi="Times New Roman" w:cs="Times New Roman"/>
              </w:rPr>
            </w:pPr>
            <w:r w:rsidRPr="1A7D8279">
              <w:rPr>
                <w:rFonts w:ascii="Times New Roman" w:hAnsi="Times New Roman" w:cs="Times New Roman"/>
              </w:rPr>
              <w:t>LRV ĮP</w:t>
            </w:r>
          </w:p>
        </w:tc>
      </w:tr>
      <w:tr w:rsidR="00046A43" w:rsidRPr="0023546F" w14:paraId="37D94199" w14:textId="77777777" w:rsidTr="00F73118">
        <w:trPr>
          <w:trHeight w:val="521"/>
        </w:trPr>
        <w:tc>
          <w:tcPr>
            <w:tcW w:w="998" w:type="pct"/>
          </w:tcPr>
          <w:p w14:paraId="0F4CF149" w14:textId="64FAE082" w:rsidR="00046A43" w:rsidRPr="0023546F" w:rsidRDefault="0626C268" w:rsidP="7C160465">
            <w:pPr>
              <w:jc w:val="both"/>
              <w:rPr>
                <w:rFonts w:ascii="Times New Roman" w:hAnsi="Times New Roman" w:cs="Times New Roman"/>
              </w:rPr>
            </w:pPr>
            <w:r w:rsidRPr="7C1706E8">
              <w:rPr>
                <w:rFonts w:ascii="Times New Roman" w:hAnsi="Times New Roman" w:cs="Times New Roman"/>
              </w:rPr>
              <w:t>08-001-04-07-01 (PP)</w:t>
            </w:r>
            <w:r w:rsidR="71118401" w:rsidRPr="7C1706E8">
              <w:rPr>
                <w:rFonts w:ascii="Times New Roman" w:hAnsi="Times New Roman" w:cs="Times New Roman"/>
                <w:lang w:eastAsia="lt-LT"/>
              </w:rPr>
              <w:t xml:space="preserve"> Prielaidų Lietuvių kalbos gyvybingumui ir prestižo skatinimui sukūrimas</w:t>
            </w:r>
            <w:r w:rsidR="71118401" w:rsidRPr="7C170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" w:type="pct"/>
          </w:tcPr>
          <w:p w14:paraId="15D12A08" w14:textId="42ABA19B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4.7</w:t>
            </w:r>
          </w:p>
        </w:tc>
        <w:tc>
          <w:tcPr>
            <w:tcW w:w="412" w:type="pct"/>
          </w:tcPr>
          <w:p w14:paraId="14462457" w14:textId="27576CD4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14:paraId="61ECD041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</w:tcPr>
          <w:p w14:paraId="54FE45B9" w14:textId="75F3E9BB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EIM, ŠMSM </w:t>
            </w:r>
          </w:p>
        </w:tc>
        <w:tc>
          <w:tcPr>
            <w:tcW w:w="941" w:type="pct"/>
          </w:tcPr>
          <w:p w14:paraId="295AA4D8" w14:textId="0256E625" w:rsidR="00046A43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941ECC">
              <w:rPr>
                <w:rFonts w:ascii="Times New Roman" w:hAnsi="Times New Roman" w:cs="Times New Roman"/>
                <w:szCs w:val="22"/>
              </w:rPr>
              <w:t xml:space="preserve">Gyventojų, </w:t>
            </w:r>
            <w:r>
              <w:rPr>
                <w:rFonts w:ascii="Times New Roman" w:hAnsi="Times New Roman" w:cs="Times New Roman"/>
                <w:szCs w:val="22"/>
              </w:rPr>
              <w:t>kuriems</w:t>
            </w:r>
            <w:r w:rsidRPr="00941ECC">
              <w:rPr>
                <w:rFonts w:ascii="Times New Roman" w:hAnsi="Times New Roman" w:cs="Times New Roman"/>
                <w:szCs w:val="22"/>
              </w:rPr>
              <w:t xml:space="preserve"> asmeniškai svarbu vartoti taisyklingą lietuvių kalbą, nes taip saugomas tautiškumas, </w:t>
            </w:r>
            <w:r>
              <w:rPr>
                <w:rFonts w:ascii="Times New Roman" w:hAnsi="Times New Roman" w:cs="Times New Roman"/>
                <w:szCs w:val="22"/>
              </w:rPr>
              <w:t>dali</w:t>
            </w:r>
            <w:r w:rsidR="000F784B">
              <w:rPr>
                <w:rFonts w:ascii="Times New Roman" w:hAnsi="Times New Roman" w:cs="Times New Roman"/>
                <w:szCs w:val="22"/>
              </w:rPr>
              <w:t>s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941ECC">
              <w:rPr>
                <w:rFonts w:ascii="Times New Roman" w:hAnsi="Times New Roman" w:cs="Times New Roman"/>
                <w:szCs w:val="22"/>
              </w:rPr>
              <w:t>proc.</w:t>
            </w:r>
          </w:p>
          <w:p w14:paraId="1572BA54" w14:textId="77777777" w:rsidR="00046A43" w:rsidRPr="00941ECC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9C5AA91" w14:textId="76A4E73D" w:rsidR="00046A43" w:rsidRPr="000B32E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941ECC">
              <w:rPr>
                <w:rFonts w:ascii="Times New Roman" w:hAnsi="Times New Roman" w:cs="Times New Roman"/>
                <w:szCs w:val="22"/>
              </w:rPr>
              <w:t xml:space="preserve">Gyventojų, </w:t>
            </w:r>
            <w:r>
              <w:rPr>
                <w:rFonts w:ascii="Times New Roman" w:hAnsi="Times New Roman" w:cs="Times New Roman"/>
                <w:szCs w:val="22"/>
              </w:rPr>
              <w:t>kuriems</w:t>
            </w:r>
            <w:r w:rsidRPr="00941ECC">
              <w:rPr>
                <w:rFonts w:ascii="Times New Roman" w:hAnsi="Times New Roman" w:cs="Times New Roman"/>
                <w:szCs w:val="22"/>
              </w:rPr>
              <w:t xml:space="preserve"> patogu ir nekyla kliūčių kalbėti </w:t>
            </w:r>
            <w:r w:rsidRPr="00941ECC">
              <w:rPr>
                <w:rFonts w:ascii="Times New Roman" w:hAnsi="Times New Roman" w:cs="Times New Roman"/>
                <w:szCs w:val="22"/>
              </w:rPr>
              <w:lastRenderedPageBreak/>
              <w:t xml:space="preserve">taisyklinga lietuvių kalba, </w:t>
            </w:r>
            <w:r>
              <w:rPr>
                <w:rFonts w:ascii="Times New Roman" w:hAnsi="Times New Roman" w:cs="Times New Roman"/>
                <w:szCs w:val="22"/>
              </w:rPr>
              <w:t xml:space="preserve">dalis, </w:t>
            </w:r>
            <w:r w:rsidRPr="00941ECC">
              <w:rPr>
                <w:rFonts w:ascii="Times New Roman" w:hAnsi="Times New Roman" w:cs="Times New Roman"/>
                <w:szCs w:val="22"/>
              </w:rPr>
              <w:t>proc.</w:t>
            </w:r>
          </w:p>
        </w:tc>
        <w:tc>
          <w:tcPr>
            <w:tcW w:w="396" w:type="pct"/>
          </w:tcPr>
          <w:p w14:paraId="35D9DB82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3546F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73</w:t>
            </w:r>
          </w:p>
          <w:p w14:paraId="01C6CE7E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42EC5718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FD60AB6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165D48A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A9785AD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5D4898F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80</w:t>
            </w:r>
          </w:p>
          <w:p w14:paraId="57E7F696" w14:textId="030D36F6" w:rsidR="00046A43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6F2D46C7" w14:textId="63E65297" w:rsidR="00046A43" w:rsidRPr="0023546F" w:rsidRDefault="00046A43" w:rsidP="000B32E6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6" w:type="pct"/>
          </w:tcPr>
          <w:p w14:paraId="408D6D66" w14:textId="77777777" w:rsidR="00046A43" w:rsidRPr="0048226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  <w:r w:rsidRPr="00482266">
              <w:rPr>
                <w:rFonts w:ascii="Times New Roman" w:hAnsi="Times New Roman" w:cs="Times New Roman"/>
                <w:szCs w:val="22"/>
              </w:rPr>
              <w:lastRenderedPageBreak/>
              <w:t>78</w:t>
            </w:r>
          </w:p>
          <w:p w14:paraId="0CAABA53" w14:textId="77777777" w:rsidR="00046A43" w:rsidRPr="0048226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CBAB495" w14:textId="77777777" w:rsidR="00046A43" w:rsidRPr="0048226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71AE74F8" w14:textId="77777777" w:rsidR="00046A43" w:rsidRPr="0048226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CCA3AD0" w14:textId="77777777" w:rsidR="00046A43" w:rsidRPr="0048226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53F2CFC" w14:textId="77777777" w:rsidR="00046A43" w:rsidRPr="0048226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0B51842" w14:textId="77777777" w:rsidR="00046A43" w:rsidRPr="0048226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482266">
              <w:rPr>
                <w:rFonts w:ascii="Times New Roman" w:hAnsi="Times New Roman" w:cs="Times New Roman"/>
                <w:szCs w:val="22"/>
              </w:rPr>
              <w:t>85</w:t>
            </w:r>
          </w:p>
          <w:p w14:paraId="0E706303" w14:textId="77777777" w:rsidR="00046A43" w:rsidRPr="0048226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70132C9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3" w:type="pct"/>
          </w:tcPr>
          <w:p w14:paraId="4406117A" w14:textId="08C4F2E4" w:rsidR="00046A43" w:rsidRPr="00414208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482266">
              <w:rPr>
                <w:rFonts w:ascii="Times New Roman" w:hAnsi="Times New Roman" w:cs="Times New Roman"/>
                <w:bCs/>
                <w:szCs w:val="22"/>
              </w:rPr>
              <w:lastRenderedPageBreak/>
              <w:t>LRV ĮP</w:t>
            </w:r>
          </w:p>
        </w:tc>
      </w:tr>
      <w:tr w:rsidR="00046A43" w:rsidRPr="0023546F" w14:paraId="629229EF" w14:textId="77777777" w:rsidTr="00F73118">
        <w:trPr>
          <w:trHeight w:val="521"/>
        </w:trPr>
        <w:tc>
          <w:tcPr>
            <w:tcW w:w="998" w:type="pct"/>
          </w:tcPr>
          <w:p w14:paraId="7F8F54CE" w14:textId="10E4178A" w:rsidR="00046A43" w:rsidRPr="0023546F" w:rsidRDefault="58448B6C" w:rsidP="7C160465">
            <w:pPr>
              <w:rPr>
                <w:rFonts w:ascii="Times New Roman" w:hAnsi="Times New Roman" w:cs="Times New Roman"/>
              </w:rPr>
            </w:pPr>
            <w:r w:rsidRPr="7C1706E8">
              <w:rPr>
                <w:rFonts w:ascii="Times New Roman" w:hAnsi="Times New Roman" w:cs="Times New Roman"/>
              </w:rPr>
              <w:t>08-001-04-03-01 (PP)</w:t>
            </w:r>
            <w:r w:rsidR="71118401" w:rsidRPr="7C1706E8">
              <w:rPr>
                <w:rFonts w:ascii="Times New Roman" w:hAnsi="Times New Roman" w:cs="Times New Roman"/>
              </w:rPr>
              <w:t xml:space="preserve"> Tautinių mažumų įsitraukimo ir </w:t>
            </w:r>
            <w:proofErr w:type="spellStart"/>
            <w:r w:rsidR="71118401" w:rsidRPr="7C1706E8">
              <w:rPr>
                <w:rFonts w:ascii="Times New Roman" w:hAnsi="Times New Roman" w:cs="Times New Roman"/>
              </w:rPr>
              <w:t>įtraukties</w:t>
            </w:r>
            <w:proofErr w:type="spellEnd"/>
            <w:r w:rsidR="71118401" w:rsidRPr="7C1706E8">
              <w:rPr>
                <w:rFonts w:ascii="Times New Roman" w:hAnsi="Times New Roman" w:cs="Times New Roman"/>
              </w:rPr>
              <w:t xml:space="preserve"> į visuomeninį gyvenimą skatinimas ir informacinės atskirties mažinimas</w:t>
            </w:r>
          </w:p>
          <w:p w14:paraId="745AC567" w14:textId="77777777" w:rsidR="00046A43" w:rsidRDefault="00046A43" w:rsidP="00046A43">
            <w:pPr>
              <w:rPr>
                <w:szCs w:val="22"/>
              </w:rPr>
            </w:pPr>
          </w:p>
        </w:tc>
        <w:tc>
          <w:tcPr>
            <w:tcW w:w="411" w:type="pct"/>
          </w:tcPr>
          <w:p w14:paraId="595407D0" w14:textId="1967CA66" w:rsidR="00046A43" w:rsidRPr="0023546F" w:rsidRDefault="00046A43" w:rsidP="00046A43">
            <w:pPr>
              <w:jc w:val="both"/>
              <w:rPr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4.3</w:t>
            </w:r>
          </w:p>
        </w:tc>
        <w:tc>
          <w:tcPr>
            <w:tcW w:w="412" w:type="pct"/>
          </w:tcPr>
          <w:p w14:paraId="07BC9919" w14:textId="77777777" w:rsidR="00046A43" w:rsidRDefault="00046A43" w:rsidP="00046A43">
            <w:pPr>
              <w:jc w:val="both"/>
              <w:rPr>
                <w:szCs w:val="22"/>
              </w:rPr>
            </w:pPr>
          </w:p>
        </w:tc>
        <w:tc>
          <w:tcPr>
            <w:tcW w:w="412" w:type="pct"/>
          </w:tcPr>
          <w:p w14:paraId="694A0216" w14:textId="77777777" w:rsidR="00046A43" w:rsidRPr="0023546F" w:rsidRDefault="00046A43" w:rsidP="00046A43">
            <w:pPr>
              <w:jc w:val="both"/>
              <w:rPr>
                <w:szCs w:val="22"/>
              </w:rPr>
            </w:pPr>
          </w:p>
        </w:tc>
        <w:tc>
          <w:tcPr>
            <w:tcW w:w="411" w:type="pct"/>
          </w:tcPr>
          <w:p w14:paraId="573EF410" w14:textId="1ECB293B" w:rsidR="00046A43" w:rsidRDefault="00046A43" w:rsidP="00046A43">
            <w:pPr>
              <w:jc w:val="both"/>
              <w:rPr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TMD, ŠMSM</w:t>
            </w:r>
          </w:p>
        </w:tc>
        <w:tc>
          <w:tcPr>
            <w:tcW w:w="941" w:type="pct"/>
          </w:tcPr>
          <w:p w14:paraId="68E4D12E" w14:textId="3DCC668C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4D2C5D">
              <w:rPr>
                <w:rFonts w:ascii="Times New Roman" w:hAnsi="Times New Roman" w:cs="Times New Roman"/>
                <w:bCs/>
                <w:szCs w:val="22"/>
              </w:rPr>
              <w:t>Ne lietuvių tautybės gyventojų, teigiančių, kad jų asmeninis tapatumas yra tvirtai susijęs su Lietuvos kultūra, dalis, proc.</w:t>
            </w:r>
          </w:p>
          <w:p w14:paraId="2D39D06B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  <w:highlight w:val="cyan"/>
              </w:rPr>
            </w:pPr>
          </w:p>
          <w:p w14:paraId="2525DD22" w14:textId="3F710453" w:rsidR="00046A43" w:rsidRPr="00F73118" w:rsidRDefault="00046A43" w:rsidP="00046A43">
            <w:pPr>
              <w:jc w:val="both"/>
              <w:rPr>
                <w:rFonts w:ascii="Times New Roman" w:hAnsi="Times New Roman" w:cs="Times New Roman"/>
                <w:bCs/>
                <w:strike/>
                <w:szCs w:val="22"/>
              </w:rPr>
            </w:pPr>
            <w:r w:rsidRPr="004D2C5D">
              <w:rPr>
                <w:rFonts w:ascii="Times New Roman" w:hAnsi="Times New Roman" w:cs="Times New Roman"/>
                <w:bCs/>
                <w:szCs w:val="22"/>
              </w:rPr>
              <w:t>Gyventojų, manančių, kad visuomenei naudinga, kuomet ji sudaryta iš skirtingoms kultūroms priklausančių žmonių, dali</w:t>
            </w:r>
            <w:r w:rsidR="000F784B">
              <w:rPr>
                <w:rFonts w:ascii="Times New Roman" w:hAnsi="Times New Roman" w:cs="Times New Roman"/>
                <w:bCs/>
                <w:szCs w:val="22"/>
              </w:rPr>
              <w:t>s</w:t>
            </w:r>
            <w:r>
              <w:rPr>
                <w:rFonts w:ascii="Times New Roman" w:hAnsi="Times New Roman" w:cs="Times New Roman"/>
                <w:bCs/>
                <w:szCs w:val="22"/>
              </w:rPr>
              <w:t>,</w:t>
            </w:r>
            <w:r w:rsidRPr="004D2C5D">
              <w:rPr>
                <w:rFonts w:ascii="Times New Roman" w:hAnsi="Times New Roman" w:cs="Times New Roman"/>
                <w:bCs/>
                <w:szCs w:val="22"/>
              </w:rPr>
              <w:t xml:space="preserve"> proc.</w:t>
            </w:r>
          </w:p>
        </w:tc>
        <w:tc>
          <w:tcPr>
            <w:tcW w:w="396" w:type="pct"/>
          </w:tcPr>
          <w:p w14:paraId="1E34E11E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D2C5D">
              <w:rPr>
                <w:rFonts w:ascii="Times New Roman" w:hAnsi="Times New Roman" w:cs="Times New Roman"/>
                <w:szCs w:val="22"/>
                <w:lang w:val="en-US"/>
              </w:rPr>
              <w:t>67</w:t>
            </w:r>
          </w:p>
          <w:p w14:paraId="6DAD015B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D2C5D">
              <w:rPr>
                <w:rFonts w:ascii="Times New Roman" w:hAnsi="Times New Roman" w:cs="Times New Roman"/>
                <w:szCs w:val="22"/>
                <w:lang w:val="en-US"/>
              </w:rPr>
              <w:t>(2020)</w:t>
            </w:r>
          </w:p>
          <w:p w14:paraId="2119E883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79F9A528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7941D8E1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6E2A188F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0E59F029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4D2C5D">
              <w:rPr>
                <w:rFonts w:ascii="Times New Roman" w:hAnsi="Times New Roman" w:cs="Times New Roman"/>
                <w:szCs w:val="22"/>
                <w:lang w:val="en-US"/>
              </w:rPr>
              <w:t>79</w:t>
            </w:r>
          </w:p>
          <w:p w14:paraId="38A13A98" w14:textId="2B5EFDCF" w:rsidR="00046A43" w:rsidRPr="0023546F" w:rsidRDefault="00046A43" w:rsidP="00046A43">
            <w:pPr>
              <w:jc w:val="both"/>
              <w:rPr>
                <w:szCs w:val="22"/>
                <w:lang w:val="en-US"/>
              </w:rPr>
            </w:pPr>
            <w:r w:rsidRPr="004D2C5D">
              <w:rPr>
                <w:rFonts w:ascii="Times New Roman" w:hAnsi="Times New Roman" w:cs="Times New Roman"/>
                <w:szCs w:val="22"/>
                <w:lang w:val="en-US"/>
              </w:rPr>
              <w:t>(2020)</w:t>
            </w:r>
          </w:p>
        </w:tc>
        <w:tc>
          <w:tcPr>
            <w:tcW w:w="456" w:type="pct"/>
          </w:tcPr>
          <w:p w14:paraId="69B8EFE1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4D2C5D">
              <w:rPr>
                <w:rFonts w:ascii="Times New Roman" w:hAnsi="Times New Roman" w:cs="Times New Roman"/>
                <w:szCs w:val="22"/>
              </w:rPr>
              <w:t>71</w:t>
            </w:r>
          </w:p>
          <w:p w14:paraId="76D770DD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4211BE3A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DBB9F4C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1DAF37C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7BBC3D3" w14:textId="77777777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C519982" w14:textId="6004E2C4" w:rsidR="00046A43" w:rsidRPr="0023546F" w:rsidRDefault="00046A43" w:rsidP="00046A43">
            <w:pPr>
              <w:jc w:val="both"/>
              <w:rPr>
                <w:szCs w:val="22"/>
              </w:rPr>
            </w:pPr>
            <w:r w:rsidRPr="004D2C5D">
              <w:rPr>
                <w:rFonts w:ascii="Times New Roman" w:hAnsi="Times New Roman" w:cs="Times New Roman"/>
                <w:szCs w:val="22"/>
              </w:rPr>
              <w:t>83</w:t>
            </w:r>
          </w:p>
        </w:tc>
        <w:tc>
          <w:tcPr>
            <w:tcW w:w="563" w:type="pct"/>
          </w:tcPr>
          <w:p w14:paraId="1612A62C" w14:textId="6586EB3D" w:rsidR="01A432A4" w:rsidRDefault="01A432A4" w:rsidP="1A7D82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"/>
              </w:rPr>
            </w:pPr>
            <w:r w:rsidRPr="1A7D8279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HP </w:t>
            </w:r>
            <w:r w:rsidR="00B76875">
              <w:rPr>
                <w:rFonts w:ascii="Times New Roman" w:hAnsi="Times New Roman" w:cs="Times New Roman"/>
                <w:sz w:val="24"/>
                <w:szCs w:val="24"/>
                <w:lang w:val="lt"/>
              </w:rPr>
              <w:t>–</w:t>
            </w:r>
            <w:r w:rsidRPr="1A7D8279">
              <w:rPr>
                <w:rFonts w:ascii="Times New Roman" w:hAnsi="Times New Roman" w:cs="Times New Roman"/>
                <w:sz w:val="24"/>
                <w:szCs w:val="24"/>
                <w:lang w:val="lt"/>
              </w:rPr>
              <w:t xml:space="preserve"> lygios galimybės visiems,</w:t>
            </w:r>
          </w:p>
          <w:p w14:paraId="017AE43A" w14:textId="367C66C0" w:rsidR="00046A43" w:rsidRPr="00414208" w:rsidRDefault="00046A43" w:rsidP="00046A43">
            <w:pPr>
              <w:jc w:val="both"/>
              <w:rPr>
                <w:bCs/>
                <w:szCs w:val="22"/>
              </w:rPr>
            </w:pPr>
            <w:r w:rsidRPr="00414208">
              <w:rPr>
                <w:rFonts w:ascii="Times New Roman" w:hAnsi="Times New Roman" w:cs="Times New Roman"/>
                <w:bCs/>
                <w:szCs w:val="22"/>
              </w:rPr>
              <w:t>LRV ĮP</w:t>
            </w:r>
          </w:p>
        </w:tc>
      </w:tr>
      <w:tr w:rsidR="00046A43" w:rsidRPr="0023546F" w14:paraId="6E5F746F" w14:textId="77777777" w:rsidTr="00F73118">
        <w:trPr>
          <w:trHeight w:val="521"/>
        </w:trPr>
        <w:tc>
          <w:tcPr>
            <w:tcW w:w="998" w:type="pct"/>
          </w:tcPr>
          <w:p w14:paraId="41EAB2CC" w14:textId="03FB6FF6" w:rsidR="00046A43" w:rsidRPr="0023546F" w:rsidRDefault="6A40737F" w:rsidP="7C160465">
            <w:pPr>
              <w:jc w:val="both"/>
              <w:rPr>
                <w:rFonts w:ascii="Times New Roman" w:hAnsi="Times New Roman" w:cs="Times New Roman"/>
              </w:rPr>
            </w:pPr>
            <w:r w:rsidRPr="7C160465">
              <w:rPr>
                <w:rFonts w:ascii="Times New Roman" w:hAnsi="Times New Roman" w:cs="Times New Roman"/>
              </w:rPr>
              <w:t>08-001-04-05-01 (PP)</w:t>
            </w:r>
            <w:r w:rsidR="6C27DBD6" w:rsidRPr="7C160465">
              <w:rPr>
                <w:rFonts w:ascii="Times New Roman" w:hAnsi="Times New Roman" w:cs="Times New Roman"/>
              </w:rPr>
              <w:t xml:space="preserve"> Istorinės atminties komunikacijos turinio ir formų aktualizavimas </w:t>
            </w:r>
          </w:p>
        </w:tc>
        <w:tc>
          <w:tcPr>
            <w:tcW w:w="411" w:type="pct"/>
          </w:tcPr>
          <w:p w14:paraId="63DA04CA" w14:textId="6002D9F3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4.5</w:t>
            </w:r>
          </w:p>
        </w:tc>
        <w:tc>
          <w:tcPr>
            <w:tcW w:w="412" w:type="pct"/>
          </w:tcPr>
          <w:p w14:paraId="3DF69A91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2" w:type="pct"/>
          </w:tcPr>
          <w:p w14:paraId="389476B5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</w:tcPr>
          <w:p w14:paraId="329AC2EA" w14:textId="54FF105E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ŠMSM, URM</w:t>
            </w:r>
          </w:p>
        </w:tc>
        <w:tc>
          <w:tcPr>
            <w:tcW w:w="941" w:type="pct"/>
          </w:tcPr>
          <w:p w14:paraId="5823B978" w14:textId="3A84DE74" w:rsidR="00046A43" w:rsidRPr="004F2C85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  <w:lang w:eastAsia="lt-LT"/>
              </w:rPr>
            </w:pPr>
            <w:r w:rsidRPr="004F2C85">
              <w:rPr>
                <w:rFonts w:ascii="Times New Roman" w:hAnsi="Times New Roman" w:cs="Times New Roman"/>
                <w:bCs/>
                <w:szCs w:val="22"/>
                <w:lang w:eastAsia="lt-LT"/>
              </w:rPr>
              <w:t>Gyventojų, per paskutinius 12 mėn. lankiusių istorinės atminties įprasminimo renginius (valstybinėse šventėse, minėjimuose ir pan.), dali</w:t>
            </w:r>
            <w:r w:rsidR="00180752">
              <w:rPr>
                <w:rFonts w:ascii="Times New Roman" w:hAnsi="Times New Roman" w:cs="Times New Roman"/>
                <w:bCs/>
                <w:szCs w:val="22"/>
                <w:lang w:eastAsia="lt-LT"/>
              </w:rPr>
              <w:t>s</w:t>
            </w:r>
            <w:r w:rsidRPr="004F2C85">
              <w:rPr>
                <w:rFonts w:ascii="Times New Roman" w:hAnsi="Times New Roman" w:cs="Times New Roman"/>
                <w:bCs/>
                <w:szCs w:val="22"/>
                <w:lang w:eastAsia="lt-LT"/>
              </w:rPr>
              <w:t>, proc.</w:t>
            </w:r>
          </w:p>
          <w:p w14:paraId="6D8F09D5" w14:textId="77777777" w:rsidR="00046A43" w:rsidRPr="004F2C85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  <w:lang w:eastAsia="lt-LT"/>
              </w:rPr>
            </w:pPr>
            <w:r w:rsidRPr="004F2C85">
              <w:rPr>
                <w:rFonts w:ascii="Times New Roman" w:hAnsi="Times New Roman" w:cs="Times New Roman"/>
                <w:bCs/>
                <w:szCs w:val="22"/>
                <w:lang w:eastAsia="lt-LT"/>
              </w:rPr>
              <w:t xml:space="preserve"> </w:t>
            </w:r>
          </w:p>
          <w:p w14:paraId="5485A878" w14:textId="77777777" w:rsidR="004F2C85" w:rsidRPr="004F2C85" w:rsidRDefault="004F2C85" w:rsidP="00046A43">
            <w:pPr>
              <w:jc w:val="both"/>
              <w:rPr>
                <w:rFonts w:ascii="Times New Roman" w:hAnsi="Times New Roman" w:cs="Times New Roman"/>
              </w:rPr>
            </w:pPr>
          </w:p>
          <w:p w14:paraId="346789E4" w14:textId="77777777" w:rsidR="004F2C85" w:rsidRDefault="004F2C85" w:rsidP="00046A43">
            <w:pPr>
              <w:jc w:val="both"/>
              <w:rPr>
                <w:rFonts w:ascii="Times New Roman" w:hAnsi="Times New Roman" w:cs="Times New Roman"/>
              </w:rPr>
            </w:pPr>
            <w:r w:rsidRPr="004F2C85">
              <w:rPr>
                <w:rFonts w:ascii="Times New Roman" w:hAnsi="Times New Roman" w:cs="Times New Roman"/>
              </w:rPr>
              <w:t>Gyventojų pasitenkinimas muziejų paslaugų kokybe, proc.</w:t>
            </w:r>
          </w:p>
          <w:p w14:paraId="3F6857A4" w14:textId="77777777" w:rsidR="00BC280E" w:rsidRDefault="00BC280E" w:rsidP="00046A43">
            <w:pPr>
              <w:jc w:val="both"/>
              <w:rPr>
                <w:rFonts w:ascii="Times New Roman" w:hAnsi="Times New Roman" w:cs="Times New Roman"/>
                <w:bCs/>
                <w:lang w:eastAsia="lt-LT"/>
              </w:rPr>
            </w:pPr>
          </w:p>
          <w:p w14:paraId="76345795" w14:textId="271AF9BE" w:rsidR="00BC280E" w:rsidRPr="004F2C85" w:rsidRDefault="6EDE08D8" w:rsidP="2BF0DB4A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1A7D8279">
              <w:rPr>
                <w:rFonts w:ascii="Times New Roman" w:hAnsi="Times New Roman" w:cs="Times New Roman"/>
                <w:noProof/>
              </w:rPr>
              <w:t>Paramą gavusių kultūros ir turizmo objektų lankytojai</w:t>
            </w:r>
            <w:r w:rsidR="219AF5DD" w:rsidRPr="1A7D8279">
              <w:rPr>
                <w:rFonts w:ascii="Times New Roman" w:hAnsi="Times New Roman" w:cs="Times New Roman"/>
                <w:noProof/>
              </w:rPr>
              <w:t>, vnt</w:t>
            </w:r>
            <w:r w:rsidR="55B2E3C2" w:rsidRPr="1A7D8279">
              <w:rPr>
                <w:rFonts w:ascii="Times New Roman" w:hAnsi="Times New Roman" w:cs="Times New Roman"/>
                <w:noProof/>
              </w:rPr>
              <w:t>.</w:t>
            </w:r>
            <w:r w:rsidR="00B76875">
              <w:rPr>
                <w:rFonts w:ascii="Times New Roman" w:hAnsi="Times New Roman" w:cs="Times New Roman"/>
                <w:noProof/>
              </w:rPr>
              <w:t xml:space="preserve"> </w:t>
            </w:r>
            <w:r w:rsidR="00DE5ED9" w:rsidRPr="1A7D8279">
              <w:rPr>
                <w:rFonts w:ascii="Times New Roman" w:hAnsi="Times New Roman" w:cs="Times New Roman"/>
                <w:noProof/>
              </w:rPr>
              <w:t>/</w:t>
            </w:r>
            <w:r w:rsidR="00B76875">
              <w:rPr>
                <w:rFonts w:ascii="Times New Roman" w:hAnsi="Times New Roman" w:cs="Times New Roman"/>
                <w:noProof/>
              </w:rPr>
              <w:t xml:space="preserve"> </w:t>
            </w:r>
            <w:r w:rsidR="00DE5ED9" w:rsidRPr="1A7D8279">
              <w:rPr>
                <w:rFonts w:ascii="Times New Roman" w:hAnsi="Times New Roman" w:cs="Times New Roman"/>
                <w:noProof/>
              </w:rPr>
              <w:t>per metus</w:t>
            </w:r>
            <w:r w:rsidR="219AF5DD" w:rsidRPr="1A7D8279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96" w:type="pct"/>
          </w:tcPr>
          <w:p w14:paraId="7775620C" w14:textId="603E9565" w:rsidR="00046A43" w:rsidRPr="00762AC6" w:rsidRDefault="00180752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46,0</w:t>
            </w:r>
          </w:p>
          <w:p w14:paraId="6D3F65E3" w14:textId="77777777" w:rsidR="00046A43" w:rsidRPr="00762AC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3434954D" w14:textId="77777777" w:rsidR="00046A43" w:rsidRPr="00762AC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0506ABC" w14:textId="77777777" w:rsidR="00046A43" w:rsidRPr="00762AC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81B9E3E" w14:textId="77777777" w:rsidR="00046A43" w:rsidRPr="00762AC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692723D" w14:textId="77777777" w:rsidR="00046A43" w:rsidRPr="00762AC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B354D19" w14:textId="77777777" w:rsidR="00046A43" w:rsidRPr="00762AC6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C9F55BF" w14:textId="77777777" w:rsidR="00686471" w:rsidRPr="00762AC6" w:rsidRDefault="00686471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92A7986" w14:textId="0B79D9A5" w:rsidR="004F2C85" w:rsidRPr="00762AC6" w:rsidRDefault="004F2C85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66,0</w:t>
            </w:r>
          </w:p>
          <w:p w14:paraId="6697016D" w14:textId="77777777" w:rsidR="004F2C85" w:rsidRPr="00762AC6" w:rsidRDefault="004F2C85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(2020)</w:t>
            </w:r>
          </w:p>
          <w:p w14:paraId="13853944" w14:textId="77777777" w:rsidR="00BC280E" w:rsidRPr="00762AC6" w:rsidRDefault="00BC280E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CDFF76A" w14:textId="77777777" w:rsidR="00BC280E" w:rsidRPr="00762AC6" w:rsidRDefault="00BC280E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ED9636E" w14:textId="77777777" w:rsidR="00BC280E" w:rsidRPr="00762AC6" w:rsidRDefault="00BC280E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0</w:t>
            </w:r>
          </w:p>
          <w:p w14:paraId="5110E165" w14:textId="7E5C4E5D" w:rsidR="00784515" w:rsidRPr="00762AC6" w:rsidRDefault="18DE085C" w:rsidP="7C1706E8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(</w:t>
            </w:r>
            <w:r w:rsidR="2D839ECD" w:rsidRPr="00762AC6">
              <w:rPr>
                <w:rFonts w:ascii="Times New Roman" w:hAnsi="Times New Roman" w:cs="Times New Roman"/>
              </w:rPr>
              <w:t>2019</w:t>
            </w:r>
            <w:r w:rsidRPr="00762AC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6" w:type="pct"/>
          </w:tcPr>
          <w:p w14:paraId="6F73CACE" w14:textId="75E8EF44" w:rsidR="00046A43" w:rsidRPr="00762AC6" w:rsidRDefault="00180752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51,0</w:t>
            </w:r>
          </w:p>
          <w:p w14:paraId="4838313A" w14:textId="77777777" w:rsidR="00046A43" w:rsidRPr="00762AC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EC56998" w14:textId="77777777" w:rsidR="00046A43" w:rsidRPr="00762AC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670B8CB" w14:textId="77777777" w:rsidR="00046A43" w:rsidRPr="00762AC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D6E3604" w14:textId="77777777" w:rsidR="00046A43" w:rsidRPr="00762AC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81AEB01" w14:textId="77777777" w:rsidR="00046A43" w:rsidRPr="00762AC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BB65E02" w14:textId="77777777" w:rsidR="00046A43" w:rsidRPr="00762AC6" w:rsidRDefault="00046A43" w:rsidP="00046A43">
            <w:pPr>
              <w:ind w:left="48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6AB469AD" w14:textId="77777777" w:rsidR="00686471" w:rsidRPr="00762AC6" w:rsidRDefault="00686471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C9D0BD4" w14:textId="67A9732D" w:rsidR="004F2C85" w:rsidRPr="00762AC6" w:rsidRDefault="004F2C85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762AC6">
              <w:rPr>
                <w:rFonts w:ascii="Times New Roman" w:hAnsi="Times New Roman" w:cs="Times New Roman"/>
                <w:szCs w:val="22"/>
              </w:rPr>
              <w:t>71,5</w:t>
            </w:r>
          </w:p>
          <w:p w14:paraId="24F9469D" w14:textId="77777777" w:rsidR="00BC280E" w:rsidRPr="00762AC6" w:rsidRDefault="00BC280E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7813F42" w14:textId="77777777" w:rsidR="00BC280E" w:rsidRPr="00762AC6" w:rsidRDefault="00BC280E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E8F3C3E" w14:textId="77777777" w:rsidR="00BC280E" w:rsidRPr="00762AC6" w:rsidRDefault="00BC280E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0FA3B9AF" w14:textId="68703836" w:rsidR="00BC280E" w:rsidRPr="00762AC6" w:rsidRDefault="54AF71EC" w:rsidP="2BF0DB4A">
            <w:pPr>
              <w:jc w:val="both"/>
              <w:rPr>
                <w:rFonts w:ascii="Times New Roman" w:hAnsi="Times New Roman" w:cs="Times New Roman"/>
              </w:rPr>
            </w:pPr>
            <w:r w:rsidRPr="00762AC6">
              <w:rPr>
                <w:rFonts w:ascii="Times New Roman" w:hAnsi="Times New Roman" w:cs="Times New Roman"/>
              </w:rPr>
              <w:t>73</w:t>
            </w:r>
            <w:r w:rsidR="00F73118">
              <w:rPr>
                <w:rFonts w:ascii="Times New Roman" w:hAnsi="Times New Roman" w:cs="Times New Roman"/>
              </w:rPr>
              <w:t xml:space="preserve"> </w:t>
            </w:r>
            <w:r w:rsidRPr="00762AC6">
              <w:rPr>
                <w:rFonts w:ascii="Times New Roman" w:hAnsi="Times New Roman" w:cs="Times New Roman"/>
              </w:rPr>
              <w:t>71</w:t>
            </w:r>
            <w:r w:rsidR="00DE5ED9" w:rsidRPr="00762AC6">
              <w:rPr>
                <w:rFonts w:ascii="Times New Roman" w:hAnsi="Times New Roman" w:cs="Times New Roman"/>
              </w:rPr>
              <w:t>8</w:t>
            </w:r>
            <w:r w:rsidRPr="00762AC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3" w:type="pct"/>
          </w:tcPr>
          <w:p w14:paraId="171727D2" w14:textId="63B41273" w:rsidR="00046A43" w:rsidRPr="00414208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414208">
              <w:rPr>
                <w:rFonts w:ascii="Times New Roman" w:hAnsi="Times New Roman" w:cs="Times New Roman"/>
                <w:bCs/>
                <w:szCs w:val="22"/>
              </w:rPr>
              <w:t>LRV ĮP</w:t>
            </w:r>
          </w:p>
        </w:tc>
      </w:tr>
      <w:tr w:rsidR="00046A43" w:rsidRPr="0023546F" w14:paraId="01BD1615" w14:textId="77777777" w:rsidTr="00F73118">
        <w:trPr>
          <w:trHeight w:val="521"/>
        </w:trPr>
        <w:tc>
          <w:tcPr>
            <w:tcW w:w="998" w:type="pct"/>
          </w:tcPr>
          <w:p w14:paraId="10DE5247" w14:textId="34294FE7" w:rsidR="00046A43" w:rsidRPr="0023546F" w:rsidRDefault="5ACA94D5" w:rsidP="2BF0DB4A">
            <w:pPr>
              <w:tabs>
                <w:tab w:val="left" w:pos="2184"/>
              </w:tabs>
              <w:jc w:val="both"/>
              <w:rPr>
                <w:rFonts w:ascii="Times New Roman" w:hAnsi="Times New Roman" w:cs="Times New Roman"/>
              </w:rPr>
            </w:pPr>
            <w:r w:rsidRPr="7C1706E8">
              <w:rPr>
                <w:rFonts w:ascii="Times New Roman" w:hAnsi="Times New Roman" w:cs="Times New Roman"/>
                <w:color w:val="000000" w:themeColor="text1"/>
                <w:szCs w:val="22"/>
              </w:rPr>
              <w:t>08-001-04-01-04</w:t>
            </w:r>
            <w:r w:rsidR="258FFF2A" w:rsidRPr="7C1706E8">
              <w:rPr>
                <w:rFonts w:ascii="Times New Roman" w:hAnsi="Times New Roman" w:cs="Times New Roman"/>
              </w:rPr>
              <w:t xml:space="preserve"> (PP) </w:t>
            </w:r>
            <w:r w:rsidR="0FAB6F8A" w:rsidRPr="7C1706E8">
              <w:rPr>
                <w:rFonts w:ascii="Times New Roman" w:hAnsi="Times New Roman" w:cs="Times New Roman"/>
              </w:rPr>
              <w:t xml:space="preserve">Kritinio mąstymo gebėjimų, atsakomybės už legalaus turinio vartojimą, medijų ir informacinio raštingumo ugdymas </w:t>
            </w:r>
          </w:p>
        </w:tc>
        <w:tc>
          <w:tcPr>
            <w:tcW w:w="411" w:type="pct"/>
          </w:tcPr>
          <w:p w14:paraId="3C0730B4" w14:textId="2FEB140E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412" w:type="pct"/>
          </w:tcPr>
          <w:p w14:paraId="7AE44B18" w14:textId="686D2D55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10.3</w:t>
            </w:r>
          </w:p>
        </w:tc>
        <w:tc>
          <w:tcPr>
            <w:tcW w:w="412" w:type="pct"/>
          </w:tcPr>
          <w:p w14:paraId="2321D287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" w:type="pct"/>
          </w:tcPr>
          <w:p w14:paraId="639653CA" w14:textId="135D24EA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155DC2">
              <w:rPr>
                <w:rFonts w:ascii="Times New Roman" w:hAnsi="Times New Roman" w:cs="Times New Roman"/>
                <w:szCs w:val="22"/>
              </w:rPr>
              <w:t>ŠMSM, KAM</w:t>
            </w:r>
          </w:p>
        </w:tc>
        <w:tc>
          <w:tcPr>
            <w:tcW w:w="941" w:type="pct"/>
          </w:tcPr>
          <w:p w14:paraId="021F5020" w14:textId="77777777" w:rsidR="006E145C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Gyventojų, kritiškai vertinančių viešąją informaciją, dalies </w:t>
            </w:r>
            <w:r>
              <w:rPr>
                <w:rFonts w:ascii="Times New Roman" w:hAnsi="Times New Roman" w:cs="Times New Roman"/>
                <w:bCs/>
                <w:szCs w:val="22"/>
                <w:lang w:eastAsia="lt-LT"/>
              </w:rPr>
              <w:t>padidėjimas</w:t>
            </w:r>
            <w:r w:rsidRPr="0023546F">
              <w:rPr>
                <w:rFonts w:ascii="Times New Roman" w:hAnsi="Times New Roman" w:cs="Times New Roman"/>
                <w:szCs w:val="22"/>
              </w:rPr>
              <w:t>, proc.</w:t>
            </w:r>
          </w:p>
          <w:p w14:paraId="7FA7043D" w14:textId="77777777" w:rsidR="006E145C" w:rsidRDefault="006E145C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191968EB" w14:textId="4CFB452F" w:rsidR="00046A43" w:rsidRPr="004D2C5D" w:rsidRDefault="00046A43" w:rsidP="00046A43">
            <w:pPr>
              <w:jc w:val="both"/>
              <w:rPr>
                <w:rFonts w:ascii="Times New Roman" w:hAnsi="Times New Roman" w:cs="Times New Roman"/>
                <w:bCs/>
                <w:strike/>
                <w:szCs w:val="22"/>
                <w:lang w:eastAsia="lt-LT"/>
              </w:rPr>
            </w:pPr>
          </w:p>
        </w:tc>
        <w:tc>
          <w:tcPr>
            <w:tcW w:w="396" w:type="pct"/>
          </w:tcPr>
          <w:p w14:paraId="6A127301" w14:textId="77777777" w:rsidR="00046A43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3546F">
              <w:rPr>
                <w:rFonts w:ascii="Times New Roman" w:hAnsi="Times New Roman" w:cs="Times New Roman"/>
                <w:szCs w:val="22"/>
                <w:lang w:val="en-US"/>
              </w:rPr>
              <w:t>43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23546F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  <w:p w14:paraId="60D2E147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(2017)</w:t>
            </w:r>
          </w:p>
          <w:p w14:paraId="0E85D41B" w14:textId="77777777" w:rsidR="00046A43" w:rsidRDefault="00046A43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4B1C1057" w14:textId="77777777" w:rsidR="006E145C" w:rsidRDefault="006E145C" w:rsidP="00046A43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14:paraId="7EDAAE7F" w14:textId="6BCAA043" w:rsidR="006E145C" w:rsidRPr="004D2C5D" w:rsidRDefault="006E145C" w:rsidP="72A59DD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56" w:type="pct"/>
          </w:tcPr>
          <w:p w14:paraId="15193A8F" w14:textId="77777777" w:rsidR="00046A43" w:rsidRPr="0023546F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23546F">
              <w:rPr>
                <w:rFonts w:ascii="Times New Roman" w:hAnsi="Times New Roman" w:cs="Times New Roman"/>
                <w:szCs w:val="22"/>
              </w:rPr>
              <w:t>49,1</w:t>
            </w:r>
          </w:p>
          <w:p w14:paraId="273772E8" w14:textId="77777777" w:rsidR="00046A43" w:rsidRDefault="00046A43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148842E" w14:textId="77777777" w:rsidR="006E145C" w:rsidRDefault="006E145C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367861CF" w14:textId="77777777" w:rsidR="006E145C" w:rsidRDefault="006E145C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26654802" w14:textId="434D1EBC" w:rsidR="006E145C" w:rsidRPr="004D2C5D" w:rsidRDefault="006E145C" w:rsidP="00046A43">
            <w:p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3" w:type="pct"/>
          </w:tcPr>
          <w:p w14:paraId="16883099" w14:textId="03E84AA8" w:rsidR="00046A43" w:rsidRPr="00414208" w:rsidRDefault="00046A43" w:rsidP="00046A43">
            <w:pPr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 w:rsidRPr="00414208">
              <w:rPr>
                <w:rFonts w:ascii="Times New Roman" w:hAnsi="Times New Roman" w:cs="Times New Roman"/>
                <w:bCs/>
                <w:szCs w:val="22"/>
              </w:rPr>
              <w:t>LRV ĮP</w:t>
            </w:r>
          </w:p>
        </w:tc>
      </w:tr>
    </w:tbl>
    <w:p w14:paraId="621C6753" w14:textId="75A25A66" w:rsidR="00223B5A" w:rsidRPr="00871BE8" w:rsidRDefault="00223B5A" w:rsidP="00BB68A3">
      <w:pPr>
        <w:pStyle w:val="CommentText"/>
        <w:ind w:right="-1387"/>
      </w:pPr>
    </w:p>
    <w:sectPr w:rsidR="00223B5A" w:rsidRPr="00871BE8" w:rsidSect="00EA2774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82AC6" w14:textId="77777777" w:rsidR="004821D2" w:rsidRDefault="004821D2" w:rsidP="00683D5E">
      <w:r>
        <w:separator/>
      </w:r>
    </w:p>
  </w:endnote>
  <w:endnote w:type="continuationSeparator" w:id="0">
    <w:p w14:paraId="57ADBF52" w14:textId="77777777" w:rsidR="004821D2" w:rsidRDefault="004821D2" w:rsidP="0068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803570"/>
      <w:docPartObj>
        <w:docPartGallery w:val="Page Numbers (Bottom of Page)"/>
        <w:docPartUnique/>
      </w:docPartObj>
    </w:sdtPr>
    <w:sdtContent>
      <w:p w14:paraId="2AE1A425" w14:textId="4405CA40" w:rsidR="007E3FC3" w:rsidRDefault="007E3FC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7D9A8" w14:textId="3755129F" w:rsidR="1A7D8279" w:rsidRDefault="1A7D8279" w:rsidP="1A7D8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954A" w14:textId="77777777" w:rsidR="004821D2" w:rsidRDefault="004821D2" w:rsidP="00683D5E">
      <w:r>
        <w:separator/>
      </w:r>
    </w:p>
  </w:footnote>
  <w:footnote w:type="continuationSeparator" w:id="0">
    <w:p w14:paraId="5A778300" w14:textId="77777777" w:rsidR="004821D2" w:rsidRDefault="004821D2" w:rsidP="00683D5E">
      <w:r>
        <w:continuationSeparator/>
      </w:r>
    </w:p>
  </w:footnote>
  <w:footnote w:id="1">
    <w:p w14:paraId="21E16A02" w14:textId="4ABFDA93" w:rsidR="004615D9" w:rsidRDefault="004615D9">
      <w:pPr>
        <w:pStyle w:val="FootnoteText"/>
      </w:pPr>
      <w:r>
        <w:rPr>
          <w:rStyle w:val="FootnoteReference"/>
        </w:rPr>
        <w:footnoteRef/>
      </w:r>
      <w:r>
        <w:t xml:space="preserve"> Vartojama sąvoka „Atminties institucijos“ apibrėžta Lietuvos kultūros paveldo skaitmeninimo, skaitmeninio turinio saugojimo ir prieigos strategijoje, patvirtintoje LRV 2009 m. gegužės 20</w:t>
      </w:r>
      <w:r w:rsidR="00520BB1">
        <w:t xml:space="preserve"> </w:t>
      </w:r>
      <w:r>
        <w:rPr>
          <w:lang w:val="en-US"/>
        </w:rPr>
        <w:t>d.</w:t>
      </w:r>
      <w:r w:rsidRPr="00F73118">
        <w:t xml:space="preserve"> nutarimu</w:t>
      </w:r>
      <w:r>
        <w:rPr>
          <w:lang w:val="en-US"/>
        </w:rPr>
        <w:t xml:space="preserve"> Nr.</w:t>
      </w:r>
      <w:hyperlink r:id="rId1" w:history="1">
        <w:r w:rsidRPr="00FE6D20">
          <w:rPr>
            <w:rStyle w:val="Hyperlink"/>
          </w:rPr>
          <w:t>493</w:t>
        </w:r>
      </w:hyperlink>
      <w:r>
        <w:t>. Atminties institucijos – archyvas, biblioteka, muziejus ar kita institucija, dalyvaujanti formuojant, integruojant ir skleidžiant žmonijos kultūrą, užfiksuotą kultūros paveldo objektuose.</w:t>
      </w:r>
    </w:p>
  </w:footnote>
  <w:footnote w:id="2">
    <w:p w14:paraId="0D3ED733" w14:textId="77A4E2B8" w:rsidR="004615D9" w:rsidRPr="00683D5E" w:rsidRDefault="004615D9" w:rsidP="006201B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6DF4">
        <w:rPr>
          <w:sz w:val="16"/>
          <w:szCs w:val="16"/>
        </w:rPr>
        <w:t>Jei P</w:t>
      </w:r>
      <w:r>
        <w:rPr>
          <w:sz w:val="16"/>
          <w:szCs w:val="16"/>
        </w:rPr>
        <w:t xml:space="preserve">lėtros programa </w:t>
      </w:r>
      <w:r w:rsidRPr="005C6DF4">
        <w:rPr>
          <w:sz w:val="16"/>
          <w:szCs w:val="16"/>
        </w:rPr>
        <w:t>finansuojama iš ES ar kitų tarptautinių programų lėšų, nurodomi atitinkam</w:t>
      </w:r>
      <w:r w:rsidRPr="00036331">
        <w:rPr>
          <w:sz w:val="16"/>
          <w:szCs w:val="16"/>
        </w:rPr>
        <w:t>i</w:t>
      </w:r>
      <w:r w:rsidR="00F97C40">
        <w:rPr>
          <w:sz w:val="16"/>
          <w:szCs w:val="16"/>
        </w:rPr>
        <w:t>,</w:t>
      </w:r>
      <w:r w:rsidRPr="005C6DF4">
        <w:rPr>
          <w:sz w:val="16"/>
          <w:szCs w:val="16"/>
        </w:rPr>
        <w:t xml:space="preserve"> tai programai privalomi</w:t>
      </w:r>
      <w:r w:rsidRPr="00036331">
        <w:rPr>
          <w:sz w:val="16"/>
          <w:szCs w:val="16"/>
        </w:rPr>
        <w:t xml:space="preserve"> </w:t>
      </w:r>
      <w:r w:rsidRPr="005C6DF4">
        <w:rPr>
          <w:sz w:val="16"/>
          <w:szCs w:val="16"/>
        </w:rPr>
        <w:t xml:space="preserve">rezultato </w:t>
      </w:r>
      <w:r w:rsidRPr="00036331">
        <w:rPr>
          <w:sz w:val="16"/>
          <w:szCs w:val="16"/>
        </w:rPr>
        <w:t>rodikliai.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C7A4" w14:textId="56AF6FDC" w:rsidR="004615D9" w:rsidRPr="00C46023" w:rsidRDefault="004615D9" w:rsidP="00C46023">
    <w:pPr>
      <w:pStyle w:val="Header"/>
      <w:jc w:val="right"/>
      <w:rPr>
        <w:i/>
        <w:iCs/>
      </w:rPr>
    </w:pPr>
    <w:r w:rsidRPr="00C46023">
      <w:rPr>
        <w:i/>
        <w:i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EA7"/>
    <w:multiLevelType w:val="hybridMultilevel"/>
    <w:tmpl w:val="C01CA8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3F5B"/>
    <w:multiLevelType w:val="multilevel"/>
    <w:tmpl w:val="B61A9E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B1776C"/>
    <w:multiLevelType w:val="multilevel"/>
    <w:tmpl w:val="D8A0F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4B7418"/>
    <w:multiLevelType w:val="hybridMultilevel"/>
    <w:tmpl w:val="57A6E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C7A34"/>
    <w:multiLevelType w:val="multilevel"/>
    <w:tmpl w:val="2E06E2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2A2281"/>
    <w:multiLevelType w:val="multilevel"/>
    <w:tmpl w:val="AC966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1C082A"/>
    <w:multiLevelType w:val="multilevel"/>
    <w:tmpl w:val="DF1A8F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4D61E5"/>
    <w:multiLevelType w:val="hybridMultilevel"/>
    <w:tmpl w:val="B81236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F0330"/>
    <w:multiLevelType w:val="hybridMultilevel"/>
    <w:tmpl w:val="BA1EB6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47E14"/>
    <w:multiLevelType w:val="hybridMultilevel"/>
    <w:tmpl w:val="4F34E84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A1DD7"/>
    <w:multiLevelType w:val="multilevel"/>
    <w:tmpl w:val="5FB66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674439E"/>
    <w:multiLevelType w:val="hybridMultilevel"/>
    <w:tmpl w:val="0596B9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7F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0F6882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E87955"/>
    <w:multiLevelType w:val="multilevel"/>
    <w:tmpl w:val="ECA86F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237BF6"/>
    <w:multiLevelType w:val="hybridMultilevel"/>
    <w:tmpl w:val="A1D280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62125"/>
    <w:multiLevelType w:val="multilevel"/>
    <w:tmpl w:val="A3660F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3"/>
  </w:num>
  <w:num w:numId="5">
    <w:abstractNumId w:val="14"/>
  </w:num>
  <w:num w:numId="6">
    <w:abstractNumId w:val="10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1"/>
  </w:num>
  <w:num w:numId="15">
    <w:abstractNumId w:val="9"/>
  </w:num>
  <w:num w:numId="16">
    <w:abstractNumId w:val="4"/>
  </w:num>
  <w:num w:numId="17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74"/>
    <w:rsid w:val="00003BD9"/>
    <w:rsid w:val="00005CF1"/>
    <w:rsid w:val="000066A0"/>
    <w:rsid w:val="0000730D"/>
    <w:rsid w:val="00007F49"/>
    <w:rsid w:val="00010470"/>
    <w:rsid w:val="00011064"/>
    <w:rsid w:val="00012566"/>
    <w:rsid w:val="0001428A"/>
    <w:rsid w:val="00016435"/>
    <w:rsid w:val="0002161F"/>
    <w:rsid w:val="00021777"/>
    <w:rsid w:val="000224D9"/>
    <w:rsid w:val="000235EF"/>
    <w:rsid w:val="00023EB4"/>
    <w:rsid w:val="0002400B"/>
    <w:rsid w:val="000240C4"/>
    <w:rsid w:val="00025A15"/>
    <w:rsid w:val="00025E5D"/>
    <w:rsid w:val="00032985"/>
    <w:rsid w:val="00032A11"/>
    <w:rsid w:val="00033474"/>
    <w:rsid w:val="00034B9C"/>
    <w:rsid w:val="000357D7"/>
    <w:rsid w:val="00036331"/>
    <w:rsid w:val="000377CF"/>
    <w:rsid w:val="0004312B"/>
    <w:rsid w:val="000454D2"/>
    <w:rsid w:val="000462CE"/>
    <w:rsid w:val="00046A43"/>
    <w:rsid w:val="00046B5B"/>
    <w:rsid w:val="00046DFE"/>
    <w:rsid w:val="00047168"/>
    <w:rsid w:val="00047353"/>
    <w:rsid w:val="0004745C"/>
    <w:rsid w:val="00050427"/>
    <w:rsid w:val="00050787"/>
    <w:rsid w:val="00050AC5"/>
    <w:rsid w:val="00053D41"/>
    <w:rsid w:val="00054160"/>
    <w:rsid w:val="00054368"/>
    <w:rsid w:val="00054BB3"/>
    <w:rsid w:val="00055853"/>
    <w:rsid w:val="00056FB8"/>
    <w:rsid w:val="000630FA"/>
    <w:rsid w:val="000642F0"/>
    <w:rsid w:val="00065EFF"/>
    <w:rsid w:val="00070ED6"/>
    <w:rsid w:val="00071480"/>
    <w:rsid w:val="000742A7"/>
    <w:rsid w:val="00074969"/>
    <w:rsid w:val="00076D48"/>
    <w:rsid w:val="000774BE"/>
    <w:rsid w:val="00077C8F"/>
    <w:rsid w:val="0007A9E1"/>
    <w:rsid w:val="00082874"/>
    <w:rsid w:val="000836B2"/>
    <w:rsid w:val="00085E83"/>
    <w:rsid w:val="0008625D"/>
    <w:rsid w:val="00091892"/>
    <w:rsid w:val="0009203C"/>
    <w:rsid w:val="00092362"/>
    <w:rsid w:val="00092B6D"/>
    <w:rsid w:val="00093EA2"/>
    <w:rsid w:val="000964F9"/>
    <w:rsid w:val="000A03C5"/>
    <w:rsid w:val="000A08DE"/>
    <w:rsid w:val="000A1373"/>
    <w:rsid w:val="000A170B"/>
    <w:rsid w:val="000A1A12"/>
    <w:rsid w:val="000A207E"/>
    <w:rsid w:val="000A21E6"/>
    <w:rsid w:val="000A3814"/>
    <w:rsid w:val="000A3FD2"/>
    <w:rsid w:val="000A6719"/>
    <w:rsid w:val="000B1AF5"/>
    <w:rsid w:val="000B25D8"/>
    <w:rsid w:val="000B2D7C"/>
    <w:rsid w:val="000B32E6"/>
    <w:rsid w:val="000B64D6"/>
    <w:rsid w:val="000B6563"/>
    <w:rsid w:val="000B6792"/>
    <w:rsid w:val="000B6BF3"/>
    <w:rsid w:val="000B77E1"/>
    <w:rsid w:val="000C79FA"/>
    <w:rsid w:val="000D2487"/>
    <w:rsid w:val="000D3EFE"/>
    <w:rsid w:val="000D458B"/>
    <w:rsid w:val="000D655D"/>
    <w:rsid w:val="000D681E"/>
    <w:rsid w:val="000E1F0C"/>
    <w:rsid w:val="000E25E3"/>
    <w:rsid w:val="000E275C"/>
    <w:rsid w:val="000E4D5A"/>
    <w:rsid w:val="000E4D83"/>
    <w:rsid w:val="000E4F16"/>
    <w:rsid w:val="000E5307"/>
    <w:rsid w:val="000E70C8"/>
    <w:rsid w:val="000E7A99"/>
    <w:rsid w:val="000F0911"/>
    <w:rsid w:val="000F1A2D"/>
    <w:rsid w:val="000F29BB"/>
    <w:rsid w:val="000F5CE6"/>
    <w:rsid w:val="000F76EB"/>
    <w:rsid w:val="000F784B"/>
    <w:rsid w:val="00100127"/>
    <w:rsid w:val="001019BD"/>
    <w:rsid w:val="00103F4D"/>
    <w:rsid w:val="00105F91"/>
    <w:rsid w:val="00110E16"/>
    <w:rsid w:val="00112CF4"/>
    <w:rsid w:val="001139B0"/>
    <w:rsid w:val="00114677"/>
    <w:rsid w:val="00115372"/>
    <w:rsid w:val="00115A40"/>
    <w:rsid w:val="00120409"/>
    <w:rsid w:val="00123229"/>
    <w:rsid w:val="00124886"/>
    <w:rsid w:val="00127F12"/>
    <w:rsid w:val="00131D30"/>
    <w:rsid w:val="001328F7"/>
    <w:rsid w:val="00135B47"/>
    <w:rsid w:val="00136258"/>
    <w:rsid w:val="001370C8"/>
    <w:rsid w:val="00137624"/>
    <w:rsid w:val="001379D4"/>
    <w:rsid w:val="00140F97"/>
    <w:rsid w:val="00144CA5"/>
    <w:rsid w:val="00145275"/>
    <w:rsid w:val="00146E0E"/>
    <w:rsid w:val="001500CF"/>
    <w:rsid w:val="0015216F"/>
    <w:rsid w:val="00153A38"/>
    <w:rsid w:val="001555EE"/>
    <w:rsid w:val="00155C47"/>
    <w:rsid w:val="00155DC2"/>
    <w:rsid w:val="0015729A"/>
    <w:rsid w:val="001577E4"/>
    <w:rsid w:val="0016188F"/>
    <w:rsid w:val="00162381"/>
    <w:rsid w:val="00163567"/>
    <w:rsid w:val="001639A5"/>
    <w:rsid w:val="0017147F"/>
    <w:rsid w:val="0017151F"/>
    <w:rsid w:val="00171E58"/>
    <w:rsid w:val="0017308F"/>
    <w:rsid w:val="00173A2E"/>
    <w:rsid w:val="00175409"/>
    <w:rsid w:val="001757B8"/>
    <w:rsid w:val="00177533"/>
    <w:rsid w:val="0017797F"/>
    <w:rsid w:val="00180752"/>
    <w:rsid w:val="00180CAD"/>
    <w:rsid w:val="0018373E"/>
    <w:rsid w:val="00184FC3"/>
    <w:rsid w:val="0018690F"/>
    <w:rsid w:val="00190679"/>
    <w:rsid w:val="0019176D"/>
    <w:rsid w:val="00191F89"/>
    <w:rsid w:val="00192FCF"/>
    <w:rsid w:val="00194702"/>
    <w:rsid w:val="00195DAA"/>
    <w:rsid w:val="00197878"/>
    <w:rsid w:val="001A315B"/>
    <w:rsid w:val="001A40FD"/>
    <w:rsid w:val="001A4AB8"/>
    <w:rsid w:val="001A4CFD"/>
    <w:rsid w:val="001A5935"/>
    <w:rsid w:val="001B1057"/>
    <w:rsid w:val="001B2D3A"/>
    <w:rsid w:val="001B38AA"/>
    <w:rsid w:val="001B39A2"/>
    <w:rsid w:val="001B4AEC"/>
    <w:rsid w:val="001B610C"/>
    <w:rsid w:val="001B6389"/>
    <w:rsid w:val="001B7C40"/>
    <w:rsid w:val="001C2F60"/>
    <w:rsid w:val="001C3B79"/>
    <w:rsid w:val="001C3DEB"/>
    <w:rsid w:val="001C483B"/>
    <w:rsid w:val="001C6FA3"/>
    <w:rsid w:val="001C7B1D"/>
    <w:rsid w:val="001C7D7B"/>
    <w:rsid w:val="001D2445"/>
    <w:rsid w:val="001D352A"/>
    <w:rsid w:val="001D4596"/>
    <w:rsid w:val="001D493F"/>
    <w:rsid w:val="001D6507"/>
    <w:rsid w:val="001E34C1"/>
    <w:rsid w:val="001E3E8B"/>
    <w:rsid w:val="001E4640"/>
    <w:rsid w:val="001E4CE7"/>
    <w:rsid w:val="001E5149"/>
    <w:rsid w:val="001E6748"/>
    <w:rsid w:val="001E67A5"/>
    <w:rsid w:val="001E735A"/>
    <w:rsid w:val="001E74A1"/>
    <w:rsid w:val="001F2DD4"/>
    <w:rsid w:val="001F41DA"/>
    <w:rsid w:val="00200355"/>
    <w:rsid w:val="00203C94"/>
    <w:rsid w:val="0020434A"/>
    <w:rsid w:val="0020451D"/>
    <w:rsid w:val="002062EA"/>
    <w:rsid w:val="00206D3B"/>
    <w:rsid w:val="002071DE"/>
    <w:rsid w:val="00210B2E"/>
    <w:rsid w:val="00211D37"/>
    <w:rsid w:val="0021417F"/>
    <w:rsid w:val="002147F1"/>
    <w:rsid w:val="00215FD8"/>
    <w:rsid w:val="002163F8"/>
    <w:rsid w:val="00217A67"/>
    <w:rsid w:val="00217D98"/>
    <w:rsid w:val="002202A3"/>
    <w:rsid w:val="002205AD"/>
    <w:rsid w:val="002219A5"/>
    <w:rsid w:val="00223B5A"/>
    <w:rsid w:val="00226C49"/>
    <w:rsid w:val="00231BF6"/>
    <w:rsid w:val="00231F8C"/>
    <w:rsid w:val="002329B0"/>
    <w:rsid w:val="00232BA5"/>
    <w:rsid w:val="00234AE2"/>
    <w:rsid w:val="0023546F"/>
    <w:rsid w:val="002368E1"/>
    <w:rsid w:val="002377DB"/>
    <w:rsid w:val="002378CB"/>
    <w:rsid w:val="00237E1C"/>
    <w:rsid w:val="002404D7"/>
    <w:rsid w:val="00240B0E"/>
    <w:rsid w:val="00241C69"/>
    <w:rsid w:val="0024470F"/>
    <w:rsid w:val="002455DC"/>
    <w:rsid w:val="00247BB5"/>
    <w:rsid w:val="00250913"/>
    <w:rsid w:val="002515EB"/>
    <w:rsid w:val="00252066"/>
    <w:rsid w:val="00254D4D"/>
    <w:rsid w:val="00255055"/>
    <w:rsid w:val="0025541C"/>
    <w:rsid w:val="00260EEE"/>
    <w:rsid w:val="002611DA"/>
    <w:rsid w:val="00261A2A"/>
    <w:rsid w:val="00261BFF"/>
    <w:rsid w:val="00264E8C"/>
    <w:rsid w:val="00266CCE"/>
    <w:rsid w:val="00270AE5"/>
    <w:rsid w:val="00270F81"/>
    <w:rsid w:val="00271D52"/>
    <w:rsid w:val="00271E72"/>
    <w:rsid w:val="00274412"/>
    <w:rsid w:val="00276754"/>
    <w:rsid w:val="002771A3"/>
    <w:rsid w:val="0028178C"/>
    <w:rsid w:val="00282023"/>
    <w:rsid w:val="0028397F"/>
    <w:rsid w:val="00284B84"/>
    <w:rsid w:val="00284F26"/>
    <w:rsid w:val="00286E18"/>
    <w:rsid w:val="00286F0C"/>
    <w:rsid w:val="00287AF4"/>
    <w:rsid w:val="00287ED8"/>
    <w:rsid w:val="002903F6"/>
    <w:rsid w:val="0029160D"/>
    <w:rsid w:val="00292357"/>
    <w:rsid w:val="002923A6"/>
    <w:rsid w:val="002975C5"/>
    <w:rsid w:val="00297FA1"/>
    <w:rsid w:val="002A107B"/>
    <w:rsid w:val="002A1BE9"/>
    <w:rsid w:val="002A27A2"/>
    <w:rsid w:val="002A2F64"/>
    <w:rsid w:val="002A3749"/>
    <w:rsid w:val="002A48D0"/>
    <w:rsid w:val="002A6C55"/>
    <w:rsid w:val="002A750B"/>
    <w:rsid w:val="002B1B5B"/>
    <w:rsid w:val="002B3287"/>
    <w:rsid w:val="002B6472"/>
    <w:rsid w:val="002B64EA"/>
    <w:rsid w:val="002C30FE"/>
    <w:rsid w:val="002C3F2D"/>
    <w:rsid w:val="002C42C5"/>
    <w:rsid w:val="002C484C"/>
    <w:rsid w:val="002C53CC"/>
    <w:rsid w:val="002C5604"/>
    <w:rsid w:val="002C6E56"/>
    <w:rsid w:val="002C79BA"/>
    <w:rsid w:val="002D0D9E"/>
    <w:rsid w:val="002D1922"/>
    <w:rsid w:val="002D3172"/>
    <w:rsid w:val="002D345F"/>
    <w:rsid w:val="002D3523"/>
    <w:rsid w:val="002D368D"/>
    <w:rsid w:val="002D3A1C"/>
    <w:rsid w:val="002D3E73"/>
    <w:rsid w:val="002D40C9"/>
    <w:rsid w:val="002D4D56"/>
    <w:rsid w:val="002D50F2"/>
    <w:rsid w:val="002D8E34"/>
    <w:rsid w:val="002E1B28"/>
    <w:rsid w:val="002E1ECC"/>
    <w:rsid w:val="002E3EB2"/>
    <w:rsid w:val="002E4549"/>
    <w:rsid w:val="002E50AF"/>
    <w:rsid w:val="002E51C9"/>
    <w:rsid w:val="002E68C7"/>
    <w:rsid w:val="002E6AFE"/>
    <w:rsid w:val="002E7BA1"/>
    <w:rsid w:val="002F00F3"/>
    <w:rsid w:val="002F050C"/>
    <w:rsid w:val="002F1310"/>
    <w:rsid w:val="002F5C6E"/>
    <w:rsid w:val="002F5D4F"/>
    <w:rsid w:val="002F7A2A"/>
    <w:rsid w:val="002F7B41"/>
    <w:rsid w:val="00302767"/>
    <w:rsid w:val="00302AC6"/>
    <w:rsid w:val="003053D9"/>
    <w:rsid w:val="00307353"/>
    <w:rsid w:val="00307B66"/>
    <w:rsid w:val="00310DF5"/>
    <w:rsid w:val="0031189D"/>
    <w:rsid w:val="00315311"/>
    <w:rsid w:val="00315FB8"/>
    <w:rsid w:val="00316F79"/>
    <w:rsid w:val="00317961"/>
    <w:rsid w:val="0032149D"/>
    <w:rsid w:val="00322CBB"/>
    <w:rsid w:val="00323606"/>
    <w:rsid w:val="00324AF1"/>
    <w:rsid w:val="00324CE5"/>
    <w:rsid w:val="00325528"/>
    <w:rsid w:val="00330EC9"/>
    <w:rsid w:val="00333801"/>
    <w:rsid w:val="003361A3"/>
    <w:rsid w:val="00337FD8"/>
    <w:rsid w:val="00341A98"/>
    <w:rsid w:val="0034254B"/>
    <w:rsid w:val="0034319B"/>
    <w:rsid w:val="0034465D"/>
    <w:rsid w:val="00344F7A"/>
    <w:rsid w:val="00344FF8"/>
    <w:rsid w:val="003457EF"/>
    <w:rsid w:val="0034636E"/>
    <w:rsid w:val="00346BA7"/>
    <w:rsid w:val="00350CB4"/>
    <w:rsid w:val="003511FF"/>
    <w:rsid w:val="003518AE"/>
    <w:rsid w:val="00352852"/>
    <w:rsid w:val="003529B3"/>
    <w:rsid w:val="003540FE"/>
    <w:rsid w:val="00355186"/>
    <w:rsid w:val="0035755F"/>
    <w:rsid w:val="003610E2"/>
    <w:rsid w:val="00362195"/>
    <w:rsid w:val="00362519"/>
    <w:rsid w:val="003631EA"/>
    <w:rsid w:val="00364D26"/>
    <w:rsid w:val="00365425"/>
    <w:rsid w:val="003659E7"/>
    <w:rsid w:val="00365CC9"/>
    <w:rsid w:val="00366151"/>
    <w:rsid w:val="00367CE3"/>
    <w:rsid w:val="0037024D"/>
    <w:rsid w:val="003713A3"/>
    <w:rsid w:val="00371586"/>
    <w:rsid w:val="00372BC1"/>
    <w:rsid w:val="0037371A"/>
    <w:rsid w:val="00373D20"/>
    <w:rsid w:val="0037429E"/>
    <w:rsid w:val="003750B9"/>
    <w:rsid w:val="00376426"/>
    <w:rsid w:val="0038032D"/>
    <w:rsid w:val="00380F66"/>
    <w:rsid w:val="00381587"/>
    <w:rsid w:val="003826E5"/>
    <w:rsid w:val="00382CD7"/>
    <w:rsid w:val="003854A5"/>
    <w:rsid w:val="003865B8"/>
    <w:rsid w:val="00387905"/>
    <w:rsid w:val="0039014E"/>
    <w:rsid w:val="00394A5B"/>
    <w:rsid w:val="00394CBC"/>
    <w:rsid w:val="003955B8"/>
    <w:rsid w:val="0039792A"/>
    <w:rsid w:val="003979FF"/>
    <w:rsid w:val="003A1AD9"/>
    <w:rsid w:val="003A3C8B"/>
    <w:rsid w:val="003B0C79"/>
    <w:rsid w:val="003B1987"/>
    <w:rsid w:val="003B1B8A"/>
    <w:rsid w:val="003B2CDF"/>
    <w:rsid w:val="003B2FAE"/>
    <w:rsid w:val="003B30A1"/>
    <w:rsid w:val="003B4404"/>
    <w:rsid w:val="003B4CCD"/>
    <w:rsid w:val="003B7D9C"/>
    <w:rsid w:val="003C07BE"/>
    <w:rsid w:val="003C1937"/>
    <w:rsid w:val="003C1FFC"/>
    <w:rsid w:val="003C3047"/>
    <w:rsid w:val="003C3BDA"/>
    <w:rsid w:val="003C44C5"/>
    <w:rsid w:val="003C51C9"/>
    <w:rsid w:val="003D053A"/>
    <w:rsid w:val="003D15D0"/>
    <w:rsid w:val="003D1F83"/>
    <w:rsid w:val="003D2490"/>
    <w:rsid w:val="003D2D41"/>
    <w:rsid w:val="003D2E41"/>
    <w:rsid w:val="003D527E"/>
    <w:rsid w:val="003D7B0C"/>
    <w:rsid w:val="003E0817"/>
    <w:rsid w:val="003E1225"/>
    <w:rsid w:val="003E241C"/>
    <w:rsid w:val="003E2604"/>
    <w:rsid w:val="003E2E13"/>
    <w:rsid w:val="003E4586"/>
    <w:rsid w:val="003E4933"/>
    <w:rsid w:val="003E60B3"/>
    <w:rsid w:val="003E77A4"/>
    <w:rsid w:val="003F04C1"/>
    <w:rsid w:val="003F0A92"/>
    <w:rsid w:val="003F11BD"/>
    <w:rsid w:val="003F3E26"/>
    <w:rsid w:val="003F5676"/>
    <w:rsid w:val="00400228"/>
    <w:rsid w:val="00400A4F"/>
    <w:rsid w:val="00403EE0"/>
    <w:rsid w:val="00404570"/>
    <w:rsid w:val="00405DA9"/>
    <w:rsid w:val="00407A4B"/>
    <w:rsid w:val="00407E2D"/>
    <w:rsid w:val="004100BE"/>
    <w:rsid w:val="00411410"/>
    <w:rsid w:val="004136A8"/>
    <w:rsid w:val="00414208"/>
    <w:rsid w:val="0041639B"/>
    <w:rsid w:val="00424A75"/>
    <w:rsid w:val="004251FD"/>
    <w:rsid w:val="00425406"/>
    <w:rsid w:val="004263CF"/>
    <w:rsid w:val="0042778B"/>
    <w:rsid w:val="00430674"/>
    <w:rsid w:val="00431908"/>
    <w:rsid w:val="00432FD3"/>
    <w:rsid w:val="0043327A"/>
    <w:rsid w:val="00434FFF"/>
    <w:rsid w:val="004358E8"/>
    <w:rsid w:val="004377CF"/>
    <w:rsid w:val="004378EE"/>
    <w:rsid w:val="00445234"/>
    <w:rsid w:val="004469E4"/>
    <w:rsid w:val="0044700A"/>
    <w:rsid w:val="00450B49"/>
    <w:rsid w:val="00450F96"/>
    <w:rsid w:val="00451700"/>
    <w:rsid w:val="00451939"/>
    <w:rsid w:val="00451A9E"/>
    <w:rsid w:val="00452AAF"/>
    <w:rsid w:val="00453E7A"/>
    <w:rsid w:val="004555CF"/>
    <w:rsid w:val="0045584F"/>
    <w:rsid w:val="0045748B"/>
    <w:rsid w:val="00457F6D"/>
    <w:rsid w:val="004615D9"/>
    <w:rsid w:val="0046291D"/>
    <w:rsid w:val="00464747"/>
    <w:rsid w:val="004655D1"/>
    <w:rsid w:val="00466BB9"/>
    <w:rsid w:val="004703F5"/>
    <w:rsid w:val="00470D4B"/>
    <w:rsid w:val="00470E68"/>
    <w:rsid w:val="004716CC"/>
    <w:rsid w:val="00473A21"/>
    <w:rsid w:val="00475171"/>
    <w:rsid w:val="00475366"/>
    <w:rsid w:val="00475B9E"/>
    <w:rsid w:val="00475E13"/>
    <w:rsid w:val="004821D2"/>
    <w:rsid w:val="00482266"/>
    <w:rsid w:val="00482902"/>
    <w:rsid w:val="00482B56"/>
    <w:rsid w:val="00482E10"/>
    <w:rsid w:val="004833E9"/>
    <w:rsid w:val="00484EBA"/>
    <w:rsid w:val="004876E5"/>
    <w:rsid w:val="004877A1"/>
    <w:rsid w:val="00490438"/>
    <w:rsid w:val="00490B46"/>
    <w:rsid w:val="004913A5"/>
    <w:rsid w:val="00494321"/>
    <w:rsid w:val="00494F31"/>
    <w:rsid w:val="00495652"/>
    <w:rsid w:val="00496B42"/>
    <w:rsid w:val="004A152B"/>
    <w:rsid w:val="004A267B"/>
    <w:rsid w:val="004A2FE0"/>
    <w:rsid w:val="004A4DE5"/>
    <w:rsid w:val="004A5F41"/>
    <w:rsid w:val="004A6DF6"/>
    <w:rsid w:val="004B4D36"/>
    <w:rsid w:val="004B53D8"/>
    <w:rsid w:val="004B5D9D"/>
    <w:rsid w:val="004B60F8"/>
    <w:rsid w:val="004B758E"/>
    <w:rsid w:val="004C210D"/>
    <w:rsid w:val="004C43BE"/>
    <w:rsid w:val="004C44BD"/>
    <w:rsid w:val="004C48A9"/>
    <w:rsid w:val="004C53A7"/>
    <w:rsid w:val="004C6650"/>
    <w:rsid w:val="004C7E34"/>
    <w:rsid w:val="004D06FA"/>
    <w:rsid w:val="004D11D5"/>
    <w:rsid w:val="004D21C5"/>
    <w:rsid w:val="004D2C5D"/>
    <w:rsid w:val="004D32F1"/>
    <w:rsid w:val="004E0C00"/>
    <w:rsid w:val="004E1B1D"/>
    <w:rsid w:val="004E6271"/>
    <w:rsid w:val="004E6B69"/>
    <w:rsid w:val="004E7ABF"/>
    <w:rsid w:val="004F1B96"/>
    <w:rsid w:val="004F2C85"/>
    <w:rsid w:val="004F2CA3"/>
    <w:rsid w:val="004F30EF"/>
    <w:rsid w:val="004F3739"/>
    <w:rsid w:val="004F4E42"/>
    <w:rsid w:val="004F5957"/>
    <w:rsid w:val="004F5AED"/>
    <w:rsid w:val="004F69E9"/>
    <w:rsid w:val="00500322"/>
    <w:rsid w:val="005004F3"/>
    <w:rsid w:val="00501561"/>
    <w:rsid w:val="00501597"/>
    <w:rsid w:val="005043BF"/>
    <w:rsid w:val="00504D49"/>
    <w:rsid w:val="00510400"/>
    <w:rsid w:val="00511099"/>
    <w:rsid w:val="00514E6A"/>
    <w:rsid w:val="005177CB"/>
    <w:rsid w:val="00517CF6"/>
    <w:rsid w:val="0052039E"/>
    <w:rsid w:val="005205C8"/>
    <w:rsid w:val="00520BB1"/>
    <w:rsid w:val="0052216E"/>
    <w:rsid w:val="00523914"/>
    <w:rsid w:val="00523C29"/>
    <w:rsid w:val="005247F1"/>
    <w:rsid w:val="00524F89"/>
    <w:rsid w:val="005260DE"/>
    <w:rsid w:val="00530073"/>
    <w:rsid w:val="00533528"/>
    <w:rsid w:val="00535371"/>
    <w:rsid w:val="00536632"/>
    <w:rsid w:val="00536E6B"/>
    <w:rsid w:val="00540C73"/>
    <w:rsid w:val="005421A9"/>
    <w:rsid w:val="005441EC"/>
    <w:rsid w:val="00544213"/>
    <w:rsid w:val="0054453C"/>
    <w:rsid w:val="00544BA6"/>
    <w:rsid w:val="00545ACB"/>
    <w:rsid w:val="0054670D"/>
    <w:rsid w:val="00547C74"/>
    <w:rsid w:val="005516A5"/>
    <w:rsid w:val="005533C2"/>
    <w:rsid w:val="00553707"/>
    <w:rsid w:val="00555908"/>
    <w:rsid w:val="00560C05"/>
    <w:rsid w:val="00561185"/>
    <w:rsid w:val="00562A9F"/>
    <w:rsid w:val="00562E99"/>
    <w:rsid w:val="00563581"/>
    <w:rsid w:val="005637C3"/>
    <w:rsid w:val="00563863"/>
    <w:rsid w:val="005638F1"/>
    <w:rsid w:val="005656EF"/>
    <w:rsid w:val="00567BF1"/>
    <w:rsid w:val="00571253"/>
    <w:rsid w:val="005736B8"/>
    <w:rsid w:val="005748A4"/>
    <w:rsid w:val="00574E5B"/>
    <w:rsid w:val="00577C20"/>
    <w:rsid w:val="005811B6"/>
    <w:rsid w:val="0058153A"/>
    <w:rsid w:val="00581B51"/>
    <w:rsid w:val="00583337"/>
    <w:rsid w:val="00584462"/>
    <w:rsid w:val="00585032"/>
    <w:rsid w:val="00585A1F"/>
    <w:rsid w:val="0058625C"/>
    <w:rsid w:val="005870BC"/>
    <w:rsid w:val="00590333"/>
    <w:rsid w:val="00591098"/>
    <w:rsid w:val="00591AC1"/>
    <w:rsid w:val="00592F35"/>
    <w:rsid w:val="00593C26"/>
    <w:rsid w:val="00593EE0"/>
    <w:rsid w:val="005A23E7"/>
    <w:rsid w:val="005A3FBB"/>
    <w:rsid w:val="005A7471"/>
    <w:rsid w:val="005B1293"/>
    <w:rsid w:val="005B1C93"/>
    <w:rsid w:val="005B2989"/>
    <w:rsid w:val="005B2A5E"/>
    <w:rsid w:val="005B4BD9"/>
    <w:rsid w:val="005B5003"/>
    <w:rsid w:val="005B598D"/>
    <w:rsid w:val="005B79FB"/>
    <w:rsid w:val="005C23C7"/>
    <w:rsid w:val="005C39A3"/>
    <w:rsid w:val="005C458C"/>
    <w:rsid w:val="005C59B4"/>
    <w:rsid w:val="005C5B4A"/>
    <w:rsid w:val="005C5D1F"/>
    <w:rsid w:val="005C5ECB"/>
    <w:rsid w:val="005C6DF4"/>
    <w:rsid w:val="005D0439"/>
    <w:rsid w:val="005D1BCC"/>
    <w:rsid w:val="005D1E98"/>
    <w:rsid w:val="005D2792"/>
    <w:rsid w:val="005D3CE2"/>
    <w:rsid w:val="005D6ECA"/>
    <w:rsid w:val="005D7700"/>
    <w:rsid w:val="005E0604"/>
    <w:rsid w:val="005E095D"/>
    <w:rsid w:val="005E0E79"/>
    <w:rsid w:val="005E1D46"/>
    <w:rsid w:val="005E24E9"/>
    <w:rsid w:val="005E4DF1"/>
    <w:rsid w:val="005E6078"/>
    <w:rsid w:val="005E622D"/>
    <w:rsid w:val="005E62B9"/>
    <w:rsid w:val="005E6380"/>
    <w:rsid w:val="005E6D71"/>
    <w:rsid w:val="005E6FB5"/>
    <w:rsid w:val="005E73A9"/>
    <w:rsid w:val="005F038F"/>
    <w:rsid w:val="005F0514"/>
    <w:rsid w:val="005F0F88"/>
    <w:rsid w:val="005F38D9"/>
    <w:rsid w:val="005F43C3"/>
    <w:rsid w:val="005F7A4F"/>
    <w:rsid w:val="005F7EAB"/>
    <w:rsid w:val="00601325"/>
    <w:rsid w:val="00603C96"/>
    <w:rsid w:val="00604271"/>
    <w:rsid w:val="00605DA2"/>
    <w:rsid w:val="00606360"/>
    <w:rsid w:val="00606389"/>
    <w:rsid w:val="00606689"/>
    <w:rsid w:val="006106A7"/>
    <w:rsid w:val="00610DF9"/>
    <w:rsid w:val="00611297"/>
    <w:rsid w:val="006201B1"/>
    <w:rsid w:val="00622E10"/>
    <w:rsid w:val="0062411E"/>
    <w:rsid w:val="00625311"/>
    <w:rsid w:val="00626350"/>
    <w:rsid w:val="0063051C"/>
    <w:rsid w:val="006322A0"/>
    <w:rsid w:val="00632D6F"/>
    <w:rsid w:val="006364BD"/>
    <w:rsid w:val="00636D2D"/>
    <w:rsid w:val="00636F0F"/>
    <w:rsid w:val="0063788C"/>
    <w:rsid w:val="006435AB"/>
    <w:rsid w:val="00644C77"/>
    <w:rsid w:val="006509AE"/>
    <w:rsid w:val="00650EBA"/>
    <w:rsid w:val="0065163F"/>
    <w:rsid w:val="00651C08"/>
    <w:rsid w:val="00654EE5"/>
    <w:rsid w:val="006559F7"/>
    <w:rsid w:val="00657D84"/>
    <w:rsid w:val="00660AEF"/>
    <w:rsid w:val="00661980"/>
    <w:rsid w:val="00662EB2"/>
    <w:rsid w:val="00663FCE"/>
    <w:rsid w:val="00664150"/>
    <w:rsid w:val="00665BE2"/>
    <w:rsid w:val="00666E60"/>
    <w:rsid w:val="00666F6F"/>
    <w:rsid w:val="006674A5"/>
    <w:rsid w:val="00670D01"/>
    <w:rsid w:val="00671F58"/>
    <w:rsid w:val="006727CC"/>
    <w:rsid w:val="006749A5"/>
    <w:rsid w:val="0067673C"/>
    <w:rsid w:val="00677B1E"/>
    <w:rsid w:val="006812B9"/>
    <w:rsid w:val="006813A0"/>
    <w:rsid w:val="00681763"/>
    <w:rsid w:val="0068248F"/>
    <w:rsid w:val="006824CC"/>
    <w:rsid w:val="00682DF1"/>
    <w:rsid w:val="00682F41"/>
    <w:rsid w:val="00683D5E"/>
    <w:rsid w:val="006859E1"/>
    <w:rsid w:val="00686389"/>
    <w:rsid w:val="00686471"/>
    <w:rsid w:val="00690A08"/>
    <w:rsid w:val="006935B2"/>
    <w:rsid w:val="00694073"/>
    <w:rsid w:val="00696F2C"/>
    <w:rsid w:val="006976D1"/>
    <w:rsid w:val="00697CE0"/>
    <w:rsid w:val="006A0E43"/>
    <w:rsid w:val="006A1E78"/>
    <w:rsid w:val="006A22E2"/>
    <w:rsid w:val="006A475D"/>
    <w:rsid w:val="006A4A77"/>
    <w:rsid w:val="006A4AE7"/>
    <w:rsid w:val="006B0D85"/>
    <w:rsid w:val="006B1591"/>
    <w:rsid w:val="006B19D7"/>
    <w:rsid w:val="006B2F9A"/>
    <w:rsid w:val="006B34AA"/>
    <w:rsid w:val="006B4EED"/>
    <w:rsid w:val="006B526A"/>
    <w:rsid w:val="006B75D2"/>
    <w:rsid w:val="006B7627"/>
    <w:rsid w:val="006C0163"/>
    <w:rsid w:val="006C0E16"/>
    <w:rsid w:val="006C3AF5"/>
    <w:rsid w:val="006C5A71"/>
    <w:rsid w:val="006C7E40"/>
    <w:rsid w:val="006D01B5"/>
    <w:rsid w:val="006D3ECB"/>
    <w:rsid w:val="006D529B"/>
    <w:rsid w:val="006D54BB"/>
    <w:rsid w:val="006D7BE9"/>
    <w:rsid w:val="006E10A9"/>
    <w:rsid w:val="006E145C"/>
    <w:rsid w:val="006E16C9"/>
    <w:rsid w:val="006E1C2A"/>
    <w:rsid w:val="006E43CA"/>
    <w:rsid w:val="006E463B"/>
    <w:rsid w:val="006E4B1D"/>
    <w:rsid w:val="006E5887"/>
    <w:rsid w:val="006F1334"/>
    <w:rsid w:val="006F1B78"/>
    <w:rsid w:val="006F5839"/>
    <w:rsid w:val="006F58A8"/>
    <w:rsid w:val="006F6BC1"/>
    <w:rsid w:val="00707292"/>
    <w:rsid w:val="00707C95"/>
    <w:rsid w:val="007101E8"/>
    <w:rsid w:val="00710EDE"/>
    <w:rsid w:val="0071193B"/>
    <w:rsid w:val="00711CB3"/>
    <w:rsid w:val="007121A2"/>
    <w:rsid w:val="00713051"/>
    <w:rsid w:val="007131DE"/>
    <w:rsid w:val="00715185"/>
    <w:rsid w:val="007152E1"/>
    <w:rsid w:val="00721C61"/>
    <w:rsid w:val="007220C2"/>
    <w:rsid w:val="00722AE9"/>
    <w:rsid w:val="00723400"/>
    <w:rsid w:val="007247C3"/>
    <w:rsid w:val="00725E51"/>
    <w:rsid w:val="0072623F"/>
    <w:rsid w:val="00730571"/>
    <w:rsid w:val="00730B9E"/>
    <w:rsid w:val="00732FB6"/>
    <w:rsid w:val="007331CE"/>
    <w:rsid w:val="00734808"/>
    <w:rsid w:val="0073605B"/>
    <w:rsid w:val="00740B25"/>
    <w:rsid w:val="00741C32"/>
    <w:rsid w:val="00742585"/>
    <w:rsid w:val="00747BC9"/>
    <w:rsid w:val="00747DFD"/>
    <w:rsid w:val="00750864"/>
    <w:rsid w:val="0075186E"/>
    <w:rsid w:val="007523AC"/>
    <w:rsid w:val="007537EC"/>
    <w:rsid w:val="0075422F"/>
    <w:rsid w:val="0075647F"/>
    <w:rsid w:val="00756B4D"/>
    <w:rsid w:val="007609B5"/>
    <w:rsid w:val="00760B96"/>
    <w:rsid w:val="00761496"/>
    <w:rsid w:val="00762AC6"/>
    <w:rsid w:val="00763424"/>
    <w:rsid w:val="0076531D"/>
    <w:rsid w:val="007656E9"/>
    <w:rsid w:val="00765A8E"/>
    <w:rsid w:val="00765E25"/>
    <w:rsid w:val="00773220"/>
    <w:rsid w:val="00773980"/>
    <w:rsid w:val="007762D0"/>
    <w:rsid w:val="00776897"/>
    <w:rsid w:val="007769FC"/>
    <w:rsid w:val="007819E8"/>
    <w:rsid w:val="00784464"/>
    <w:rsid w:val="00784515"/>
    <w:rsid w:val="007845E4"/>
    <w:rsid w:val="0078534B"/>
    <w:rsid w:val="007919A4"/>
    <w:rsid w:val="0079433A"/>
    <w:rsid w:val="00797671"/>
    <w:rsid w:val="007A0661"/>
    <w:rsid w:val="007A0F44"/>
    <w:rsid w:val="007A1052"/>
    <w:rsid w:val="007A2F5D"/>
    <w:rsid w:val="007A4A60"/>
    <w:rsid w:val="007A5BF1"/>
    <w:rsid w:val="007B2499"/>
    <w:rsid w:val="007B32CF"/>
    <w:rsid w:val="007B3E81"/>
    <w:rsid w:val="007B5D74"/>
    <w:rsid w:val="007B68E5"/>
    <w:rsid w:val="007B6B94"/>
    <w:rsid w:val="007C4CB1"/>
    <w:rsid w:val="007C69B7"/>
    <w:rsid w:val="007D121A"/>
    <w:rsid w:val="007D175D"/>
    <w:rsid w:val="007D253E"/>
    <w:rsid w:val="007D27F1"/>
    <w:rsid w:val="007D3038"/>
    <w:rsid w:val="007D3C04"/>
    <w:rsid w:val="007D4F34"/>
    <w:rsid w:val="007D5C49"/>
    <w:rsid w:val="007D7110"/>
    <w:rsid w:val="007D7484"/>
    <w:rsid w:val="007D7E53"/>
    <w:rsid w:val="007E0673"/>
    <w:rsid w:val="007E12DA"/>
    <w:rsid w:val="007E1B8F"/>
    <w:rsid w:val="007E3386"/>
    <w:rsid w:val="007E3FC3"/>
    <w:rsid w:val="007E540E"/>
    <w:rsid w:val="007E5846"/>
    <w:rsid w:val="007E7A10"/>
    <w:rsid w:val="007F1633"/>
    <w:rsid w:val="007F220D"/>
    <w:rsid w:val="007F3E13"/>
    <w:rsid w:val="007F49DE"/>
    <w:rsid w:val="007F4AF5"/>
    <w:rsid w:val="007F5F38"/>
    <w:rsid w:val="0080035D"/>
    <w:rsid w:val="0080172F"/>
    <w:rsid w:val="00801FF3"/>
    <w:rsid w:val="00803201"/>
    <w:rsid w:val="008038F3"/>
    <w:rsid w:val="00804133"/>
    <w:rsid w:val="00804FC6"/>
    <w:rsid w:val="00805AD4"/>
    <w:rsid w:val="00811D86"/>
    <w:rsid w:val="008135A8"/>
    <w:rsid w:val="008142CC"/>
    <w:rsid w:val="008200C0"/>
    <w:rsid w:val="00824BE6"/>
    <w:rsid w:val="008254FE"/>
    <w:rsid w:val="008303B5"/>
    <w:rsid w:val="0083337E"/>
    <w:rsid w:val="008359DC"/>
    <w:rsid w:val="0084279B"/>
    <w:rsid w:val="00843E71"/>
    <w:rsid w:val="0085384B"/>
    <w:rsid w:val="00856EDA"/>
    <w:rsid w:val="008576A6"/>
    <w:rsid w:val="00857F35"/>
    <w:rsid w:val="008601B4"/>
    <w:rsid w:val="00864E17"/>
    <w:rsid w:val="00865C80"/>
    <w:rsid w:val="008663E3"/>
    <w:rsid w:val="008665EE"/>
    <w:rsid w:val="00870286"/>
    <w:rsid w:val="00870B35"/>
    <w:rsid w:val="00871BE8"/>
    <w:rsid w:val="008728D3"/>
    <w:rsid w:val="0087400E"/>
    <w:rsid w:val="0088032D"/>
    <w:rsid w:val="0088044E"/>
    <w:rsid w:val="0088185A"/>
    <w:rsid w:val="00882DE8"/>
    <w:rsid w:val="00883306"/>
    <w:rsid w:val="00885C3D"/>
    <w:rsid w:val="00886715"/>
    <w:rsid w:val="00886F1C"/>
    <w:rsid w:val="0088783B"/>
    <w:rsid w:val="0089052F"/>
    <w:rsid w:val="00892188"/>
    <w:rsid w:val="00894F38"/>
    <w:rsid w:val="008A0EE1"/>
    <w:rsid w:val="008A2D19"/>
    <w:rsid w:val="008A32F2"/>
    <w:rsid w:val="008A4604"/>
    <w:rsid w:val="008A53CB"/>
    <w:rsid w:val="008A5A84"/>
    <w:rsid w:val="008A650E"/>
    <w:rsid w:val="008A6C4A"/>
    <w:rsid w:val="008A6CE8"/>
    <w:rsid w:val="008A79EC"/>
    <w:rsid w:val="008A7CDF"/>
    <w:rsid w:val="008B09DC"/>
    <w:rsid w:val="008B2978"/>
    <w:rsid w:val="008B4480"/>
    <w:rsid w:val="008B4B93"/>
    <w:rsid w:val="008B5485"/>
    <w:rsid w:val="008B60B7"/>
    <w:rsid w:val="008B7423"/>
    <w:rsid w:val="008C064B"/>
    <w:rsid w:val="008C3DAE"/>
    <w:rsid w:val="008C3DC7"/>
    <w:rsid w:val="008C75F4"/>
    <w:rsid w:val="008D161E"/>
    <w:rsid w:val="008D1D05"/>
    <w:rsid w:val="008D596E"/>
    <w:rsid w:val="008D5F38"/>
    <w:rsid w:val="008E06E8"/>
    <w:rsid w:val="008E14B1"/>
    <w:rsid w:val="008E2897"/>
    <w:rsid w:val="008E29FA"/>
    <w:rsid w:val="008E3049"/>
    <w:rsid w:val="008E3383"/>
    <w:rsid w:val="008E3C68"/>
    <w:rsid w:val="008E6346"/>
    <w:rsid w:val="008E64A0"/>
    <w:rsid w:val="008E7648"/>
    <w:rsid w:val="008F03EC"/>
    <w:rsid w:val="008F2B09"/>
    <w:rsid w:val="008F38C3"/>
    <w:rsid w:val="008F3BEA"/>
    <w:rsid w:val="008F5992"/>
    <w:rsid w:val="008F74AD"/>
    <w:rsid w:val="00905755"/>
    <w:rsid w:val="00905D30"/>
    <w:rsid w:val="00906894"/>
    <w:rsid w:val="00914237"/>
    <w:rsid w:val="00917BF1"/>
    <w:rsid w:val="00921FCB"/>
    <w:rsid w:val="0092312B"/>
    <w:rsid w:val="009265B8"/>
    <w:rsid w:val="00926630"/>
    <w:rsid w:val="009303FA"/>
    <w:rsid w:val="009307A7"/>
    <w:rsid w:val="0093320B"/>
    <w:rsid w:val="00933886"/>
    <w:rsid w:val="00933B7D"/>
    <w:rsid w:val="00941ECC"/>
    <w:rsid w:val="00942AC5"/>
    <w:rsid w:val="00944107"/>
    <w:rsid w:val="009455CD"/>
    <w:rsid w:val="00947C9D"/>
    <w:rsid w:val="00950589"/>
    <w:rsid w:val="00951411"/>
    <w:rsid w:val="00951550"/>
    <w:rsid w:val="00954BF8"/>
    <w:rsid w:val="00954EEB"/>
    <w:rsid w:val="009551A4"/>
    <w:rsid w:val="009564D0"/>
    <w:rsid w:val="009568A0"/>
    <w:rsid w:val="00956C1E"/>
    <w:rsid w:val="0096146B"/>
    <w:rsid w:val="009651D5"/>
    <w:rsid w:val="00966190"/>
    <w:rsid w:val="00967A40"/>
    <w:rsid w:val="00967D78"/>
    <w:rsid w:val="0097341D"/>
    <w:rsid w:val="009739EF"/>
    <w:rsid w:val="00975761"/>
    <w:rsid w:val="00980284"/>
    <w:rsid w:val="00980883"/>
    <w:rsid w:val="00981040"/>
    <w:rsid w:val="009832FD"/>
    <w:rsid w:val="0098564F"/>
    <w:rsid w:val="009878AC"/>
    <w:rsid w:val="00987E97"/>
    <w:rsid w:val="00990207"/>
    <w:rsid w:val="0099198B"/>
    <w:rsid w:val="0099342A"/>
    <w:rsid w:val="00995F92"/>
    <w:rsid w:val="009A0560"/>
    <w:rsid w:val="009A099C"/>
    <w:rsid w:val="009A1B1A"/>
    <w:rsid w:val="009A2FDA"/>
    <w:rsid w:val="009A5D41"/>
    <w:rsid w:val="009A662F"/>
    <w:rsid w:val="009A6ABD"/>
    <w:rsid w:val="009B247D"/>
    <w:rsid w:val="009B29D1"/>
    <w:rsid w:val="009B3957"/>
    <w:rsid w:val="009B4714"/>
    <w:rsid w:val="009B4750"/>
    <w:rsid w:val="009B4A75"/>
    <w:rsid w:val="009B500F"/>
    <w:rsid w:val="009B6215"/>
    <w:rsid w:val="009B6811"/>
    <w:rsid w:val="009B691E"/>
    <w:rsid w:val="009B7237"/>
    <w:rsid w:val="009B7D68"/>
    <w:rsid w:val="009C0B0E"/>
    <w:rsid w:val="009C2709"/>
    <w:rsid w:val="009C6867"/>
    <w:rsid w:val="009C7CFE"/>
    <w:rsid w:val="009D3B8E"/>
    <w:rsid w:val="009D3BAD"/>
    <w:rsid w:val="009D3F75"/>
    <w:rsid w:val="009D45A7"/>
    <w:rsid w:val="009D5108"/>
    <w:rsid w:val="009D5391"/>
    <w:rsid w:val="009D7C2A"/>
    <w:rsid w:val="009E1857"/>
    <w:rsid w:val="009E265B"/>
    <w:rsid w:val="009E3766"/>
    <w:rsid w:val="009E3C7A"/>
    <w:rsid w:val="009E4A33"/>
    <w:rsid w:val="009E4B57"/>
    <w:rsid w:val="009E5ABD"/>
    <w:rsid w:val="009E69E2"/>
    <w:rsid w:val="009E6DFE"/>
    <w:rsid w:val="009F1B30"/>
    <w:rsid w:val="009F2473"/>
    <w:rsid w:val="009F25B0"/>
    <w:rsid w:val="009F280E"/>
    <w:rsid w:val="009F281E"/>
    <w:rsid w:val="009F4466"/>
    <w:rsid w:val="009F587E"/>
    <w:rsid w:val="009F69D5"/>
    <w:rsid w:val="009F6F13"/>
    <w:rsid w:val="009F72C4"/>
    <w:rsid w:val="00A00DB1"/>
    <w:rsid w:val="00A010D4"/>
    <w:rsid w:val="00A02F25"/>
    <w:rsid w:val="00A04A35"/>
    <w:rsid w:val="00A04A8F"/>
    <w:rsid w:val="00A05D5C"/>
    <w:rsid w:val="00A068B1"/>
    <w:rsid w:val="00A0735C"/>
    <w:rsid w:val="00A07739"/>
    <w:rsid w:val="00A07CB2"/>
    <w:rsid w:val="00A10927"/>
    <w:rsid w:val="00A10EE5"/>
    <w:rsid w:val="00A12A85"/>
    <w:rsid w:val="00A12C26"/>
    <w:rsid w:val="00A15F76"/>
    <w:rsid w:val="00A173DA"/>
    <w:rsid w:val="00A2155E"/>
    <w:rsid w:val="00A21EE9"/>
    <w:rsid w:val="00A22A43"/>
    <w:rsid w:val="00A22B94"/>
    <w:rsid w:val="00A23E44"/>
    <w:rsid w:val="00A23E7D"/>
    <w:rsid w:val="00A24226"/>
    <w:rsid w:val="00A24BF6"/>
    <w:rsid w:val="00A24DB0"/>
    <w:rsid w:val="00A2721F"/>
    <w:rsid w:val="00A311E6"/>
    <w:rsid w:val="00A32DF1"/>
    <w:rsid w:val="00A33252"/>
    <w:rsid w:val="00A34388"/>
    <w:rsid w:val="00A35603"/>
    <w:rsid w:val="00A379B3"/>
    <w:rsid w:val="00A4128B"/>
    <w:rsid w:val="00A43C80"/>
    <w:rsid w:val="00A43F20"/>
    <w:rsid w:val="00A44B82"/>
    <w:rsid w:val="00A47552"/>
    <w:rsid w:val="00A476B1"/>
    <w:rsid w:val="00A47E71"/>
    <w:rsid w:val="00A50FDB"/>
    <w:rsid w:val="00A522B3"/>
    <w:rsid w:val="00A52C00"/>
    <w:rsid w:val="00A535DE"/>
    <w:rsid w:val="00A54BBD"/>
    <w:rsid w:val="00A56DA3"/>
    <w:rsid w:val="00A576DD"/>
    <w:rsid w:val="00A60DD9"/>
    <w:rsid w:val="00A6226D"/>
    <w:rsid w:val="00A62C0E"/>
    <w:rsid w:val="00A6507F"/>
    <w:rsid w:val="00A65F8A"/>
    <w:rsid w:val="00A6632E"/>
    <w:rsid w:val="00A66937"/>
    <w:rsid w:val="00A670EF"/>
    <w:rsid w:val="00A67C1E"/>
    <w:rsid w:val="00A67E5A"/>
    <w:rsid w:val="00A70569"/>
    <w:rsid w:val="00A72527"/>
    <w:rsid w:val="00A73536"/>
    <w:rsid w:val="00A73871"/>
    <w:rsid w:val="00A75CBE"/>
    <w:rsid w:val="00A76208"/>
    <w:rsid w:val="00A76527"/>
    <w:rsid w:val="00A773C9"/>
    <w:rsid w:val="00A80ADA"/>
    <w:rsid w:val="00A83938"/>
    <w:rsid w:val="00A845D7"/>
    <w:rsid w:val="00A84B21"/>
    <w:rsid w:val="00A84B73"/>
    <w:rsid w:val="00A857B9"/>
    <w:rsid w:val="00A90A16"/>
    <w:rsid w:val="00A91C25"/>
    <w:rsid w:val="00A91F0C"/>
    <w:rsid w:val="00A92883"/>
    <w:rsid w:val="00A953E5"/>
    <w:rsid w:val="00A95423"/>
    <w:rsid w:val="00A96C08"/>
    <w:rsid w:val="00A96EE7"/>
    <w:rsid w:val="00A97D95"/>
    <w:rsid w:val="00AA20A1"/>
    <w:rsid w:val="00AA228D"/>
    <w:rsid w:val="00AA4E97"/>
    <w:rsid w:val="00AA58C0"/>
    <w:rsid w:val="00AA727A"/>
    <w:rsid w:val="00AA7DE7"/>
    <w:rsid w:val="00AB0491"/>
    <w:rsid w:val="00AB07E8"/>
    <w:rsid w:val="00AB3284"/>
    <w:rsid w:val="00AB3B23"/>
    <w:rsid w:val="00AB4D11"/>
    <w:rsid w:val="00AB5DE7"/>
    <w:rsid w:val="00AC02F4"/>
    <w:rsid w:val="00AC43EB"/>
    <w:rsid w:val="00AC4B6C"/>
    <w:rsid w:val="00AC5479"/>
    <w:rsid w:val="00AC6673"/>
    <w:rsid w:val="00AD350A"/>
    <w:rsid w:val="00AD460C"/>
    <w:rsid w:val="00AD4686"/>
    <w:rsid w:val="00AD46D5"/>
    <w:rsid w:val="00AD5497"/>
    <w:rsid w:val="00AD5789"/>
    <w:rsid w:val="00AD6BD6"/>
    <w:rsid w:val="00AE1920"/>
    <w:rsid w:val="00AE218C"/>
    <w:rsid w:val="00AE24D4"/>
    <w:rsid w:val="00AE2AE4"/>
    <w:rsid w:val="00AE337A"/>
    <w:rsid w:val="00AE396B"/>
    <w:rsid w:val="00AE6773"/>
    <w:rsid w:val="00AF0A0D"/>
    <w:rsid w:val="00AF25D0"/>
    <w:rsid w:val="00AF2A89"/>
    <w:rsid w:val="00AF2ACF"/>
    <w:rsid w:val="00AFB260"/>
    <w:rsid w:val="00B01B24"/>
    <w:rsid w:val="00B01EBF"/>
    <w:rsid w:val="00B029FB"/>
    <w:rsid w:val="00B02A2E"/>
    <w:rsid w:val="00B04236"/>
    <w:rsid w:val="00B04B3D"/>
    <w:rsid w:val="00B0591B"/>
    <w:rsid w:val="00B06DF8"/>
    <w:rsid w:val="00B075C5"/>
    <w:rsid w:val="00B07FFC"/>
    <w:rsid w:val="00B10A98"/>
    <w:rsid w:val="00B10E1E"/>
    <w:rsid w:val="00B11F69"/>
    <w:rsid w:val="00B122D0"/>
    <w:rsid w:val="00B12C12"/>
    <w:rsid w:val="00B14AA0"/>
    <w:rsid w:val="00B14FBF"/>
    <w:rsid w:val="00B20100"/>
    <w:rsid w:val="00B23499"/>
    <w:rsid w:val="00B23B1A"/>
    <w:rsid w:val="00B26476"/>
    <w:rsid w:val="00B26628"/>
    <w:rsid w:val="00B30111"/>
    <w:rsid w:val="00B318F7"/>
    <w:rsid w:val="00B32089"/>
    <w:rsid w:val="00B32B23"/>
    <w:rsid w:val="00B36295"/>
    <w:rsid w:val="00B40FAE"/>
    <w:rsid w:val="00B41326"/>
    <w:rsid w:val="00B41971"/>
    <w:rsid w:val="00B428D4"/>
    <w:rsid w:val="00B43181"/>
    <w:rsid w:val="00B43C0E"/>
    <w:rsid w:val="00B45312"/>
    <w:rsid w:val="00B46548"/>
    <w:rsid w:val="00B46E4B"/>
    <w:rsid w:val="00B5207B"/>
    <w:rsid w:val="00B531AB"/>
    <w:rsid w:val="00B53B81"/>
    <w:rsid w:val="00B54265"/>
    <w:rsid w:val="00B553D9"/>
    <w:rsid w:val="00B56526"/>
    <w:rsid w:val="00B56AAA"/>
    <w:rsid w:val="00B572AF"/>
    <w:rsid w:val="00B572D4"/>
    <w:rsid w:val="00B57A20"/>
    <w:rsid w:val="00B60EAA"/>
    <w:rsid w:val="00B61FB1"/>
    <w:rsid w:val="00B62710"/>
    <w:rsid w:val="00B64161"/>
    <w:rsid w:val="00B6479F"/>
    <w:rsid w:val="00B64CEF"/>
    <w:rsid w:val="00B64FD9"/>
    <w:rsid w:val="00B67E26"/>
    <w:rsid w:val="00B716D5"/>
    <w:rsid w:val="00B7378D"/>
    <w:rsid w:val="00B7384A"/>
    <w:rsid w:val="00B75709"/>
    <w:rsid w:val="00B75765"/>
    <w:rsid w:val="00B76875"/>
    <w:rsid w:val="00B7716E"/>
    <w:rsid w:val="00B83E28"/>
    <w:rsid w:val="00B84B0E"/>
    <w:rsid w:val="00B84F3D"/>
    <w:rsid w:val="00B85E48"/>
    <w:rsid w:val="00B864E4"/>
    <w:rsid w:val="00B906BF"/>
    <w:rsid w:val="00B92160"/>
    <w:rsid w:val="00B9234C"/>
    <w:rsid w:val="00B92982"/>
    <w:rsid w:val="00B9370D"/>
    <w:rsid w:val="00B9379F"/>
    <w:rsid w:val="00B9549B"/>
    <w:rsid w:val="00B9676C"/>
    <w:rsid w:val="00BA0002"/>
    <w:rsid w:val="00BA22FA"/>
    <w:rsid w:val="00BA341B"/>
    <w:rsid w:val="00BA3F54"/>
    <w:rsid w:val="00BA4B7F"/>
    <w:rsid w:val="00BA5504"/>
    <w:rsid w:val="00BA7778"/>
    <w:rsid w:val="00BB138B"/>
    <w:rsid w:val="00BB3EDA"/>
    <w:rsid w:val="00BB43C3"/>
    <w:rsid w:val="00BB4CBA"/>
    <w:rsid w:val="00BB5245"/>
    <w:rsid w:val="00BB68A3"/>
    <w:rsid w:val="00BC1705"/>
    <w:rsid w:val="00BC280E"/>
    <w:rsid w:val="00BC2C5A"/>
    <w:rsid w:val="00BC2CF7"/>
    <w:rsid w:val="00BC2EE0"/>
    <w:rsid w:val="00BC4486"/>
    <w:rsid w:val="00BC504B"/>
    <w:rsid w:val="00BC5BDA"/>
    <w:rsid w:val="00BC6DC3"/>
    <w:rsid w:val="00BC762F"/>
    <w:rsid w:val="00BC7A05"/>
    <w:rsid w:val="00BD00D3"/>
    <w:rsid w:val="00BD048B"/>
    <w:rsid w:val="00BD0823"/>
    <w:rsid w:val="00BD17AE"/>
    <w:rsid w:val="00BD28EA"/>
    <w:rsid w:val="00BD2B4F"/>
    <w:rsid w:val="00BD4D29"/>
    <w:rsid w:val="00BD5BA3"/>
    <w:rsid w:val="00BE15E8"/>
    <w:rsid w:val="00BE1A23"/>
    <w:rsid w:val="00BE1E8F"/>
    <w:rsid w:val="00BE232D"/>
    <w:rsid w:val="00BE2C11"/>
    <w:rsid w:val="00BE2D60"/>
    <w:rsid w:val="00BE536B"/>
    <w:rsid w:val="00BE6468"/>
    <w:rsid w:val="00BE6CC1"/>
    <w:rsid w:val="00BE6D79"/>
    <w:rsid w:val="00BE7547"/>
    <w:rsid w:val="00BF0241"/>
    <w:rsid w:val="00BF327F"/>
    <w:rsid w:val="00BF4244"/>
    <w:rsid w:val="00BF587A"/>
    <w:rsid w:val="00BF6D5F"/>
    <w:rsid w:val="00BF77F7"/>
    <w:rsid w:val="00BF7F98"/>
    <w:rsid w:val="00C00069"/>
    <w:rsid w:val="00C020D2"/>
    <w:rsid w:val="00C02382"/>
    <w:rsid w:val="00C02B1E"/>
    <w:rsid w:val="00C03CDB"/>
    <w:rsid w:val="00C047AC"/>
    <w:rsid w:val="00C048E2"/>
    <w:rsid w:val="00C04B9B"/>
    <w:rsid w:val="00C078BB"/>
    <w:rsid w:val="00C10131"/>
    <w:rsid w:val="00C10539"/>
    <w:rsid w:val="00C108CB"/>
    <w:rsid w:val="00C10C1A"/>
    <w:rsid w:val="00C1191E"/>
    <w:rsid w:val="00C121A1"/>
    <w:rsid w:val="00C12C81"/>
    <w:rsid w:val="00C135BF"/>
    <w:rsid w:val="00C14BE9"/>
    <w:rsid w:val="00C20379"/>
    <w:rsid w:val="00C21385"/>
    <w:rsid w:val="00C23293"/>
    <w:rsid w:val="00C25B44"/>
    <w:rsid w:val="00C26D9C"/>
    <w:rsid w:val="00C300D5"/>
    <w:rsid w:val="00C313B2"/>
    <w:rsid w:val="00C3317D"/>
    <w:rsid w:val="00C33E49"/>
    <w:rsid w:val="00C340DA"/>
    <w:rsid w:val="00C3540F"/>
    <w:rsid w:val="00C35591"/>
    <w:rsid w:val="00C35F90"/>
    <w:rsid w:val="00C3685E"/>
    <w:rsid w:val="00C36BD7"/>
    <w:rsid w:val="00C374D3"/>
    <w:rsid w:val="00C3755F"/>
    <w:rsid w:val="00C41BD5"/>
    <w:rsid w:val="00C41EDB"/>
    <w:rsid w:val="00C44E07"/>
    <w:rsid w:val="00C453A3"/>
    <w:rsid w:val="00C46023"/>
    <w:rsid w:val="00C50232"/>
    <w:rsid w:val="00C505C0"/>
    <w:rsid w:val="00C50793"/>
    <w:rsid w:val="00C535B1"/>
    <w:rsid w:val="00C5604A"/>
    <w:rsid w:val="00C57061"/>
    <w:rsid w:val="00C57220"/>
    <w:rsid w:val="00C6260A"/>
    <w:rsid w:val="00C62A16"/>
    <w:rsid w:val="00C62AF6"/>
    <w:rsid w:val="00C64A26"/>
    <w:rsid w:val="00C659CB"/>
    <w:rsid w:val="00C70B6E"/>
    <w:rsid w:val="00C715DB"/>
    <w:rsid w:val="00C72225"/>
    <w:rsid w:val="00C72811"/>
    <w:rsid w:val="00C74622"/>
    <w:rsid w:val="00C7581F"/>
    <w:rsid w:val="00C77276"/>
    <w:rsid w:val="00C7753E"/>
    <w:rsid w:val="00C77E58"/>
    <w:rsid w:val="00C809C3"/>
    <w:rsid w:val="00C82F55"/>
    <w:rsid w:val="00C837D1"/>
    <w:rsid w:val="00C86FDA"/>
    <w:rsid w:val="00C87BC4"/>
    <w:rsid w:val="00C90A13"/>
    <w:rsid w:val="00C90A36"/>
    <w:rsid w:val="00C916C8"/>
    <w:rsid w:val="00C922AC"/>
    <w:rsid w:val="00C94B40"/>
    <w:rsid w:val="00C95A79"/>
    <w:rsid w:val="00C97E60"/>
    <w:rsid w:val="00CA2315"/>
    <w:rsid w:val="00CA2499"/>
    <w:rsid w:val="00CA2E85"/>
    <w:rsid w:val="00CA34C5"/>
    <w:rsid w:val="00CA6AE7"/>
    <w:rsid w:val="00CA6FB5"/>
    <w:rsid w:val="00CB1B32"/>
    <w:rsid w:val="00CB2790"/>
    <w:rsid w:val="00CB358A"/>
    <w:rsid w:val="00CB3EE9"/>
    <w:rsid w:val="00CB505F"/>
    <w:rsid w:val="00CB5A04"/>
    <w:rsid w:val="00CB5E7A"/>
    <w:rsid w:val="00CB7C2A"/>
    <w:rsid w:val="00CC0FDC"/>
    <w:rsid w:val="00CC12D8"/>
    <w:rsid w:val="00CC291B"/>
    <w:rsid w:val="00CC45B2"/>
    <w:rsid w:val="00CC472C"/>
    <w:rsid w:val="00CC5833"/>
    <w:rsid w:val="00CC5D17"/>
    <w:rsid w:val="00CC60A4"/>
    <w:rsid w:val="00CC77DC"/>
    <w:rsid w:val="00CC7EAB"/>
    <w:rsid w:val="00CD32C6"/>
    <w:rsid w:val="00CD4C0A"/>
    <w:rsid w:val="00CD62FD"/>
    <w:rsid w:val="00CD68EB"/>
    <w:rsid w:val="00CD6976"/>
    <w:rsid w:val="00CE0859"/>
    <w:rsid w:val="00CE0DF1"/>
    <w:rsid w:val="00CE189C"/>
    <w:rsid w:val="00CE276F"/>
    <w:rsid w:val="00CE441A"/>
    <w:rsid w:val="00CE53AB"/>
    <w:rsid w:val="00CE61D8"/>
    <w:rsid w:val="00CE72A6"/>
    <w:rsid w:val="00CF0654"/>
    <w:rsid w:val="00CF2C5D"/>
    <w:rsid w:val="00CF43F3"/>
    <w:rsid w:val="00CF7287"/>
    <w:rsid w:val="00CF7C87"/>
    <w:rsid w:val="00CF7E2A"/>
    <w:rsid w:val="00D03AC3"/>
    <w:rsid w:val="00D0457F"/>
    <w:rsid w:val="00D07E79"/>
    <w:rsid w:val="00D10AE1"/>
    <w:rsid w:val="00D14ADB"/>
    <w:rsid w:val="00D17958"/>
    <w:rsid w:val="00D20D6B"/>
    <w:rsid w:val="00D21489"/>
    <w:rsid w:val="00D220D3"/>
    <w:rsid w:val="00D2338F"/>
    <w:rsid w:val="00D273DD"/>
    <w:rsid w:val="00D3004A"/>
    <w:rsid w:val="00D30886"/>
    <w:rsid w:val="00D345D0"/>
    <w:rsid w:val="00D36061"/>
    <w:rsid w:val="00D36265"/>
    <w:rsid w:val="00D412F3"/>
    <w:rsid w:val="00D4214B"/>
    <w:rsid w:val="00D43D38"/>
    <w:rsid w:val="00D44627"/>
    <w:rsid w:val="00D449FB"/>
    <w:rsid w:val="00D44E05"/>
    <w:rsid w:val="00D51DF9"/>
    <w:rsid w:val="00D548C8"/>
    <w:rsid w:val="00D54B49"/>
    <w:rsid w:val="00D54ED4"/>
    <w:rsid w:val="00D56158"/>
    <w:rsid w:val="00D56195"/>
    <w:rsid w:val="00D56506"/>
    <w:rsid w:val="00D56755"/>
    <w:rsid w:val="00D56AA5"/>
    <w:rsid w:val="00D56D4A"/>
    <w:rsid w:val="00D6154C"/>
    <w:rsid w:val="00D629E2"/>
    <w:rsid w:val="00D63D39"/>
    <w:rsid w:val="00D64E0E"/>
    <w:rsid w:val="00D6512C"/>
    <w:rsid w:val="00D66039"/>
    <w:rsid w:val="00D66763"/>
    <w:rsid w:val="00D6679C"/>
    <w:rsid w:val="00D704D4"/>
    <w:rsid w:val="00D71354"/>
    <w:rsid w:val="00D713E6"/>
    <w:rsid w:val="00D71510"/>
    <w:rsid w:val="00D72DC6"/>
    <w:rsid w:val="00D742B9"/>
    <w:rsid w:val="00D77E3F"/>
    <w:rsid w:val="00D809F3"/>
    <w:rsid w:val="00D8127F"/>
    <w:rsid w:val="00D83D8F"/>
    <w:rsid w:val="00D8701F"/>
    <w:rsid w:val="00D91232"/>
    <w:rsid w:val="00D9289C"/>
    <w:rsid w:val="00D932DD"/>
    <w:rsid w:val="00D955AF"/>
    <w:rsid w:val="00D95D2A"/>
    <w:rsid w:val="00D97A3E"/>
    <w:rsid w:val="00DA1027"/>
    <w:rsid w:val="00DA15E6"/>
    <w:rsid w:val="00DA27A9"/>
    <w:rsid w:val="00DB0140"/>
    <w:rsid w:val="00DB054D"/>
    <w:rsid w:val="00DB0A39"/>
    <w:rsid w:val="00DB153A"/>
    <w:rsid w:val="00DB1E79"/>
    <w:rsid w:val="00DB1F7B"/>
    <w:rsid w:val="00DB21F0"/>
    <w:rsid w:val="00DB3586"/>
    <w:rsid w:val="00DB3BC5"/>
    <w:rsid w:val="00DB4F10"/>
    <w:rsid w:val="00DB5C33"/>
    <w:rsid w:val="00DB6BCE"/>
    <w:rsid w:val="00DB7A97"/>
    <w:rsid w:val="00DC0F05"/>
    <w:rsid w:val="00DC1CC3"/>
    <w:rsid w:val="00DC2C72"/>
    <w:rsid w:val="00DC3409"/>
    <w:rsid w:val="00DC3814"/>
    <w:rsid w:val="00DC40F5"/>
    <w:rsid w:val="00DC5385"/>
    <w:rsid w:val="00DC62A5"/>
    <w:rsid w:val="00DC6CB0"/>
    <w:rsid w:val="00DC7728"/>
    <w:rsid w:val="00DC7AB7"/>
    <w:rsid w:val="00DD10F1"/>
    <w:rsid w:val="00DD1F7D"/>
    <w:rsid w:val="00DD3C23"/>
    <w:rsid w:val="00DD6B7F"/>
    <w:rsid w:val="00DD743C"/>
    <w:rsid w:val="00DE0CD9"/>
    <w:rsid w:val="00DE15ED"/>
    <w:rsid w:val="00DE1BD0"/>
    <w:rsid w:val="00DE3E15"/>
    <w:rsid w:val="00DE50F4"/>
    <w:rsid w:val="00DE5511"/>
    <w:rsid w:val="00DE5D25"/>
    <w:rsid w:val="00DE5ED9"/>
    <w:rsid w:val="00DE693B"/>
    <w:rsid w:val="00DE6EB1"/>
    <w:rsid w:val="00DE7380"/>
    <w:rsid w:val="00DF1EBC"/>
    <w:rsid w:val="00DF31CD"/>
    <w:rsid w:val="00DF3A3F"/>
    <w:rsid w:val="00DF6A92"/>
    <w:rsid w:val="00DF6B84"/>
    <w:rsid w:val="00DF6F3D"/>
    <w:rsid w:val="00DF7373"/>
    <w:rsid w:val="00DF7B2C"/>
    <w:rsid w:val="00DF7B57"/>
    <w:rsid w:val="00E00BAD"/>
    <w:rsid w:val="00E00F32"/>
    <w:rsid w:val="00E01A8A"/>
    <w:rsid w:val="00E02121"/>
    <w:rsid w:val="00E03337"/>
    <w:rsid w:val="00E07A9C"/>
    <w:rsid w:val="00E10A69"/>
    <w:rsid w:val="00E10E5D"/>
    <w:rsid w:val="00E11300"/>
    <w:rsid w:val="00E1180D"/>
    <w:rsid w:val="00E12193"/>
    <w:rsid w:val="00E12A17"/>
    <w:rsid w:val="00E13E09"/>
    <w:rsid w:val="00E152E3"/>
    <w:rsid w:val="00E15749"/>
    <w:rsid w:val="00E21FC0"/>
    <w:rsid w:val="00E22D83"/>
    <w:rsid w:val="00E255DC"/>
    <w:rsid w:val="00E26884"/>
    <w:rsid w:val="00E307F8"/>
    <w:rsid w:val="00E30F6A"/>
    <w:rsid w:val="00E314FC"/>
    <w:rsid w:val="00E324A4"/>
    <w:rsid w:val="00E33076"/>
    <w:rsid w:val="00E33077"/>
    <w:rsid w:val="00E33AA9"/>
    <w:rsid w:val="00E3505E"/>
    <w:rsid w:val="00E355C5"/>
    <w:rsid w:val="00E36AA3"/>
    <w:rsid w:val="00E36DB6"/>
    <w:rsid w:val="00E36E8E"/>
    <w:rsid w:val="00E42291"/>
    <w:rsid w:val="00E426BB"/>
    <w:rsid w:val="00E42952"/>
    <w:rsid w:val="00E437A3"/>
    <w:rsid w:val="00E43967"/>
    <w:rsid w:val="00E44033"/>
    <w:rsid w:val="00E441FB"/>
    <w:rsid w:val="00E467A3"/>
    <w:rsid w:val="00E474DF"/>
    <w:rsid w:val="00E47926"/>
    <w:rsid w:val="00E50461"/>
    <w:rsid w:val="00E50FB0"/>
    <w:rsid w:val="00E52861"/>
    <w:rsid w:val="00E53DCA"/>
    <w:rsid w:val="00E54A9B"/>
    <w:rsid w:val="00E55209"/>
    <w:rsid w:val="00E576A9"/>
    <w:rsid w:val="00E57847"/>
    <w:rsid w:val="00E57FFD"/>
    <w:rsid w:val="00E61043"/>
    <w:rsid w:val="00E6399A"/>
    <w:rsid w:val="00E71DA2"/>
    <w:rsid w:val="00E7268F"/>
    <w:rsid w:val="00E738B1"/>
    <w:rsid w:val="00E74CB2"/>
    <w:rsid w:val="00E74D56"/>
    <w:rsid w:val="00E74FB8"/>
    <w:rsid w:val="00E75DDD"/>
    <w:rsid w:val="00E76B4D"/>
    <w:rsid w:val="00E80198"/>
    <w:rsid w:val="00E803D2"/>
    <w:rsid w:val="00E81B51"/>
    <w:rsid w:val="00E83216"/>
    <w:rsid w:val="00E84DF3"/>
    <w:rsid w:val="00E8668B"/>
    <w:rsid w:val="00E9012D"/>
    <w:rsid w:val="00E90262"/>
    <w:rsid w:val="00E9387D"/>
    <w:rsid w:val="00E95B1A"/>
    <w:rsid w:val="00E965AC"/>
    <w:rsid w:val="00E966F5"/>
    <w:rsid w:val="00E96D0B"/>
    <w:rsid w:val="00E97DD6"/>
    <w:rsid w:val="00E97DD9"/>
    <w:rsid w:val="00EA228D"/>
    <w:rsid w:val="00EA2774"/>
    <w:rsid w:val="00EA321C"/>
    <w:rsid w:val="00EA3DAB"/>
    <w:rsid w:val="00EA681B"/>
    <w:rsid w:val="00EA6FEB"/>
    <w:rsid w:val="00EB3649"/>
    <w:rsid w:val="00EB5159"/>
    <w:rsid w:val="00EB7210"/>
    <w:rsid w:val="00EC036E"/>
    <w:rsid w:val="00EC0828"/>
    <w:rsid w:val="00EC6B07"/>
    <w:rsid w:val="00EC7E24"/>
    <w:rsid w:val="00ED062B"/>
    <w:rsid w:val="00ED3177"/>
    <w:rsid w:val="00ED5CCC"/>
    <w:rsid w:val="00ED637C"/>
    <w:rsid w:val="00EE1181"/>
    <w:rsid w:val="00EE2E15"/>
    <w:rsid w:val="00EE2FA8"/>
    <w:rsid w:val="00EE2FC2"/>
    <w:rsid w:val="00EE3C03"/>
    <w:rsid w:val="00EE5B53"/>
    <w:rsid w:val="00EE5ED6"/>
    <w:rsid w:val="00EE5F33"/>
    <w:rsid w:val="00EE7791"/>
    <w:rsid w:val="00EF0A83"/>
    <w:rsid w:val="00EF0E16"/>
    <w:rsid w:val="00EF1292"/>
    <w:rsid w:val="00EF1E57"/>
    <w:rsid w:val="00EF2ECE"/>
    <w:rsid w:val="00EF2ED5"/>
    <w:rsid w:val="00EF4B38"/>
    <w:rsid w:val="00EF4E89"/>
    <w:rsid w:val="00EF5D3D"/>
    <w:rsid w:val="00EF631E"/>
    <w:rsid w:val="00F02F44"/>
    <w:rsid w:val="00F03C61"/>
    <w:rsid w:val="00F04816"/>
    <w:rsid w:val="00F12E9A"/>
    <w:rsid w:val="00F12F18"/>
    <w:rsid w:val="00F137F2"/>
    <w:rsid w:val="00F15AA8"/>
    <w:rsid w:val="00F16636"/>
    <w:rsid w:val="00F17A0F"/>
    <w:rsid w:val="00F20147"/>
    <w:rsid w:val="00F20392"/>
    <w:rsid w:val="00F215F3"/>
    <w:rsid w:val="00F21EE5"/>
    <w:rsid w:val="00F223EA"/>
    <w:rsid w:val="00F233D1"/>
    <w:rsid w:val="00F2746B"/>
    <w:rsid w:val="00F27896"/>
    <w:rsid w:val="00F3430C"/>
    <w:rsid w:val="00F35CAF"/>
    <w:rsid w:val="00F367EC"/>
    <w:rsid w:val="00F3748B"/>
    <w:rsid w:val="00F37C11"/>
    <w:rsid w:val="00F4129E"/>
    <w:rsid w:val="00F421D6"/>
    <w:rsid w:val="00F42D9E"/>
    <w:rsid w:val="00F43257"/>
    <w:rsid w:val="00F43952"/>
    <w:rsid w:val="00F449CA"/>
    <w:rsid w:val="00F45F44"/>
    <w:rsid w:val="00F46B15"/>
    <w:rsid w:val="00F475F2"/>
    <w:rsid w:val="00F47B37"/>
    <w:rsid w:val="00F52616"/>
    <w:rsid w:val="00F5295E"/>
    <w:rsid w:val="00F53E38"/>
    <w:rsid w:val="00F56078"/>
    <w:rsid w:val="00F610EB"/>
    <w:rsid w:val="00F62F83"/>
    <w:rsid w:val="00F6304E"/>
    <w:rsid w:val="00F642CA"/>
    <w:rsid w:val="00F64644"/>
    <w:rsid w:val="00F668C2"/>
    <w:rsid w:val="00F66DA2"/>
    <w:rsid w:val="00F67D70"/>
    <w:rsid w:val="00F70829"/>
    <w:rsid w:val="00F716C9"/>
    <w:rsid w:val="00F72076"/>
    <w:rsid w:val="00F72D61"/>
    <w:rsid w:val="00F72E4D"/>
    <w:rsid w:val="00F72EEF"/>
    <w:rsid w:val="00F73118"/>
    <w:rsid w:val="00F74AD4"/>
    <w:rsid w:val="00F755EC"/>
    <w:rsid w:val="00F7576E"/>
    <w:rsid w:val="00F769A8"/>
    <w:rsid w:val="00F7759E"/>
    <w:rsid w:val="00F77986"/>
    <w:rsid w:val="00F809BF"/>
    <w:rsid w:val="00F82AA1"/>
    <w:rsid w:val="00F8394C"/>
    <w:rsid w:val="00F84111"/>
    <w:rsid w:val="00F8480F"/>
    <w:rsid w:val="00F8541E"/>
    <w:rsid w:val="00F92466"/>
    <w:rsid w:val="00F95461"/>
    <w:rsid w:val="00F95658"/>
    <w:rsid w:val="00F965D5"/>
    <w:rsid w:val="00F978EA"/>
    <w:rsid w:val="00F97C40"/>
    <w:rsid w:val="00F97DD5"/>
    <w:rsid w:val="00FA1BBF"/>
    <w:rsid w:val="00FA1C73"/>
    <w:rsid w:val="00FA1CC8"/>
    <w:rsid w:val="00FA2FE9"/>
    <w:rsid w:val="00FA6BF8"/>
    <w:rsid w:val="00FA7B15"/>
    <w:rsid w:val="00FB0812"/>
    <w:rsid w:val="00FB23B0"/>
    <w:rsid w:val="00FB2857"/>
    <w:rsid w:val="00FB39E6"/>
    <w:rsid w:val="00FC2AB5"/>
    <w:rsid w:val="00FC3569"/>
    <w:rsid w:val="00FC385E"/>
    <w:rsid w:val="00FC6CAC"/>
    <w:rsid w:val="00FC7A48"/>
    <w:rsid w:val="00FD0EAB"/>
    <w:rsid w:val="00FD3305"/>
    <w:rsid w:val="00FD5574"/>
    <w:rsid w:val="00FD60A4"/>
    <w:rsid w:val="00FE1684"/>
    <w:rsid w:val="00FE28D4"/>
    <w:rsid w:val="00FE2A36"/>
    <w:rsid w:val="00FE3A2A"/>
    <w:rsid w:val="00FE43AD"/>
    <w:rsid w:val="00FE5D83"/>
    <w:rsid w:val="00FE5FF0"/>
    <w:rsid w:val="00FE6D20"/>
    <w:rsid w:val="00FE6F04"/>
    <w:rsid w:val="00FF1504"/>
    <w:rsid w:val="00FF46E9"/>
    <w:rsid w:val="00FF7A67"/>
    <w:rsid w:val="00FF7E5B"/>
    <w:rsid w:val="015F1834"/>
    <w:rsid w:val="01A432A4"/>
    <w:rsid w:val="01B50354"/>
    <w:rsid w:val="02397AD7"/>
    <w:rsid w:val="02990A55"/>
    <w:rsid w:val="02CEA2E8"/>
    <w:rsid w:val="02D600C9"/>
    <w:rsid w:val="02E62DC0"/>
    <w:rsid w:val="03109E7D"/>
    <w:rsid w:val="0354183C"/>
    <w:rsid w:val="039BD004"/>
    <w:rsid w:val="039D3519"/>
    <w:rsid w:val="03AA289A"/>
    <w:rsid w:val="03E9D16C"/>
    <w:rsid w:val="03F27BAB"/>
    <w:rsid w:val="03FA1D33"/>
    <w:rsid w:val="0420F8EF"/>
    <w:rsid w:val="04BA7F84"/>
    <w:rsid w:val="04E08C12"/>
    <w:rsid w:val="054D2A51"/>
    <w:rsid w:val="05A2A46A"/>
    <w:rsid w:val="05A2BF46"/>
    <w:rsid w:val="05C9416B"/>
    <w:rsid w:val="0626C268"/>
    <w:rsid w:val="06D30E20"/>
    <w:rsid w:val="0725A141"/>
    <w:rsid w:val="075D0AAB"/>
    <w:rsid w:val="076B0B6F"/>
    <w:rsid w:val="076DC581"/>
    <w:rsid w:val="07B0958B"/>
    <w:rsid w:val="07E052E5"/>
    <w:rsid w:val="080F2BD4"/>
    <w:rsid w:val="08337C8C"/>
    <w:rsid w:val="08E2396B"/>
    <w:rsid w:val="08EA5B43"/>
    <w:rsid w:val="097ADB23"/>
    <w:rsid w:val="09A535DA"/>
    <w:rsid w:val="09B0D823"/>
    <w:rsid w:val="09DFDDC2"/>
    <w:rsid w:val="0A4D97EA"/>
    <w:rsid w:val="0ACA8401"/>
    <w:rsid w:val="0B0254EF"/>
    <w:rsid w:val="0B5C74E6"/>
    <w:rsid w:val="0B8F1EA1"/>
    <w:rsid w:val="0BA24F1A"/>
    <w:rsid w:val="0BD501FF"/>
    <w:rsid w:val="0BD99108"/>
    <w:rsid w:val="0C00BA72"/>
    <w:rsid w:val="0C0B2AFD"/>
    <w:rsid w:val="0C1AFA4F"/>
    <w:rsid w:val="0C623698"/>
    <w:rsid w:val="0CA9A744"/>
    <w:rsid w:val="0CC8C33C"/>
    <w:rsid w:val="0CD4FED5"/>
    <w:rsid w:val="0D22B12F"/>
    <w:rsid w:val="0D2AEF02"/>
    <w:rsid w:val="0D388208"/>
    <w:rsid w:val="0D5750D1"/>
    <w:rsid w:val="0D946DB2"/>
    <w:rsid w:val="0DC2B727"/>
    <w:rsid w:val="0DCF1D33"/>
    <w:rsid w:val="0E8B70F6"/>
    <w:rsid w:val="0E9A2688"/>
    <w:rsid w:val="0E9FBDC2"/>
    <w:rsid w:val="0EA70809"/>
    <w:rsid w:val="0EB36428"/>
    <w:rsid w:val="0EC0B5F3"/>
    <w:rsid w:val="0ED16673"/>
    <w:rsid w:val="0EEC19DA"/>
    <w:rsid w:val="0F87825F"/>
    <w:rsid w:val="0FAB6F8A"/>
    <w:rsid w:val="0FFEDE79"/>
    <w:rsid w:val="1050E77D"/>
    <w:rsid w:val="10700E53"/>
    <w:rsid w:val="10AD8D71"/>
    <w:rsid w:val="10CCCA68"/>
    <w:rsid w:val="10E2155C"/>
    <w:rsid w:val="110FF6B3"/>
    <w:rsid w:val="11A39BFD"/>
    <w:rsid w:val="11A51E9B"/>
    <w:rsid w:val="11C1F84E"/>
    <w:rsid w:val="11EDDFE2"/>
    <w:rsid w:val="1202519C"/>
    <w:rsid w:val="122313AF"/>
    <w:rsid w:val="1257746A"/>
    <w:rsid w:val="125BFDF2"/>
    <w:rsid w:val="12915321"/>
    <w:rsid w:val="12C3F6A6"/>
    <w:rsid w:val="12F71F76"/>
    <w:rsid w:val="131AE354"/>
    <w:rsid w:val="138EEC2A"/>
    <w:rsid w:val="13D4FB7F"/>
    <w:rsid w:val="148992C3"/>
    <w:rsid w:val="14A07BBB"/>
    <w:rsid w:val="14C2574D"/>
    <w:rsid w:val="14F7A482"/>
    <w:rsid w:val="15270B61"/>
    <w:rsid w:val="15E04F8E"/>
    <w:rsid w:val="162D2CA1"/>
    <w:rsid w:val="166D7244"/>
    <w:rsid w:val="16C245DF"/>
    <w:rsid w:val="16C424A8"/>
    <w:rsid w:val="16CFCE38"/>
    <w:rsid w:val="16E18331"/>
    <w:rsid w:val="1701E261"/>
    <w:rsid w:val="175EB3D5"/>
    <w:rsid w:val="1773F2B5"/>
    <w:rsid w:val="1792EA80"/>
    <w:rsid w:val="17A8850A"/>
    <w:rsid w:val="17B23900"/>
    <w:rsid w:val="17DF53B8"/>
    <w:rsid w:val="18443081"/>
    <w:rsid w:val="187382EC"/>
    <w:rsid w:val="187CFEB4"/>
    <w:rsid w:val="18811BA6"/>
    <w:rsid w:val="18DE085C"/>
    <w:rsid w:val="18F98EAE"/>
    <w:rsid w:val="191F1AD4"/>
    <w:rsid w:val="19360FB0"/>
    <w:rsid w:val="1A3BCC61"/>
    <w:rsid w:val="1A4219B4"/>
    <w:rsid w:val="1A7D8279"/>
    <w:rsid w:val="1A7E477D"/>
    <w:rsid w:val="1A90A18F"/>
    <w:rsid w:val="1A91810A"/>
    <w:rsid w:val="1A98CDF8"/>
    <w:rsid w:val="1AC28879"/>
    <w:rsid w:val="1ACED23B"/>
    <w:rsid w:val="1AF5436E"/>
    <w:rsid w:val="1AF7188A"/>
    <w:rsid w:val="1B3D5C1E"/>
    <w:rsid w:val="1B59E5D9"/>
    <w:rsid w:val="1B6AAFD4"/>
    <w:rsid w:val="1B710212"/>
    <w:rsid w:val="1B7D58CD"/>
    <w:rsid w:val="1BDC9193"/>
    <w:rsid w:val="1BE24A6E"/>
    <w:rsid w:val="1C1CE2A6"/>
    <w:rsid w:val="1CABB0BE"/>
    <w:rsid w:val="1CC28F32"/>
    <w:rsid w:val="1CE10C17"/>
    <w:rsid w:val="1CFA2FA8"/>
    <w:rsid w:val="1D502CF2"/>
    <w:rsid w:val="1D7F6947"/>
    <w:rsid w:val="1DBB87B3"/>
    <w:rsid w:val="1DC00A92"/>
    <w:rsid w:val="1DC921CC"/>
    <w:rsid w:val="1DE94F37"/>
    <w:rsid w:val="1E217A84"/>
    <w:rsid w:val="1E2B48C0"/>
    <w:rsid w:val="1E358779"/>
    <w:rsid w:val="1E74DE22"/>
    <w:rsid w:val="1EAD0308"/>
    <w:rsid w:val="1EC06C9E"/>
    <w:rsid w:val="1EDA44C1"/>
    <w:rsid w:val="1F316D06"/>
    <w:rsid w:val="1F4455B9"/>
    <w:rsid w:val="1F4F8988"/>
    <w:rsid w:val="1F73A7D8"/>
    <w:rsid w:val="1F895151"/>
    <w:rsid w:val="1F914552"/>
    <w:rsid w:val="1FCCC2C8"/>
    <w:rsid w:val="2006E1DB"/>
    <w:rsid w:val="204CF993"/>
    <w:rsid w:val="2060E211"/>
    <w:rsid w:val="20690C4E"/>
    <w:rsid w:val="2074FCCB"/>
    <w:rsid w:val="20DE3EE1"/>
    <w:rsid w:val="212F04B1"/>
    <w:rsid w:val="213C6714"/>
    <w:rsid w:val="21947853"/>
    <w:rsid w:val="219AF5DD"/>
    <w:rsid w:val="21AB8CD9"/>
    <w:rsid w:val="21CB22C7"/>
    <w:rsid w:val="21D163B7"/>
    <w:rsid w:val="221525F9"/>
    <w:rsid w:val="225C8A88"/>
    <w:rsid w:val="22B47DA7"/>
    <w:rsid w:val="234A24CA"/>
    <w:rsid w:val="239B735C"/>
    <w:rsid w:val="23F6E9B3"/>
    <w:rsid w:val="23FEA8E1"/>
    <w:rsid w:val="2415DFA3"/>
    <w:rsid w:val="24386350"/>
    <w:rsid w:val="246E5EF6"/>
    <w:rsid w:val="2490E6C1"/>
    <w:rsid w:val="24A1450C"/>
    <w:rsid w:val="24A351A0"/>
    <w:rsid w:val="24C570A5"/>
    <w:rsid w:val="24D22584"/>
    <w:rsid w:val="24DA020D"/>
    <w:rsid w:val="2546CF16"/>
    <w:rsid w:val="2558B486"/>
    <w:rsid w:val="2572E516"/>
    <w:rsid w:val="257A5123"/>
    <w:rsid w:val="258FFF2A"/>
    <w:rsid w:val="25CC3E0A"/>
    <w:rsid w:val="26005A67"/>
    <w:rsid w:val="263D156D"/>
    <w:rsid w:val="26743ECF"/>
    <w:rsid w:val="2679AEA0"/>
    <w:rsid w:val="26B7D08C"/>
    <w:rsid w:val="2705B386"/>
    <w:rsid w:val="272A8B8D"/>
    <w:rsid w:val="27423E3F"/>
    <w:rsid w:val="2751D342"/>
    <w:rsid w:val="276B5CCC"/>
    <w:rsid w:val="27B98C64"/>
    <w:rsid w:val="27C99891"/>
    <w:rsid w:val="27E6E59E"/>
    <w:rsid w:val="27FD2412"/>
    <w:rsid w:val="280968D6"/>
    <w:rsid w:val="283FE0E1"/>
    <w:rsid w:val="284899D7"/>
    <w:rsid w:val="28534FE6"/>
    <w:rsid w:val="285F912A"/>
    <w:rsid w:val="28C1312A"/>
    <w:rsid w:val="28C3F387"/>
    <w:rsid w:val="290161C1"/>
    <w:rsid w:val="293F1A54"/>
    <w:rsid w:val="29A2B08A"/>
    <w:rsid w:val="29BA908D"/>
    <w:rsid w:val="29CC0C4A"/>
    <w:rsid w:val="2A8E4D45"/>
    <w:rsid w:val="2B0F0928"/>
    <w:rsid w:val="2B159DD8"/>
    <w:rsid w:val="2B15D2BF"/>
    <w:rsid w:val="2B5396EE"/>
    <w:rsid w:val="2B65BCE5"/>
    <w:rsid w:val="2B94C9A3"/>
    <w:rsid w:val="2BBCF285"/>
    <w:rsid w:val="2BCC06DE"/>
    <w:rsid w:val="2BE992A7"/>
    <w:rsid w:val="2BF0DB4A"/>
    <w:rsid w:val="2C03B0AD"/>
    <w:rsid w:val="2C268D4C"/>
    <w:rsid w:val="2C47FE24"/>
    <w:rsid w:val="2C4DF7E2"/>
    <w:rsid w:val="2D1BC359"/>
    <w:rsid w:val="2D839ECD"/>
    <w:rsid w:val="2D917E73"/>
    <w:rsid w:val="2DA02592"/>
    <w:rsid w:val="2DB10F2E"/>
    <w:rsid w:val="2DE3CE85"/>
    <w:rsid w:val="2DE7331C"/>
    <w:rsid w:val="2E0CEB84"/>
    <w:rsid w:val="2E3EB291"/>
    <w:rsid w:val="2E4CB33C"/>
    <w:rsid w:val="2E4CCA9C"/>
    <w:rsid w:val="2E6C9C98"/>
    <w:rsid w:val="2E7925FB"/>
    <w:rsid w:val="2EE79C8C"/>
    <w:rsid w:val="2F6B9D6B"/>
    <w:rsid w:val="2F7967AB"/>
    <w:rsid w:val="2F88EE2C"/>
    <w:rsid w:val="2FE1EB8E"/>
    <w:rsid w:val="2FF169FD"/>
    <w:rsid w:val="300325FC"/>
    <w:rsid w:val="30709ABA"/>
    <w:rsid w:val="30A3181C"/>
    <w:rsid w:val="31281D2B"/>
    <w:rsid w:val="312A6D76"/>
    <w:rsid w:val="312EEF3E"/>
    <w:rsid w:val="31AE6B20"/>
    <w:rsid w:val="3204BB79"/>
    <w:rsid w:val="3204FB92"/>
    <w:rsid w:val="32842485"/>
    <w:rsid w:val="328845D5"/>
    <w:rsid w:val="33495A1E"/>
    <w:rsid w:val="337EB33B"/>
    <w:rsid w:val="33901704"/>
    <w:rsid w:val="345B1DE3"/>
    <w:rsid w:val="3475C1CD"/>
    <w:rsid w:val="349AE16E"/>
    <w:rsid w:val="34DECA29"/>
    <w:rsid w:val="34E247B4"/>
    <w:rsid w:val="3534E3C9"/>
    <w:rsid w:val="3571BB5A"/>
    <w:rsid w:val="358E58A6"/>
    <w:rsid w:val="35B59BA2"/>
    <w:rsid w:val="36119381"/>
    <w:rsid w:val="365D997F"/>
    <w:rsid w:val="365F68F5"/>
    <w:rsid w:val="369349B7"/>
    <w:rsid w:val="3697D542"/>
    <w:rsid w:val="369D934E"/>
    <w:rsid w:val="36A4E5B1"/>
    <w:rsid w:val="36F49F60"/>
    <w:rsid w:val="37040D29"/>
    <w:rsid w:val="3713708C"/>
    <w:rsid w:val="372E5FCE"/>
    <w:rsid w:val="378CB8AA"/>
    <w:rsid w:val="37CE78CA"/>
    <w:rsid w:val="3859C76E"/>
    <w:rsid w:val="38729791"/>
    <w:rsid w:val="38B8AD8F"/>
    <w:rsid w:val="390E373F"/>
    <w:rsid w:val="3957A321"/>
    <w:rsid w:val="3958BEA5"/>
    <w:rsid w:val="395A2547"/>
    <w:rsid w:val="396B860C"/>
    <w:rsid w:val="3974A0D3"/>
    <w:rsid w:val="3992D6C8"/>
    <w:rsid w:val="3A6186CA"/>
    <w:rsid w:val="3A61BB68"/>
    <w:rsid w:val="3A63EA43"/>
    <w:rsid w:val="3A6C5568"/>
    <w:rsid w:val="3A9E35AA"/>
    <w:rsid w:val="3AFDC3F8"/>
    <w:rsid w:val="3B74E792"/>
    <w:rsid w:val="3B75DF87"/>
    <w:rsid w:val="3B81E0AA"/>
    <w:rsid w:val="3B838613"/>
    <w:rsid w:val="3BB73E00"/>
    <w:rsid w:val="3BF2950F"/>
    <w:rsid w:val="3C47EC3E"/>
    <w:rsid w:val="3C5F569E"/>
    <w:rsid w:val="3C67F505"/>
    <w:rsid w:val="3C6A88C5"/>
    <w:rsid w:val="3C7A20B0"/>
    <w:rsid w:val="3C7D1FEC"/>
    <w:rsid w:val="3C84B9F9"/>
    <w:rsid w:val="3C945318"/>
    <w:rsid w:val="3CA10312"/>
    <w:rsid w:val="3CA2A473"/>
    <w:rsid w:val="3CCA6841"/>
    <w:rsid w:val="3CCBF3BE"/>
    <w:rsid w:val="3D07D1AB"/>
    <w:rsid w:val="3D4A4D64"/>
    <w:rsid w:val="3D5112DE"/>
    <w:rsid w:val="3D565F59"/>
    <w:rsid w:val="3D6E0BDA"/>
    <w:rsid w:val="3D827AD5"/>
    <w:rsid w:val="3D84C279"/>
    <w:rsid w:val="3D996A8B"/>
    <w:rsid w:val="3D9982CE"/>
    <w:rsid w:val="3D9C5401"/>
    <w:rsid w:val="3DA21FEF"/>
    <w:rsid w:val="3DBA25C0"/>
    <w:rsid w:val="3DDC38E2"/>
    <w:rsid w:val="3DDC45DA"/>
    <w:rsid w:val="3DFB290A"/>
    <w:rsid w:val="3E0B1B74"/>
    <w:rsid w:val="3E1BD27B"/>
    <w:rsid w:val="3E1CB5FC"/>
    <w:rsid w:val="3E5B6342"/>
    <w:rsid w:val="3E69151A"/>
    <w:rsid w:val="3EAD8049"/>
    <w:rsid w:val="3F00437A"/>
    <w:rsid w:val="3F3D9ED3"/>
    <w:rsid w:val="3F5D23F6"/>
    <w:rsid w:val="3F5D519F"/>
    <w:rsid w:val="3F634044"/>
    <w:rsid w:val="3F6DFA05"/>
    <w:rsid w:val="3F81F30B"/>
    <w:rsid w:val="3FA18A00"/>
    <w:rsid w:val="3FA94765"/>
    <w:rsid w:val="3FBF1A02"/>
    <w:rsid w:val="3FE0B627"/>
    <w:rsid w:val="3FF406E4"/>
    <w:rsid w:val="4004BB06"/>
    <w:rsid w:val="403B7535"/>
    <w:rsid w:val="40C892C4"/>
    <w:rsid w:val="40E6E555"/>
    <w:rsid w:val="414B62C1"/>
    <w:rsid w:val="415A8CBA"/>
    <w:rsid w:val="41632FF8"/>
    <w:rsid w:val="41635702"/>
    <w:rsid w:val="41CF8C2F"/>
    <w:rsid w:val="421E7905"/>
    <w:rsid w:val="422A24D0"/>
    <w:rsid w:val="429A28AA"/>
    <w:rsid w:val="42EBFF9C"/>
    <w:rsid w:val="4303F229"/>
    <w:rsid w:val="431F0CEB"/>
    <w:rsid w:val="4331D56A"/>
    <w:rsid w:val="4349928B"/>
    <w:rsid w:val="43736214"/>
    <w:rsid w:val="4391A92C"/>
    <w:rsid w:val="43B91DF6"/>
    <w:rsid w:val="43BA9BCA"/>
    <w:rsid w:val="441173D7"/>
    <w:rsid w:val="4435B96D"/>
    <w:rsid w:val="4461BF6E"/>
    <w:rsid w:val="447962C8"/>
    <w:rsid w:val="44C918D4"/>
    <w:rsid w:val="44E997EC"/>
    <w:rsid w:val="4512FCBF"/>
    <w:rsid w:val="451D4D44"/>
    <w:rsid w:val="455BA9D2"/>
    <w:rsid w:val="458C266F"/>
    <w:rsid w:val="45F43584"/>
    <w:rsid w:val="4601B5B9"/>
    <w:rsid w:val="46149297"/>
    <w:rsid w:val="46301548"/>
    <w:rsid w:val="463C7E0C"/>
    <w:rsid w:val="466EACF3"/>
    <w:rsid w:val="469EDDF2"/>
    <w:rsid w:val="46C22441"/>
    <w:rsid w:val="472E8F22"/>
    <w:rsid w:val="47539E07"/>
    <w:rsid w:val="47EBED8A"/>
    <w:rsid w:val="4820A3A3"/>
    <w:rsid w:val="48656B8A"/>
    <w:rsid w:val="48B16600"/>
    <w:rsid w:val="48E36743"/>
    <w:rsid w:val="4951CD50"/>
    <w:rsid w:val="499BB800"/>
    <w:rsid w:val="49DA1673"/>
    <w:rsid w:val="49E55692"/>
    <w:rsid w:val="49F14DBA"/>
    <w:rsid w:val="4A0C5472"/>
    <w:rsid w:val="4A1AA423"/>
    <w:rsid w:val="4A5B078B"/>
    <w:rsid w:val="4AB7F7E7"/>
    <w:rsid w:val="4AC1E9BF"/>
    <w:rsid w:val="4AEFF706"/>
    <w:rsid w:val="4AFE83E9"/>
    <w:rsid w:val="4B02260F"/>
    <w:rsid w:val="4B421E16"/>
    <w:rsid w:val="4BFECB6B"/>
    <w:rsid w:val="4C026974"/>
    <w:rsid w:val="4C3D63EE"/>
    <w:rsid w:val="4C5A6607"/>
    <w:rsid w:val="4CA5EC4D"/>
    <w:rsid w:val="4CB92FD2"/>
    <w:rsid w:val="4CBA8EA5"/>
    <w:rsid w:val="4D0EAB55"/>
    <w:rsid w:val="4D305B1C"/>
    <w:rsid w:val="4D3ABDC0"/>
    <w:rsid w:val="4DAA9D9D"/>
    <w:rsid w:val="4DB77BDB"/>
    <w:rsid w:val="4E06F7A0"/>
    <w:rsid w:val="4E8125DC"/>
    <w:rsid w:val="4ED4ECE9"/>
    <w:rsid w:val="4F28583C"/>
    <w:rsid w:val="4F534C3C"/>
    <w:rsid w:val="4F6B74CD"/>
    <w:rsid w:val="4F800825"/>
    <w:rsid w:val="500B886A"/>
    <w:rsid w:val="5057E41E"/>
    <w:rsid w:val="50613299"/>
    <w:rsid w:val="50A0E1CF"/>
    <w:rsid w:val="50B0193C"/>
    <w:rsid w:val="50D33540"/>
    <w:rsid w:val="5113F10A"/>
    <w:rsid w:val="5116EE23"/>
    <w:rsid w:val="5159DF67"/>
    <w:rsid w:val="519F3C01"/>
    <w:rsid w:val="51B5FF32"/>
    <w:rsid w:val="51C4618F"/>
    <w:rsid w:val="51CBD37A"/>
    <w:rsid w:val="51D5C2CD"/>
    <w:rsid w:val="51E8A787"/>
    <w:rsid w:val="5264E663"/>
    <w:rsid w:val="52F3E18E"/>
    <w:rsid w:val="52F55D5F"/>
    <w:rsid w:val="5303B08C"/>
    <w:rsid w:val="5310A41A"/>
    <w:rsid w:val="531A8154"/>
    <w:rsid w:val="533F7905"/>
    <w:rsid w:val="5359C091"/>
    <w:rsid w:val="53693C45"/>
    <w:rsid w:val="536FBF3E"/>
    <w:rsid w:val="53924BDD"/>
    <w:rsid w:val="53B17F9A"/>
    <w:rsid w:val="53D4C04C"/>
    <w:rsid w:val="53DB459F"/>
    <w:rsid w:val="53E5095D"/>
    <w:rsid w:val="5400B6C4"/>
    <w:rsid w:val="5406D4EA"/>
    <w:rsid w:val="540C7908"/>
    <w:rsid w:val="54AF71EC"/>
    <w:rsid w:val="54C9D876"/>
    <w:rsid w:val="5503743C"/>
    <w:rsid w:val="552FA149"/>
    <w:rsid w:val="555D49FB"/>
    <w:rsid w:val="559CBF0D"/>
    <w:rsid w:val="55B2E3C2"/>
    <w:rsid w:val="55C83F3A"/>
    <w:rsid w:val="55DD001E"/>
    <w:rsid w:val="55EB67F5"/>
    <w:rsid w:val="564C620B"/>
    <w:rsid w:val="565D4663"/>
    <w:rsid w:val="56611855"/>
    <w:rsid w:val="566E26CC"/>
    <w:rsid w:val="567AF577"/>
    <w:rsid w:val="567BE6C7"/>
    <w:rsid w:val="56E1BAEE"/>
    <w:rsid w:val="56E62BCF"/>
    <w:rsid w:val="572AFC85"/>
    <w:rsid w:val="5767D49E"/>
    <w:rsid w:val="577893B0"/>
    <w:rsid w:val="57890EAA"/>
    <w:rsid w:val="57A86A19"/>
    <w:rsid w:val="57BA02A8"/>
    <w:rsid w:val="57BF99BF"/>
    <w:rsid w:val="57D89BBA"/>
    <w:rsid w:val="57FB04E9"/>
    <w:rsid w:val="582892A8"/>
    <w:rsid w:val="583B9168"/>
    <w:rsid w:val="58448B6C"/>
    <w:rsid w:val="5845A670"/>
    <w:rsid w:val="58AC1234"/>
    <w:rsid w:val="58FA35B3"/>
    <w:rsid w:val="590A850E"/>
    <w:rsid w:val="595BBE79"/>
    <w:rsid w:val="59640F77"/>
    <w:rsid w:val="59BFA6CE"/>
    <w:rsid w:val="59C8DE2E"/>
    <w:rsid w:val="59DDB7F8"/>
    <w:rsid w:val="5A093CFC"/>
    <w:rsid w:val="5A16A47C"/>
    <w:rsid w:val="5A170092"/>
    <w:rsid w:val="5A223DFE"/>
    <w:rsid w:val="5AA67020"/>
    <w:rsid w:val="5ABF44C5"/>
    <w:rsid w:val="5ACA94D5"/>
    <w:rsid w:val="5AEB1E93"/>
    <w:rsid w:val="5B138F74"/>
    <w:rsid w:val="5B2C3C35"/>
    <w:rsid w:val="5B6A45EC"/>
    <w:rsid w:val="5B87A2D5"/>
    <w:rsid w:val="5BB187A5"/>
    <w:rsid w:val="5BD97037"/>
    <w:rsid w:val="5C283F5F"/>
    <w:rsid w:val="5C39621C"/>
    <w:rsid w:val="5CB99874"/>
    <w:rsid w:val="5D695A36"/>
    <w:rsid w:val="5D8E44F9"/>
    <w:rsid w:val="5D9D9A8A"/>
    <w:rsid w:val="5DC944B3"/>
    <w:rsid w:val="5E306F5F"/>
    <w:rsid w:val="5E6B4F99"/>
    <w:rsid w:val="5E9A9D7C"/>
    <w:rsid w:val="5EAE898B"/>
    <w:rsid w:val="5EE49211"/>
    <w:rsid w:val="5EFBAED1"/>
    <w:rsid w:val="5F186407"/>
    <w:rsid w:val="5F43DCC4"/>
    <w:rsid w:val="5F5155D6"/>
    <w:rsid w:val="5F53552E"/>
    <w:rsid w:val="5F7ECDE2"/>
    <w:rsid w:val="5F8E53C9"/>
    <w:rsid w:val="5FB94C1A"/>
    <w:rsid w:val="5FBD5E5B"/>
    <w:rsid w:val="5FE2935E"/>
    <w:rsid w:val="604F565C"/>
    <w:rsid w:val="6052833E"/>
    <w:rsid w:val="6053EF0F"/>
    <w:rsid w:val="605D97A0"/>
    <w:rsid w:val="6067ECB6"/>
    <w:rsid w:val="6088D462"/>
    <w:rsid w:val="60BD3AB8"/>
    <w:rsid w:val="60DE2706"/>
    <w:rsid w:val="6117BF28"/>
    <w:rsid w:val="61443B37"/>
    <w:rsid w:val="620C96E6"/>
    <w:rsid w:val="62434014"/>
    <w:rsid w:val="62986E4D"/>
    <w:rsid w:val="62C147AB"/>
    <w:rsid w:val="62F18B4D"/>
    <w:rsid w:val="630B99E9"/>
    <w:rsid w:val="6337877B"/>
    <w:rsid w:val="63441456"/>
    <w:rsid w:val="63803C71"/>
    <w:rsid w:val="63AD5C21"/>
    <w:rsid w:val="6468DE00"/>
    <w:rsid w:val="64AC1D49"/>
    <w:rsid w:val="64F991A4"/>
    <w:rsid w:val="650C8B14"/>
    <w:rsid w:val="65513F44"/>
    <w:rsid w:val="65A20898"/>
    <w:rsid w:val="65ADB193"/>
    <w:rsid w:val="65CA11AA"/>
    <w:rsid w:val="65EBD2EC"/>
    <w:rsid w:val="66531446"/>
    <w:rsid w:val="66F83517"/>
    <w:rsid w:val="677FD4D2"/>
    <w:rsid w:val="67BFDCC2"/>
    <w:rsid w:val="67E9E58B"/>
    <w:rsid w:val="687B76D5"/>
    <w:rsid w:val="68A9D3FB"/>
    <w:rsid w:val="68AEF229"/>
    <w:rsid w:val="68CBD3F5"/>
    <w:rsid w:val="695230C5"/>
    <w:rsid w:val="6956B806"/>
    <w:rsid w:val="696D3E0B"/>
    <w:rsid w:val="697737DA"/>
    <w:rsid w:val="69929DE6"/>
    <w:rsid w:val="69CB7398"/>
    <w:rsid w:val="69EAECE2"/>
    <w:rsid w:val="6A1FC43F"/>
    <w:rsid w:val="6A40737F"/>
    <w:rsid w:val="6A6E22A5"/>
    <w:rsid w:val="6A91B671"/>
    <w:rsid w:val="6AEEC199"/>
    <w:rsid w:val="6B114E60"/>
    <w:rsid w:val="6B3BF692"/>
    <w:rsid w:val="6B3C47D1"/>
    <w:rsid w:val="6B5DCAE6"/>
    <w:rsid w:val="6B71891D"/>
    <w:rsid w:val="6B7432FB"/>
    <w:rsid w:val="6B8EBC52"/>
    <w:rsid w:val="6B991FF2"/>
    <w:rsid w:val="6B9F45A9"/>
    <w:rsid w:val="6BAFB376"/>
    <w:rsid w:val="6BDDB0D3"/>
    <w:rsid w:val="6BF60C45"/>
    <w:rsid w:val="6BFE0480"/>
    <w:rsid w:val="6C27DBD6"/>
    <w:rsid w:val="6C3BD01F"/>
    <w:rsid w:val="6C50F9EF"/>
    <w:rsid w:val="6C996CB0"/>
    <w:rsid w:val="6CA0D3B7"/>
    <w:rsid w:val="6CCC0FE7"/>
    <w:rsid w:val="6CD9D7BD"/>
    <w:rsid w:val="6CE34969"/>
    <w:rsid w:val="6D00E45C"/>
    <w:rsid w:val="6D1CC16F"/>
    <w:rsid w:val="6D661BF8"/>
    <w:rsid w:val="6D6D51A2"/>
    <w:rsid w:val="6D8908BA"/>
    <w:rsid w:val="6DD7A080"/>
    <w:rsid w:val="6DDF9A23"/>
    <w:rsid w:val="6E6FA271"/>
    <w:rsid w:val="6E86D0BF"/>
    <w:rsid w:val="6EC27915"/>
    <w:rsid w:val="6EDCC019"/>
    <w:rsid w:val="6EDE08D8"/>
    <w:rsid w:val="6EF943D5"/>
    <w:rsid w:val="6F19E9F9"/>
    <w:rsid w:val="6F337292"/>
    <w:rsid w:val="6F4CDF6A"/>
    <w:rsid w:val="6F4E84F5"/>
    <w:rsid w:val="6F50759F"/>
    <w:rsid w:val="6F6073BF"/>
    <w:rsid w:val="6FB3CD0A"/>
    <w:rsid w:val="6FE03C4A"/>
    <w:rsid w:val="6FEBCF51"/>
    <w:rsid w:val="70109C6C"/>
    <w:rsid w:val="70131812"/>
    <w:rsid w:val="703B9A6C"/>
    <w:rsid w:val="7048973E"/>
    <w:rsid w:val="707D4404"/>
    <w:rsid w:val="70830826"/>
    <w:rsid w:val="70A4F264"/>
    <w:rsid w:val="70AAE82D"/>
    <w:rsid w:val="70ABEDA7"/>
    <w:rsid w:val="70BE625C"/>
    <w:rsid w:val="70F6066D"/>
    <w:rsid w:val="711120F7"/>
    <w:rsid w:val="71118401"/>
    <w:rsid w:val="712DBB23"/>
    <w:rsid w:val="7153ED5F"/>
    <w:rsid w:val="71594388"/>
    <w:rsid w:val="7173B3EA"/>
    <w:rsid w:val="7193E35D"/>
    <w:rsid w:val="71D81F81"/>
    <w:rsid w:val="71F4D86D"/>
    <w:rsid w:val="7239C1E3"/>
    <w:rsid w:val="724D8ABB"/>
    <w:rsid w:val="72A59DD7"/>
    <w:rsid w:val="72E3182A"/>
    <w:rsid w:val="72F84719"/>
    <w:rsid w:val="73000314"/>
    <w:rsid w:val="7303D370"/>
    <w:rsid w:val="730C74D1"/>
    <w:rsid w:val="73106FE2"/>
    <w:rsid w:val="7335ECF9"/>
    <w:rsid w:val="73528AED"/>
    <w:rsid w:val="73FC7501"/>
    <w:rsid w:val="746AF94B"/>
    <w:rsid w:val="74F89837"/>
    <w:rsid w:val="753E883A"/>
    <w:rsid w:val="754A153E"/>
    <w:rsid w:val="75744CD4"/>
    <w:rsid w:val="7607F365"/>
    <w:rsid w:val="7633CB4A"/>
    <w:rsid w:val="766808FB"/>
    <w:rsid w:val="76A7CF04"/>
    <w:rsid w:val="76CD5C88"/>
    <w:rsid w:val="770C051E"/>
    <w:rsid w:val="772F245D"/>
    <w:rsid w:val="77748EA5"/>
    <w:rsid w:val="77BD9784"/>
    <w:rsid w:val="77F36191"/>
    <w:rsid w:val="78109DFF"/>
    <w:rsid w:val="7840B16A"/>
    <w:rsid w:val="78615BF7"/>
    <w:rsid w:val="78752188"/>
    <w:rsid w:val="788EE645"/>
    <w:rsid w:val="78B68A34"/>
    <w:rsid w:val="78BDC8D7"/>
    <w:rsid w:val="78BE11C3"/>
    <w:rsid w:val="78D1DADB"/>
    <w:rsid w:val="7910B1EA"/>
    <w:rsid w:val="7932E930"/>
    <w:rsid w:val="795E2045"/>
    <w:rsid w:val="796FBFE0"/>
    <w:rsid w:val="797ABBB2"/>
    <w:rsid w:val="79AFE9BE"/>
    <w:rsid w:val="79D041CE"/>
    <w:rsid w:val="7A193231"/>
    <w:rsid w:val="7A21F3F0"/>
    <w:rsid w:val="7A4510C9"/>
    <w:rsid w:val="7A79821A"/>
    <w:rsid w:val="7AA6F457"/>
    <w:rsid w:val="7ACE33C8"/>
    <w:rsid w:val="7AD87777"/>
    <w:rsid w:val="7B9F56DE"/>
    <w:rsid w:val="7C160465"/>
    <w:rsid w:val="7C1706E8"/>
    <w:rsid w:val="7C2500FC"/>
    <w:rsid w:val="7C2D25CE"/>
    <w:rsid w:val="7C2F00DA"/>
    <w:rsid w:val="7C623411"/>
    <w:rsid w:val="7C8A678C"/>
    <w:rsid w:val="7CA7E2D7"/>
    <w:rsid w:val="7CC928E2"/>
    <w:rsid w:val="7CFF1317"/>
    <w:rsid w:val="7D061DB5"/>
    <w:rsid w:val="7D3F4C5A"/>
    <w:rsid w:val="7D4D665E"/>
    <w:rsid w:val="7D5C9F1F"/>
    <w:rsid w:val="7D79F30F"/>
    <w:rsid w:val="7DC1EED7"/>
    <w:rsid w:val="7DED933A"/>
    <w:rsid w:val="7DF3BB99"/>
    <w:rsid w:val="7E134C04"/>
    <w:rsid w:val="7E4DE9EA"/>
    <w:rsid w:val="7E5AE663"/>
    <w:rsid w:val="7E5E1002"/>
    <w:rsid w:val="7E6106D6"/>
    <w:rsid w:val="7E8B7864"/>
    <w:rsid w:val="7EF4CC6E"/>
    <w:rsid w:val="7EF58D90"/>
    <w:rsid w:val="7F0D06D0"/>
    <w:rsid w:val="7F0D289F"/>
    <w:rsid w:val="7F0F02E5"/>
    <w:rsid w:val="7F736E88"/>
    <w:rsid w:val="7F84F4C1"/>
    <w:rsid w:val="7F8CCDC9"/>
    <w:rsid w:val="7FB7F431"/>
    <w:rsid w:val="7FCB3F08"/>
    <w:rsid w:val="7FF2E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546C"/>
  <w15:docId w15:val="{DDE1943D-5655-421F-9412-11B39D5F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D2"/>
    <w:pPr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V table,CV1,Lentelė (default'inė)"/>
    <w:basedOn w:val="TableNormal"/>
    <w:uiPriority w:val="59"/>
    <w:rsid w:val="00EA2774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,Fußnote,Footnote Text Char Char,Footnote Text Char Char Char Char Char Char,Footnote Text Char Char Char Char Char,Footnote text,fn,Footnote Text Blue,Footnote Text Blue Char Char Char Char,stile 1,Footnote1,Footnote2"/>
    <w:basedOn w:val="Normal"/>
    <w:link w:val="FootnoteTextChar"/>
    <w:uiPriority w:val="99"/>
    <w:unhideWhenUsed/>
    <w:qFormat/>
    <w:rsid w:val="00683D5E"/>
    <w:rPr>
      <w:sz w:val="20"/>
    </w:rPr>
  </w:style>
  <w:style w:type="character" w:customStyle="1" w:styleId="FootnoteTextChar">
    <w:name w:val="Footnote Text Char"/>
    <w:aliases w:val="Footnote Char,Fußnote Char,Footnote Text Char Char Char,Footnote Text Char Char Char Char Char Char Char,Footnote Text Char Char Char Char Char Char1,Footnote text Char,fn Char,Footnote Text Blue Char,stile 1 Char,Footnote1 Char"/>
    <w:basedOn w:val="DefaultParagraphFont"/>
    <w:link w:val="FootnoteText"/>
    <w:uiPriority w:val="99"/>
    <w:qFormat/>
    <w:rsid w:val="00683D5E"/>
    <w:rPr>
      <w:rFonts w:eastAsia="Times New Roman"/>
      <w:sz w:val="20"/>
      <w:szCs w:val="20"/>
    </w:rPr>
  </w:style>
  <w:style w:type="character" w:styleId="FootnoteReference">
    <w:name w:val="footnote reference"/>
    <w:aliases w:val="Footnote Reference Number,Footnote Reference_LVL6,Footnote Reference_LVL61,Footnote Reference_LVL62,Footnote Reference_LVL63,Footnote Reference_LVL64,BVI fnr,Footnote symbol,Footnote anchor,Times 10 Point,Exposant 3 Point,fr,FR"/>
    <w:basedOn w:val="DefaultParagraphFont"/>
    <w:uiPriority w:val="99"/>
    <w:unhideWhenUsed/>
    <w:qFormat/>
    <w:rsid w:val="00683D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4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2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2B9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2B9"/>
    <w:rPr>
      <w:rFonts w:eastAsia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B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A40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aliases w:val="ERP-List Paragraph,List Paragraph11,Bullet EY,List Paragraph1,List Paragraph2,Normal bullet 2,Paragraph,List L1,Akapit z listą,Dot pt,F5 List Paragraph,Recommendation,Numerowanie,Kolorowa lista — akcent 11,Akapit z listą1,References,3"/>
    <w:basedOn w:val="Normal"/>
    <w:link w:val="ListParagraphChar"/>
    <w:uiPriority w:val="34"/>
    <w:qFormat/>
    <w:rsid w:val="00F4129E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346BA7"/>
    <w:pPr>
      <w:spacing w:line="276" w:lineRule="auto"/>
      <w:jc w:val="both"/>
    </w:pPr>
    <w:rPr>
      <w:rFonts w:eastAsia="Calibri"/>
      <w:spacing w:val="-2"/>
      <w:szCs w:val="24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rsid w:val="00346BA7"/>
    <w:rPr>
      <w:rFonts w:eastAsia="Calibri"/>
      <w:spacing w:val="-2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9265B8"/>
    <w:rPr>
      <w:color w:val="0000FF" w:themeColor="hyperlink"/>
      <w:u w:val="single"/>
    </w:rPr>
  </w:style>
  <w:style w:type="paragraph" w:customStyle="1" w:styleId="yiv7739911546msonormal">
    <w:name w:val="yiv7739911546msonormal"/>
    <w:basedOn w:val="Normal"/>
    <w:rsid w:val="00E13E09"/>
    <w:pPr>
      <w:spacing w:before="100" w:beforeAutospacing="1" w:after="100" w:afterAutospacing="1"/>
    </w:pPr>
    <w:rPr>
      <w:szCs w:val="24"/>
      <w:lang w:val="en-US"/>
    </w:rPr>
  </w:style>
  <w:style w:type="paragraph" w:customStyle="1" w:styleId="yiv6149565267msonormal">
    <w:name w:val="yiv6149565267msonormal"/>
    <w:basedOn w:val="Normal"/>
    <w:rsid w:val="00D07E79"/>
    <w:pPr>
      <w:spacing w:before="100" w:beforeAutospacing="1" w:after="100" w:afterAutospacing="1"/>
    </w:pPr>
    <w:rPr>
      <w:szCs w:val="24"/>
      <w:lang w:val="en-US"/>
    </w:rPr>
  </w:style>
  <w:style w:type="paragraph" w:customStyle="1" w:styleId="yiv7930451868msonormal">
    <w:name w:val="yiv7930451868msonormal"/>
    <w:basedOn w:val="Normal"/>
    <w:rsid w:val="00D07E79"/>
    <w:pPr>
      <w:spacing w:before="100" w:beforeAutospacing="1" w:after="100" w:afterAutospacing="1"/>
    </w:pPr>
    <w:rPr>
      <w:szCs w:val="24"/>
      <w:lang w:val="en-US"/>
    </w:rPr>
  </w:style>
  <w:style w:type="character" w:customStyle="1" w:styleId="ListParagraphChar">
    <w:name w:val="List Paragraph Char"/>
    <w:aliases w:val="ERP-List Paragraph Char,List Paragraph11 Char,Bullet EY Char,List Paragraph1 Char,List Paragraph2 Char,Normal bullet 2 Char,Paragraph Char,List L1 Char,Akapit z listą Char,Dot pt Char,F5 List Paragraph Char,Recommendation Char,3 Char"/>
    <w:basedOn w:val="DefaultParagraphFont"/>
    <w:link w:val="ListParagraph"/>
    <w:uiPriority w:val="34"/>
    <w:qFormat/>
    <w:locked/>
    <w:rsid w:val="00190679"/>
    <w:rPr>
      <w:rFonts w:eastAsia="Times New Roman"/>
      <w:szCs w:val="20"/>
    </w:rPr>
  </w:style>
  <w:style w:type="paragraph" w:styleId="Revision">
    <w:name w:val="Revision"/>
    <w:hidden/>
    <w:uiPriority w:val="99"/>
    <w:semiHidden/>
    <w:rsid w:val="00284F26"/>
    <w:pPr>
      <w:jc w:val="left"/>
    </w:pPr>
    <w:rPr>
      <w:rFonts w:eastAsia="Times New Roman"/>
      <w:szCs w:val="20"/>
    </w:rPr>
  </w:style>
  <w:style w:type="paragraph" w:customStyle="1" w:styleId="yiv1491704311msonormal">
    <w:name w:val="yiv1491704311msonormal"/>
    <w:basedOn w:val="Normal"/>
    <w:rsid w:val="005B2A5E"/>
    <w:pPr>
      <w:spacing w:before="100" w:beforeAutospacing="1" w:after="100" w:afterAutospacing="1"/>
    </w:pPr>
    <w:rPr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E463B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F97DD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00730D"/>
    <w:pPr>
      <w:numPr>
        <w:numId w:val="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9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60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023"/>
    <w:rPr>
      <w:rFonts w:eastAsia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460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023"/>
    <w:rPr>
      <w:rFonts w:eastAsia="Times New Roman"/>
      <w:szCs w:val="20"/>
    </w:rPr>
  </w:style>
  <w:style w:type="character" w:customStyle="1" w:styleId="cf01">
    <w:name w:val="cf01"/>
    <w:basedOn w:val="DefaultParagraphFont"/>
    <w:rsid w:val="006F58A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61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6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3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3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6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2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7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5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6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8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2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2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9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2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1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7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9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9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1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1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1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1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notes.xml.rels><?xml version="1.0" encoding="UTF-8" standalone="yes"?>
<Relationships xmlns="http://schemas.openxmlformats.org/package/2006/relationships">
   <Relationship Id="rId1" Target="about:blank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2" ma:contentTypeDescription="Create a new document." ma:contentTypeScope="" ma:versionID="474afcbfb165ab38848b5fe8cd70b220">
  <xsd:schema xmlns:xsd="http://www.w3.org/2001/XMLSchema" xmlns:xs="http://www.w3.org/2001/XMLSchema" xmlns:p="http://schemas.microsoft.com/office/2006/metadata/properties" xmlns:ns2="9f1f9ed6-0cb5-4fd9-b857-c22e100b9236" targetNamespace="http://schemas.microsoft.com/office/2006/metadata/properties" ma:root="true" ma:fieldsID="cb22021f51ab2a1fa7e098d8b556c8ec" ns2:_="">
    <xsd:import namespace="9f1f9ed6-0cb5-4fd9-b857-c22e100b9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1E3AAE-D935-42A8-BE22-7FB87EC5A6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2C626-AAB1-4B91-9368-4BBC46D16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3ADD9-C133-49AC-8BE5-46459C8F7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83F94D-E250-4640-A68C-73547034A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14969</Words>
  <Characters>8533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2021-07-20T06:05:00Z</dcterms:created>
  <dc:creator>Božena Zaikovska-Tomkevičienė</dc:creator>
  <cp:lastModifiedBy>Saulius Zubrys</cp:lastModifiedBy>
  <dcterms:modified xsi:type="dcterms:W3CDTF">2021-07-23T09:07:00Z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