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23CCB" w14:textId="2AE1CB0A" w:rsidR="00A406A0" w:rsidRPr="00745F42" w:rsidRDefault="00A406A0" w:rsidP="00A406A0">
      <w:pPr>
        <w:jc w:val="center"/>
        <w:rPr>
          <w:szCs w:val="24"/>
          <w:lang w:eastAsia="lt-LT"/>
        </w:rPr>
      </w:pPr>
    </w:p>
    <w:p w14:paraId="0C933C73" w14:textId="5FDA4711" w:rsidR="00A406A0" w:rsidRPr="00745F42" w:rsidRDefault="00500905" w:rsidP="01C07FEA">
      <w:pPr>
        <w:jc w:val="center"/>
        <w:rPr>
          <w:lang w:eastAsia="lt-LT"/>
        </w:rPr>
      </w:pPr>
      <w:r w:rsidRPr="01C07FEA">
        <w:rPr>
          <w:lang w:eastAsia="lt-LT"/>
        </w:rPr>
        <w:t>202</w:t>
      </w:r>
      <w:r w:rsidR="001352BF">
        <w:rPr>
          <w:lang w:eastAsia="lt-LT"/>
        </w:rPr>
        <w:t>2</w:t>
      </w:r>
      <w:bookmarkStart w:id="0" w:name="_GoBack"/>
      <w:bookmarkEnd w:id="0"/>
      <w:r w:rsidR="00A406A0" w:rsidRPr="01C07FEA">
        <w:rPr>
          <w:lang w:eastAsia="lt-LT"/>
        </w:rPr>
        <w:t>–20</w:t>
      </w:r>
      <w:r w:rsidRPr="01C07FEA">
        <w:rPr>
          <w:lang w:eastAsia="lt-LT"/>
        </w:rPr>
        <w:t>30</w:t>
      </w:r>
      <w:r w:rsidR="00A406A0" w:rsidRPr="01C07FEA">
        <w:rPr>
          <w:lang w:eastAsia="lt-LT"/>
        </w:rPr>
        <w:t xml:space="preserve"> M. </w:t>
      </w:r>
      <w:r w:rsidRPr="01C07FEA">
        <w:rPr>
          <w:lang w:eastAsia="lt-LT"/>
        </w:rPr>
        <w:t>MOKSLO</w:t>
      </w:r>
      <w:r w:rsidR="00A406A0" w:rsidRPr="01C07FEA">
        <w:rPr>
          <w:lang w:eastAsia="lt-LT"/>
        </w:rPr>
        <w:t xml:space="preserve"> PLĖTROS PROGRAMOS PAGRINDIMAS</w:t>
      </w:r>
      <w:r w:rsidR="00517930" w:rsidRPr="01C07FEA">
        <w:rPr>
          <w:rStyle w:val="Puslapioinaosnuoroda"/>
          <w:lang w:eastAsia="lt-LT"/>
        </w:rPr>
        <w:footnoteReference w:id="1"/>
      </w:r>
    </w:p>
    <w:p w14:paraId="3B8A92FA" w14:textId="77777777" w:rsidR="00A406A0" w:rsidRPr="00745F42" w:rsidRDefault="00A406A0" w:rsidP="00A406A0">
      <w:pPr>
        <w:jc w:val="center"/>
        <w:rPr>
          <w:szCs w:val="24"/>
          <w:lang w:eastAsia="lt-LT"/>
        </w:rPr>
      </w:pPr>
    </w:p>
    <w:p w14:paraId="4E356167" w14:textId="77777777" w:rsidR="00A406A0" w:rsidRPr="00745F42" w:rsidRDefault="01C07FEA" w:rsidP="01C07FEA">
      <w:pPr>
        <w:jc w:val="center"/>
        <w:rPr>
          <w:lang w:eastAsia="lt-LT"/>
        </w:rPr>
      </w:pPr>
      <w:r w:rsidRPr="01C07FEA">
        <w:rPr>
          <w:lang w:eastAsia="lt-LT"/>
        </w:rPr>
        <w:t>Plėtros programos valdytojas – Švietimo, mokslo ir sporto ministerija</w:t>
      </w:r>
    </w:p>
    <w:p w14:paraId="577FBAB9" w14:textId="77777777" w:rsidR="00A406A0" w:rsidRPr="00745F42" w:rsidRDefault="00A406A0" w:rsidP="00A406A0"/>
    <w:p w14:paraId="5A2B3B39" w14:textId="77777777" w:rsidR="00A406A0" w:rsidRPr="00745F42" w:rsidRDefault="00A406A0" w:rsidP="00A406A0">
      <w:pPr>
        <w:ind w:left="284" w:hanging="284"/>
        <w:jc w:val="center"/>
        <w:rPr>
          <w:b/>
          <w:color w:val="000000"/>
        </w:rPr>
      </w:pPr>
    </w:p>
    <w:p w14:paraId="478BE8C0" w14:textId="77777777" w:rsidR="00A406A0" w:rsidRPr="00745F42" w:rsidRDefault="01C07FEA" w:rsidP="01C07FEA">
      <w:pPr>
        <w:ind w:left="284" w:hanging="284"/>
        <w:jc w:val="center"/>
        <w:rPr>
          <w:b/>
          <w:bCs/>
          <w:caps/>
        </w:rPr>
      </w:pPr>
      <w:r w:rsidRPr="01C07FEA">
        <w:rPr>
          <w:b/>
          <w:bCs/>
          <w:caps/>
        </w:rPr>
        <w:t>Plėtros programos paskirtis</w:t>
      </w:r>
    </w:p>
    <w:p w14:paraId="5D6CEEEE" w14:textId="77777777" w:rsidR="00A406A0" w:rsidRPr="00745F42" w:rsidRDefault="00A406A0" w:rsidP="00A406A0">
      <w:pPr>
        <w:ind w:left="284" w:hanging="284"/>
        <w:jc w:val="center"/>
        <w:rPr>
          <w:b/>
          <w:color w:val="000000"/>
        </w:rPr>
      </w:pPr>
    </w:p>
    <w:tbl>
      <w:tblPr>
        <w:tblStyle w:val="Lentelstinklelis"/>
        <w:tblW w:w="13887" w:type="dxa"/>
        <w:tblInd w:w="113" w:type="dxa"/>
        <w:tblLayout w:type="fixed"/>
        <w:tblLook w:val="04A0" w:firstRow="1" w:lastRow="0" w:firstColumn="1" w:lastColumn="0" w:noHBand="0" w:noVBand="1"/>
      </w:tblPr>
      <w:tblGrid>
        <w:gridCol w:w="13887"/>
      </w:tblGrid>
      <w:tr w:rsidR="00A406A0" w:rsidRPr="00745F42" w14:paraId="275D9423" w14:textId="77777777" w:rsidTr="01C07FEA">
        <w:trPr>
          <w:trHeight w:val="70"/>
        </w:trPr>
        <w:tc>
          <w:tcPr>
            <w:tcW w:w="13887" w:type="dxa"/>
            <w:shd w:val="clear" w:color="auto" w:fill="DBE5F1" w:themeFill="accent1" w:themeFillTint="33"/>
          </w:tcPr>
          <w:p w14:paraId="371710DB" w14:textId="77777777" w:rsidR="008921CE" w:rsidRPr="00745F42" w:rsidRDefault="01C07FEA" w:rsidP="01C07FEA">
            <w:pPr>
              <w:jc w:val="both"/>
              <w:rPr>
                <w:b/>
                <w:bCs/>
                <w:sz w:val="20"/>
              </w:rPr>
            </w:pPr>
            <w:r w:rsidRPr="01C07FEA">
              <w:rPr>
                <w:b/>
                <w:bCs/>
                <w:sz w:val="20"/>
              </w:rPr>
              <w:t>NPP uždavinys:</w:t>
            </w:r>
          </w:p>
          <w:p w14:paraId="0AEE66B9" w14:textId="77777777" w:rsidR="00A406A0" w:rsidRPr="00745F42" w:rsidRDefault="01C07FEA" w:rsidP="01C07FEA">
            <w:pPr>
              <w:jc w:val="both"/>
              <w:rPr>
                <w:b/>
                <w:bCs/>
                <w:sz w:val="20"/>
                <w:lang w:eastAsia="lt-LT"/>
              </w:rPr>
            </w:pPr>
            <w:r w:rsidRPr="01C07FEA">
              <w:rPr>
                <w:b/>
                <w:bCs/>
                <w:sz w:val="20"/>
              </w:rPr>
              <w:t xml:space="preserve">1.1. </w:t>
            </w:r>
            <w:r w:rsidRPr="01C07FEA">
              <w:rPr>
                <w:b/>
                <w:bCs/>
                <w:sz w:val="20"/>
                <w:lang w:eastAsia="lt-LT"/>
              </w:rPr>
              <w:t>Stiprinti žmonių išteklius ir kompetencijas aukšto lygio mokslui ir mokslu grįstoms technologijoms kurti</w:t>
            </w:r>
          </w:p>
          <w:p w14:paraId="76E76D6B" w14:textId="77777777" w:rsidR="008921CE" w:rsidRPr="00745F42" w:rsidRDefault="008921CE" w:rsidP="008D03CB">
            <w:pPr>
              <w:jc w:val="both"/>
              <w:rPr>
                <w:b/>
                <w:sz w:val="20"/>
                <w:lang w:eastAsia="lt-LT"/>
              </w:rPr>
            </w:pPr>
          </w:p>
        </w:tc>
      </w:tr>
      <w:tr w:rsidR="00A406A0" w:rsidRPr="00745F42" w14:paraId="26814DCE" w14:textId="77777777" w:rsidTr="01C07FEA">
        <w:trPr>
          <w:trHeight w:val="70"/>
        </w:trPr>
        <w:tc>
          <w:tcPr>
            <w:tcW w:w="13887" w:type="dxa"/>
            <w:shd w:val="clear" w:color="auto" w:fill="FFFFFF" w:themeFill="background1"/>
          </w:tcPr>
          <w:p w14:paraId="4C08DCB4" w14:textId="77777777" w:rsidR="008921CE" w:rsidRPr="00745F42" w:rsidRDefault="01C07FEA" w:rsidP="01C07FEA">
            <w:pPr>
              <w:jc w:val="both"/>
              <w:rPr>
                <w:b/>
                <w:bCs/>
                <w:sz w:val="20"/>
              </w:rPr>
            </w:pPr>
            <w:r w:rsidRPr="01C07FEA">
              <w:rPr>
                <w:b/>
                <w:bCs/>
                <w:sz w:val="20"/>
              </w:rPr>
              <w:t>1 problema:</w:t>
            </w:r>
          </w:p>
          <w:p w14:paraId="0B07C501" w14:textId="77777777" w:rsidR="008921CE" w:rsidRPr="00745F42" w:rsidRDefault="01C07FEA" w:rsidP="01C07FEA">
            <w:pPr>
              <w:jc w:val="both"/>
              <w:rPr>
                <w:b/>
                <w:bCs/>
                <w:sz w:val="20"/>
              </w:rPr>
            </w:pPr>
            <w:r w:rsidRPr="01C07FEA">
              <w:rPr>
                <w:b/>
                <w:bCs/>
                <w:sz w:val="20"/>
              </w:rPr>
              <w:t>Aukšto tarptautinio lygio tyrėjų trūkumas Lietuvos mokslo sistemoje</w:t>
            </w:r>
          </w:p>
          <w:p w14:paraId="441D6226" w14:textId="77777777" w:rsidR="00B477CD" w:rsidRPr="00745F42" w:rsidRDefault="00B477CD" w:rsidP="008921CE">
            <w:pPr>
              <w:jc w:val="both"/>
              <w:rPr>
                <w:sz w:val="20"/>
              </w:rPr>
            </w:pPr>
          </w:p>
          <w:p w14:paraId="364B1AC8" w14:textId="15A2A12E" w:rsidR="00740D41" w:rsidRPr="00745F42" w:rsidRDefault="002903AF" w:rsidP="01C07FEA">
            <w:pPr>
              <w:jc w:val="both"/>
              <w:rPr>
                <w:sz w:val="20"/>
              </w:rPr>
            </w:pPr>
            <w:r w:rsidRPr="01C07FEA">
              <w:rPr>
                <w:sz w:val="20"/>
              </w:rPr>
              <w:t xml:space="preserve">Nors Lietuva kasmet </w:t>
            </w:r>
            <w:r w:rsidRPr="01C07FEA">
              <w:rPr>
                <w:i/>
                <w:iCs/>
                <w:sz w:val="20"/>
              </w:rPr>
              <w:t>Europos inovacijų švieslentėje</w:t>
            </w:r>
            <w:r w:rsidRPr="01C07FEA">
              <w:rPr>
                <w:sz w:val="20"/>
              </w:rPr>
              <w:t xml:space="preserve"> demonstruoja didži</w:t>
            </w:r>
            <w:r w:rsidR="00D950AC" w:rsidRPr="01C07FEA">
              <w:rPr>
                <w:sz w:val="20"/>
              </w:rPr>
              <w:t xml:space="preserve">ausią </w:t>
            </w:r>
            <w:r w:rsidR="00D837B4" w:rsidRPr="01C07FEA">
              <w:rPr>
                <w:sz w:val="20"/>
              </w:rPr>
              <w:t xml:space="preserve">ilgalaikę </w:t>
            </w:r>
            <w:r w:rsidR="00D950AC" w:rsidRPr="01C07FEA">
              <w:rPr>
                <w:sz w:val="20"/>
              </w:rPr>
              <w:t>pažangą tarp E</w:t>
            </w:r>
            <w:r w:rsidR="0066742A" w:rsidRPr="01C07FEA">
              <w:rPr>
                <w:sz w:val="20"/>
              </w:rPr>
              <w:t>S</w:t>
            </w:r>
            <w:r w:rsidR="00D950AC" w:rsidRPr="01C07FEA">
              <w:rPr>
                <w:sz w:val="20"/>
              </w:rPr>
              <w:t xml:space="preserve"> valstybių</w:t>
            </w:r>
            <w:r w:rsidR="00D837B4" w:rsidRPr="01C07FEA">
              <w:rPr>
                <w:sz w:val="20"/>
              </w:rPr>
              <w:t xml:space="preserve"> (2012-2019 m. laikotarpiu Lietuvos pažanga siekė 27,8 procentinius punktus, kai ES vidurkis – 8,9 proc. p.)</w:t>
            </w:r>
            <w:r w:rsidR="00D950AC" w:rsidRPr="01C07FEA">
              <w:rPr>
                <w:sz w:val="20"/>
              </w:rPr>
              <w:t xml:space="preserve">, tačiau to vis dar nepakanka, kad suminiame mokslo ir inovacijų reitinge </w:t>
            </w:r>
            <w:r w:rsidR="00791EDE" w:rsidRPr="01C07FEA">
              <w:rPr>
                <w:sz w:val="20"/>
              </w:rPr>
              <w:t xml:space="preserve">šalis </w:t>
            </w:r>
            <w:r w:rsidR="00D950AC" w:rsidRPr="01C07FEA">
              <w:rPr>
                <w:sz w:val="20"/>
              </w:rPr>
              <w:t xml:space="preserve">reikšmingai sumažintų atotrūkį, galėtų konkuruoti su pirmaujančiomis </w:t>
            </w:r>
            <w:r w:rsidR="00E67F8D" w:rsidRPr="01C07FEA">
              <w:rPr>
                <w:sz w:val="20"/>
              </w:rPr>
              <w:t xml:space="preserve">ES </w:t>
            </w:r>
            <w:r w:rsidR="00D950AC" w:rsidRPr="01C07FEA">
              <w:rPr>
                <w:sz w:val="20"/>
              </w:rPr>
              <w:t>šalimis.</w:t>
            </w:r>
            <w:r w:rsidR="00D950AC" w:rsidRPr="01C07FEA">
              <w:rPr>
                <w:rStyle w:val="Puslapioinaosnuoroda"/>
                <w:sz w:val="20"/>
              </w:rPr>
              <w:footnoteReference w:id="2"/>
            </w:r>
            <w:r w:rsidR="00D950AC" w:rsidRPr="01C07FEA">
              <w:rPr>
                <w:sz w:val="20"/>
              </w:rPr>
              <w:t xml:space="preserve"> Re</w:t>
            </w:r>
            <w:r w:rsidR="0066742A" w:rsidRPr="01C07FEA">
              <w:rPr>
                <w:sz w:val="20"/>
              </w:rPr>
              <w:t>itingo lyderės pasižymi gausiu mokslo ir studijų institucijose (toliau – MSI)</w:t>
            </w:r>
            <w:r w:rsidR="00AC0483" w:rsidRPr="01C07FEA">
              <w:rPr>
                <w:rStyle w:val="Puslapioinaosnuoroda"/>
                <w:sz w:val="20"/>
              </w:rPr>
              <w:footnoteReference w:id="3"/>
            </w:r>
            <w:r w:rsidR="0066742A" w:rsidRPr="01C07FEA">
              <w:rPr>
                <w:sz w:val="20"/>
              </w:rPr>
              <w:t xml:space="preserve"> dirbančių </w:t>
            </w:r>
            <w:r w:rsidR="00904200" w:rsidRPr="01C07FEA">
              <w:rPr>
                <w:sz w:val="20"/>
              </w:rPr>
              <w:t xml:space="preserve">kompetentingų </w:t>
            </w:r>
            <w:r w:rsidR="0066742A" w:rsidRPr="01C07FEA">
              <w:rPr>
                <w:sz w:val="20"/>
              </w:rPr>
              <w:t>tyrėjų skaičiumi (</w:t>
            </w:r>
            <w:r w:rsidR="00904200" w:rsidRPr="01C07FEA">
              <w:rPr>
                <w:sz w:val="20"/>
              </w:rPr>
              <w:t>Suomijoje – 0,</w:t>
            </w:r>
            <w:r w:rsidR="00603D53" w:rsidRPr="01C07FEA">
              <w:rPr>
                <w:sz w:val="20"/>
              </w:rPr>
              <w:t>62</w:t>
            </w:r>
            <w:r w:rsidR="00904200" w:rsidRPr="01C07FEA">
              <w:rPr>
                <w:sz w:val="20"/>
              </w:rPr>
              <w:t xml:space="preserve"> proc. nuo visos darbo jėgos sudaro MSI tyrėjai skaičiuojant visos darbo dienos ekvivalentu, Danijoje – 0,</w:t>
            </w:r>
            <w:r w:rsidR="00603D53" w:rsidRPr="01C07FEA">
              <w:rPr>
                <w:sz w:val="20"/>
              </w:rPr>
              <w:t>63</w:t>
            </w:r>
            <w:r w:rsidR="00904200" w:rsidRPr="01C07FEA">
              <w:rPr>
                <w:sz w:val="20"/>
              </w:rPr>
              <w:t xml:space="preserve"> proc.</w:t>
            </w:r>
            <w:r w:rsidR="0066742A" w:rsidRPr="01C07FEA">
              <w:rPr>
                <w:sz w:val="20"/>
              </w:rPr>
              <w:t>)</w:t>
            </w:r>
            <w:r w:rsidR="00904200" w:rsidRPr="01C07FEA">
              <w:rPr>
                <w:rStyle w:val="Puslapioinaosnuoroda"/>
                <w:sz w:val="20"/>
              </w:rPr>
              <w:footnoteReference w:id="4"/>
            </w:r>
            <w:r w:rsidR="000F1EC4" w:rsidRPr="01C07FEA">
              <w:rPr>
                <w:sz w:val="20"/>
              </w:rPr>
              <w:t>, nuolat pasipildančiu naujais talentais tyrėjų branduoliu (tyrėjų amžiaus vidurkis Liuksemburge 37,4 m., Belgijoje – 40,3 m., ES vidurkis – 46,8 m., o Lietuvoje – 48 m.)</w:t>
            </w:r>
            <w:r w:rsidR="000F1EC4" w:rsidRPr="01C07FEA">
              <w:rPr>
                <w:rStyle w:val="Puslapioinaosnuoroda"/>
                <w:sz w:val="20"/>
              </w:rPr>
              <w:footnoteReference w:id="5"/>
            </w:r>
            <w:r w:rsidR="000F1EC4" w:rsidRPr="01C07FEA">
              <w:rPr>
                <w:sz w:val="20"/>
              </w:rPr>
              <w:t>.</w:t>
            </w:r>
            <w:r w:rsidR="00A40626" w:rsidRPr="01C07FEA">
              <w:rPr>
                <w:sz w:val="20"/>
              </w:rPr>
              <w:t xml:space="preserve"> </w:t>
            </w:r>
            <w:r w:rsidR="00904200" w:rsidRPr="01C07FEA">
              <w:rPr>
                <w:sz w:val="20"/>
              </w:rPr>
              <w:t xml:space="preserve">Aukštos kompetencijos tyrėjų pritraukimas ir išlaikymas MSI reikalauja didelių finansinių išteklių. Šiuo metu </w:t>
            </w:r>
            <w:r w:rsidR="007E2E0A" w:rsidRPr="01C07FEA">
              <w:rPr>
                <w:sz w:val="20"/>
              </w:rPr>
              <w:t xml:space="preserve">Lietuva negali pasigirti nei gausesniu tyrėjų skaičiumi MSI reikalingu proveržiui mokslinių tyrimų ir eksperimentinės plėtros (toliau – MTEP) srityje, nei konkurencingu atlygiu jiems – </w:t>
            </w:r>
            <w:r w:rsidR="00904200" w:rsidRPr="01C07FEA">
              <w:rPr>
                <w:sz w:val="20"/>
              </w:rPr>
              <w:t xml:space="preserve">tyrėjų </w:t>
            </w:r>
            <w:r w:rsidR="007E2E0A" w:rsidRPr="01C07FEA">
              <w:rPr>
                <w:sz w:val="20"/>
              </w:rPr>
              <w:t>dalis</w:t>
            </w:r>
            <w:r w:rsidR="00904200" w:rsidRPr="01C07FEA">
              <w:rPr>
                <w:sz w:val="20"/>
              </w:rPr>
              <w:t xml:space="preserve"> Lietuvos </w:t>
            </w:r>
            <w:r w:rsidR="00D805E3" w:rsidRPr="01C07FEA">
              <w:rPr>
                <w:sz w:val="20"/>
              </w:rPr>
              <w:t xml:space="preserve">MSI yra </w:t>
            </w:r>
            <w:r w:rsidR="007E2E0A" w:rsidRPr="01C07FEA">
              <w:rPr>
                <w:sz w:val="20"/>
              </w:rPr>
              <w:t>artima</w:t>
            </w:r>
            <w:r w:rsidR="00904200" w:rsidRPr="01C07FEA">
              <w:rPr>
                <w:sz w:val="20"/>
              </w:rPr>
              <w:t xml:space="preserve"> ES vidurki</w:t>
            </w:r>
            <w:r w:rsidR="007E2E0A" w:rsidRPr="01C07FEA">
              <w:rPr>
                <w:sz w:val="20"/>
              </w:rPr>
              <w:t>ui</w:t>
            </w:r>
            <w:r w:rsidR="00904200" w:rsidRPr="01C07FEA">
              <w:rPr>
                <w:sz w:val="20"/>
              </w:rPr>
              <w:t xml:space="preserve"> (</w:t>
            </w:r>
            <w:r w:rsidR="00D805E3" w:rsidRPr="01C07FEA">
              <w:rPr>
                <w:sz w:val="20"/>
              </w:rPr>
              <w:t>201</w:t>
            </w:r>
            <w:r w:rsidR="00603D53" w:rsidRPr="01C07FEA">
              <w:rPr>
                <w:sz w:val="20"/>
              </w:rPr>
              <w:t>9</w:t>
            </w:r>
            <w:r w:rsidR="00D805E3" w:rsidRPr="01C07FEA">
              <w:rPr>
                <w:sz w:val="20"/>
              </w:rPr>
              <w:t xml:space="preserve"> m. duomenimis, </w:t>
            </w:r>
            <w:r w:rsidR="00904200" w:rsidRPr="01C07FEA">
              <w:rPr>
                <w:sz w:val="20"/>
              </w:rPr>
              <w:t>atitinkamai 0,4</w:t>
            </w:r>
            <w:r w:rsidR="00603D53" w:rsidRPr="01C07FEA">
              <w:rPr>
                <w:sz w:val="20"/>
              </w:rPr>
              <w:t>6</w:t>
            </w:r>
            <w:r w:rsidR="00904200" w:rsidRPr="01C07FEA">
              <w:rPr>
                <w:sz w:val="20"/>
              </w:rPr>
              <w:t xml:space="preserve"> proc. ir 0,3</w:t>
            </w:r>
            <w:r w:rsidR="00603D53" w:rsidRPr="01C07FEA">
              <w:rPr>
                <w:sz w:val="20"/>
              </w:rPr>
              <w:t>9</w:t>
            </w:r>
            <w:r w:rsidR="00904200" w:rsidRPr="01C07FEA">
              <w:rPr>
                <w:sz w:val="20"/>
              </w:rPr>
              <w:t xml:space="preserve"> proc.), nors skiriamas finansavimas yra ženkliai mažesnis (</w:t>
            </w:r>
            <w:r w:rsidR="00E6581E" w:rsidRPr="01C07FEA">
              <w:rPr>
                <w:sz w:val="20"/>
              </w:rPr>
              <w:t xml:space="preserve">išlaidos MTEP </w:t>
            </w:r>
            <w:r w:rsidR="00904200" w:rsidRPr="01C07FEA">
              <w:rPr>
                <w:sz w:val="20"/>
              </w:rPr>
              <w:t>aukštojo mokslo ir valdžios sektoriuose</w:t>
            </w:r>
            <w:r w:rsidR="00E6581E" w:rsidRPr="01C07FEA">
              <w:rPr>
                <w:sz w:val="20"/>
              </w:rPr>
              <w:t xml:space="preserve"> vienam Lietuvos tyrėjui </w:t>
            </w:r>
            <w:r w:rsidR="00A40626" w:rsidRPr="01C07FEA">
              <w:rPr>
                <w:sz w:val="20"/>
              </w:rPr>
              <w:t xml:space="preserve">per metus </w:t>
            </w:r>
            <w:r w:rsidR="00E6581E" w:rsidRPr="01C07FEA">
              <w:rPr>
                <w:sz w:val="20"/>
              </w:rPr>
              <w:t xml:space="preserve">sudarytų 40 tūkst. </w:t>
            </w:r>
            <w:proofErr w:type="spellStart"/>
            <w:r w:rsidR="00E6581E" w:rsidRPr="01C07FEA">
              <w:rPr>
                <w:sz w:val="20"/>
              </w:rPr>
              <w:t>Eur</w:t>
            </w:r>
            <w:proofErr w:type="spellEnd"/>
            <w:r w:rsidR="00E6581E" w:rsidRPr="01C07FEA">
              <w:rPr>
                <w:sz w:val="20"/>
              </w:rPr>
              <w:t>, kai vidutiniškai ES vienam tyrėju</w:t>
            </w:r>
            <w:r w:rsidR="000E64EC" w:rsidRPr="01C07FEA">
              <w:rPr>
                <w:sz w:val="20"/>
              </w:rPr>
              <w:t>i tenka net tris kartus daugiau –</w:t>
            </w:r>
            <w:r w:rsidR="00E6581E" w:rsidRPr="01C07FEA">
              <w:rPr>
                <w:sz w:val="20"/>
              </w:rPr>
              <w:t xml:space="preserve"> 120 tūkst. </w:t>
            </w:r>
            <w:proofErr w:type="spellStart"/>
            <w:r w:rsidR="00E6581E" w:rsidRPr="01C07FEA">
              <w:rPr>
                <w:sz w:val="20"/>
              </w:rPr>
              <w:t>Eur</w:t>
            </w:r>
            <w:proofErr w:type="spellEnd"/>
            <w:r w:rsidR="00904200" w:rsidRPr="01C07FEA">
              <w:rPr>
                <w:sz w:val="20"/>
              </w:rPr>
              <w:t>)</w:t>
            </w:r>
            <w:r w:rsidR="00E6581E" w:rsidRPr="01C07FEA">
              <w:rPr>
                <w:rStyle w:val="Puslapioinaosnuoroda"/>
                <w:sz w:val="20"/>
              </w:rPr>
              <w:footnoteReference w:id="6"/>
            </w:r>
            <w:r w:rsidR="00904200" w:rsidRPr="01C07FEA">
              <w:rPr>
                <w:sz w:val="20"/>
              </w:rPr>
              <w:t>. Tokia situacija turi neigiamą poveikį MSI gebėjimui pritraukti geriausius kandidatus ir juos išlaikyti, tyrėjų motyvacijai ir produktyvumui, MSI veiklos tvarumui ir rezultatų kokybei</w:t>
            </w:r>
            <w:r w:rsidR="00E6581E" w:rsidRPr="01C07FEA">
              <w:rPr>
                <w:sz w:val="20"/>
              </w:rPr>
              <w:t>.</w:t>
            </w:r>
            <w:r w:rsidR="00E6581E" w:rsidRPr="01C07FEA">
              <w:rPr>
                <w:rStyle w:val="Puslapioinaosnuoroda"/>
                <w:sz w:val="20"/>
              </w:rPr>
              <w:footnoteReference w:id="7"/>
            </w:r>
          </w:p>
          <w:p w14:paraId="7A4F2F5D" w14:textId="77777777" w:rsidR="00E67F8D" w:rsidRPr="00745F42" w:rsidRDefault="00E67F8D" w:rsidP="01C07FEA">
            <w:pPr>
              <w:jc w:val="both"/>
              <w:rPr>
                <w:sz w:val="20"/>
              </w:rPr>
            </w:pPr>
            <w:r w:rsidRPr="01C07FEA">
              <w:rPr>
                <w:sz w:val="20"/>
              </w:rPr>
              <w:lastRenderedPageBreak/>
              <w:t xml:space="preserve">Perpus mažesnis doktorantūros absolventų skaičius nei vidutiniškai ES </w:t>
            </w:r>
            <w:r w:rsidR="008F395B" w:rsidRPr="01C07FEA">
              <w:rPr>
                <w:sz w:val="20"/>
              </w:rPr>
              <w:t>(</w:t>
            </w:r>
            <w:r w:rsidR="00C5640C" w:rsidRPr="01C07FEA">
              <w:rPr>
                <w:sz w:val="20"/>
              </w:rPr>
              <w:t xml:space="preserve">Lietuvoje 0,9 </w:t>
            </w:r>
            <w:r w:rsidR="006E54A2" w:rsidRPr="01C07FEA">
              <w:rPr>
                <w:sz w:val="20"/>
              </w:rPr>
              <w:t>naujų daktaro laipsnį įgijusiųjų</w:t>
            </w:r>
            <w:r w:rsidR="00C5640C" w:rsidRPr="01C07FEA">
              <w:rPr>
                <w:sz w:val="20"/>
              </w:rPr>
              <w:t xml:space="preserve"> tūkstančiui gyventojų, vidutiniškai ES – 1,9</w:t>
            </w:r>
            <w:r w:rsidR="008F395B" w:rsidRPr="01C07FEA">
              <w:rPr>
                <w:sz w:val="20"/>
              </w:rPr>
              <w:t>)</w:t>
            </w:r>
            <w:r w:rsidR="00C5640C" w:rsidRPr="01C07FEA">
              <w:rPr>
                <w:rStyle w:val="Puslapioinaosnuoroda"/>
                <w:sz w:val="20"/>
              </w:rPr>
              <w:footnoteReference w:id="8"/>
            </w:r>
            <w:r w:rsidR="008F395B" w:rsidRPr="01C07FEA">
              <w:rPr>
                <w:sz w:val="20"/>
              </w:rPr>
              <w:t xml:space="preserve"> </w:t>
            </w:r>
            <w:r w:rsidRPr="01C07FEA">
              <w:rPr>
                <w:sz w:val="20"/>
              </w:rPr>
              <w:t xml:space="preserve">ir </w:t>
            </w:r>
            <w:r w:rsidR="00D805E3" w:rsidRPr="01C07FEA">
              <w:rPr>
                <w:sz w:val="20"/>
              </w:rPr>
              <w:t xml:space="preserve">nedidelis </w:t>
            </w:r>
            <w:r w:rsidRPr="01C07FEA">
              <w:rPr>
                <w:sz w:val="20"/>
              </w:rPr>
              <w:t>užsieni</w:t>
            </w:r>
            <w:r w:rsidR="00D805E3" w:rsidRPr="01C07FEA">
              <w:rPr>
                <w:sz w:val="20"/>
              </w:rPr>
              <w:t>o talentų pritraukimo procentas</w:t>
            </w:r>
            <w:r w:rsidR="008F395B" w:rsidRPr="01C07FEA">
              <w:rPr>
                <w:sz w:val="20"/>
              </w:rPr>
              <w:t xml:space="preserve"> (Lietuva –</w:t>
            </w:r>
            <w:r w:rsidR="00C5640C" w:rsidRPr="01C07FEA">
              <w:rPr>
                <w:sz w:val="20"/>
              </w:rPr>
              <w:t xml:space="preserve"> 6,8 proc. nuo visų doktorantų</w:t>
            </w:r>
            <w:r w:rsidR="008F395B" w:rsidRPr="01C07FEA">
              <w:rPr>
                <w:sz w:val="20"/>
              </w:rPr>
              <w:t xml:space="preserve">, kai ES vidurkis </w:t>
            </w:r>
            <w:r w:rsidR="00C5640C" w:rsidRPr="01C07FEA">
              <w:rPr>
                <w:sz w:val="20"/>
              </w:rPr>
              <w:t>virš</w:t>
            </w:r>
            <w:r w:rsidR="008F395B" w:rsidRPr="01C07FEA">
              <w:rPr>
                <w:sz w:val="20"/>
              </w:rPr>
              <w:t xml:space="preserve"> </w:t>
            </w:r>
            <w:r w:rsidR="00C5640C" w:rsidRPr="01C07FEA">
              <w:rPr>
                <w:sz w:val="20"/>
              </w:rPr>
              <w:t>20 proc.</w:t>
            </w:r>
            <w:r w:rsidR="008F395B" w:rsidRPr="01C07FEA">
              <w:rPr>
                <w:sz w:val="20"/>
              </w:rPr>
              <w:t>)</w:t>
            </w:r>
            <w:r w:rsidR="00C5640C" w:rsidRPr="01C07FEA">
              <w:rPr>
                <w:rStyle w:val="Puslapioinaosnuoroda"/>
                <w:sz w:val="20"/>
              </w:rPr>
              <w:footnoteReference w:id="9"/>
            </w:r>
            <w:r w:rsidR="00D805E3" w:rsidRPr="01C07FEA">
              <w:rPr>
                <w:sz w:val="20"/>
              </w:rPr>
              <w:t xml:space="preserve"> </w:t>
            </w:r>
            <w:r w:rsidR="00C5640C" w:rsidRPr="01C07FEA">
              <w:rPr>
                <w:sz w:val="20"/>
              </w:rPr>
              <w:t>identifikuoja</w:t>
            </w:r>
            <w:r w:rsidR="00D805E3" w:rsidRPr="01C07FEA">
              <w:rPr>
                <w:sz w:val="20"/>
              </w:rPr>
              <w:t xml:space="preserve"> </w:t>
            </w:r>
            <w:r w:rsidR="00C5640C" w:rsidRPr="01C07FEA">
              <w:rPr>
                <w:sz w:val="20"/>
              </w:rPr>
              <w:t xml:space="preserve">ir </w:t>
            </w:r>
            <w:r w:rsidR="00D805E3" w:rsidRPr="01C07FEA">
              <w:rPr>
                <w:sz w:val="20"/>
              </w:rPr>
              <w:t xml:space="preserve">menką konkurenciją dėl tyrėjų pozicijų </w:t>
            </w:r>
            <w:r w:rsidR="00BD5F47" w:rsidRPr="01C07FEA">
              <w:rPr>
                <w:sz w:val="20"/>
              </w:rPr>
              <w:t>Lietuvos mokslo sistemoje.</w:t>
            </w:r>
          </w:p>
          <w:p w14:paraId="4AD8F247" w14:textId="0C20FA0B" w:rsidR="000E64EC" w:rsidRPr="00745F42" w:rsidRDefault="00E67F8D" w:rsidP="01C07FEA">
            <w:pPr>
              <w:jc w:val="both"/>
              <w:rPr>
                <w:sz w:val="20"/>
              </w:rPr>
            </w:pPr>
            <w:r w:rsidRPr="01C07FEA">
              <w:rPr>
                <w:sz w:val="20"/>
              </w:rPr>
              <w:t xml:space="preserve">Siekiant mažinti atotrūkį </w:t>
            </w:r>
            <w:r w:rsidR="00C5640C" w:rsidRPr="01C07FEA">
              <w:rPr>
                <w:sz w:val="20"/>
              </w:rPr>
              <w:t xml:space="preserve">nuo Šiaurės ir Vakarų Europos valstybių </w:t>
            </w:r>
            <w:r w:rsidRPr="01C07FEA">
              <w:rPr>
                <w:sz w:val="20"/>
              </w:rPr>
              <w:t xml:space="preserve">mokslo srityje </w:t>
            </w:r>
            <w:r w:rsidR="000E64EC" w:rsidRPr="01C07FEA">
              <w:rPr>
                <w:sz w:val="20"/>
              </w:rPr>
              <w:t xml:space="preserve">būtinas tyrėjų skaičiaus ir kompetencijos </w:t>
            </w:r>
            <w:r w:rsidR="00B67CBD" w:rsidRPr="01C07FEA">
              <w:rPr>
                <w:sz w:val="20"/>
              </w:rPr>
              <w:t>(pasiekiama, visų pirma, per nuoseklų tyrėjų rengimo procesą ir MTEP veiklos praktinį vykdymą</w:t>
            </w:r>
            <w:r w:rsidR="00B67CBD" w:rsidRPr="01C07FEA">
              <w:rPr>
                <w:rStyle w:val="Puslapioinaosnuoroda"/>
                <w:sz w:val="20"/>
              </w:rPr>
              <w:footnoteReference w:id="10"/>
            </w:r>
            <w:r w:rsidR="00B67CBD" w:rsidRPr="01C07FEA">
              <w:rPr>
                <w:sz w:val="20"/>
              </w:rPr>
              <w:t xml:space="preserve">) </w:t>
            </w:r>
            <w:r w:rsidR="000E64EC" w:rsidRPr="01C07FEA">
              <w:rPr>
                <w:sz w:val="20"/>
              </w:rPr>
              <w:t xml:space="preserve">augimas, o tai priklauso nuo galimybių radikaliai didinti MTEP finansavimo apimtis </w:t>
            </w:r>
            <w:r w:rsidRPr="01C07FEA">
              <w:rPr>
                <w:sz w:val="20"/>
              </w:rPr>
              <w:t>– jei MTEP finansavimo apimtys reikšmingai neaugs, Lietuva negebės išlaikyti net ir esamo MSI tyrėjų skaičiaus</w:t>
            </w:r>
            <w:r w:rsidR="000F1EC4" w:rsidRPr="01C07FEA">
              <w:rPr>
                <w:sz w:val="20"/>
              </w:rPr>
              <w:t xml:space="preserve">. </w:t>
            </w:r>
            <w:r w:rsidR="000E64EC" w:rsidRPr="01C07FEA">
              <w:rPr>
                <w:sz w:val="20"/>
              </w:rPr>
              <w:t xml:space="preserve">Neužtikrinus sąlygų tyrėjų karjeros patrauklumo stiprinimui, investicijos į MTEPI infrastruktūrą, aukšto lygio žinių kūrimą ir </w:t>
            </w:r>
            <w:proofErr w:type="spellStart"/>
            <w:r w:rsidR="000E64EC" w:rsidRPr="01C07FEA">
              <w:rPr>
                <w:sz w:val="20"/>
              </w:rPr>
              <w:t>komercinimą</w:t>
            </w:r>
            <w:proofErr w:type="spellEnd"/>
            <w:r w:rsidR="000E64EC" w:rsidRPr="01C07FEA">
              <w:rPr>
                <w:sz w:val="20"/>
              </w:rPr>
              <w:t xml:space="preserve"> bei tarptautinį bendradarbiavimą neduos laukiamo efekto</w:t>
            </w:r>
            <w:r w:rsidR="000F1EC4" w:rsidRPr="01C07FEA">
              <w:rPr>
                <w:sz w:val="20"/>
              </w:rPr>
              <w:t>.</w:t>
            </w:r>
            <w:r w:rsidR="000F1EC4" w:rsidRPr="01C07FEA">
              <w:rPr>
                <w:rStyle w:val="Puslapioinaosnuoroda"/>
                <w:sz w:val="20"/>
              </w:rPr>
              <w:footnoteReference w:id="11"/>
            </w:r>
          </w:p>
          <w:p w14:paraId="2F21EE20" w14:textId="77777777" w:rsidR="00AC0483" w:rsidRPr="00745F42" w:rsidRDefault="00AC0483" w:rsidP="008921CE">
            <w:pPr>
              <w:jc w:val="both"/>
              <w:rPr>
                <w:sz w:val="20"/>
              </w:rPr>
            </w:pPr>
          </w:p>
          <w:p w14:paraId="6DD970E6" w14:textId="6BA66783" w:rsidR="00750437" w:rsidRPr="00745F42" w:rsidRDefault="01C07FEA" w:rsidP="01C07FEA">
            <w:pPr>
              <w:jc w:val="both"/>
              <w:rPr>
                <w:sz w:val="20"/>
              </w:rPr>
            </w:pPr>
            <w:r w:rsidRPr="01C07FEA">
              <w:rPr>
                <w:sz w:val="20"/>
              </w:rPr>
              <w:t xml:space="preserve">Siekiamas pokytis: augantys doktorantūros absolventų ir talentų iš užsienio skaičiai didins konkurenciją dėl tyrėjų pozicijų Lietuvos mokslo ir studijų institucijose, o tai reiškia, stabiliai besiplečiantys MSI </w:t>
            </w:r>
            <w:proofErr w:type="spellStart"/>
            <w:r w:rsidRPr="01C07FEA">
              <w:rPr>
                <w:sz w:val="20"/>
              </w:rPr>
              <w:t>pajėgumai</w:t>
            </w:r>
            <w:proofErr w:type="spellEnd"/>
            <w:r w:rsidRPr="01C07FEA">
              <w:rPr>
                <w:sz w:val="20"/>
              </w:rPr>
              <w:t xml:space="preserve"> leis sumažinti Lietuvos MTEP sistemos atotrūkį nuo </w:t>
            </w:r>
            <w:proofErr w:type="spellStart"/>
            <w:r w:rsidRPr="01C07FEA">
              <w:rPr>
                <w:sz w:val="20"/>
              </w:rPr>
              <w:t>lyderiaujančių</w:t>
            </w:r>
            <w:proofErr w:type="spellEnd"/>
            <w:r w:rsidRPr="01C07FEA">
              <w:rPr>
                <w:sz w:val="20"/>
              </w:rPr>
              <w:t xml:space="preserve"> ES valstybių. </w:t>
            </w:r>
          </w:p>
          <w:p w14:paraId="49CD1579" w14:textId="77777777" w:rsidR="00750437" w:rsidRPr="00745F42" w:rsidRDefault="00750437" w:rsidP="008921CE">
            <w:pPr>
              <w:jc w:val="both"/>
              <w:rPr>
                <w:sz w:val="20"/>
              </w:rPr>
            </w:pPr>
          </w:p>
          <w:p w14:paraId="16E6F0BF" w14:textId="3E8B4C2A" w:rsidR="00AB35BB"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61455B6D" w14:textId="77777777" w:rsidR="00552F6E" w:rsidRPr="00745F42" w:rsidRDefault="00552F6E" w:rsidP="008921CE">
            <w:pPr>
              <w:jc w:val="both"/>
              <w:rPr>
                <w:sz w:val="20"/>
              </w:rPr>
            </w:pPr>
          </w:p>
          <w:p w14:paraId="7CA45571" w14:textId="77777777" w:rsidR="00A406A0"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06867117" w14:textId="18DE8308" w:rsidR="00D95B5B" w:rsidRPr="001A6F34" w:rsidRDefault="00D95B5B" w:rsidP="01C07FEA">
            <w:pPr>
              <w:jc w:val="both"/>
              <w:rPr>
                <w:sz w:val="20"/>
              </w:rPr>
            </w:pPr>
            <w:r w:rsidRPr="001A6F34">
              <w:rPr>
                <w:sz w:val="20"/>
              </w:rPr>
              <w:t xml:space="preserve">Nagrinėjama problema aktuali Lietuvos Respublikos teritorijos bendrojo plano (toliau – LRBP) sprendiniui </w:t>
            </w:r>
            <w:r w:rsidR="001A6F34">
              <w:rPr>
                <w:sz w:val="20"/>
              </w:rPr>
              <w:t>„</w:t>
            </w:r>
            <w:r w:rsidRPr="001A6F34">
              <w:rPr>
                <w:sz w:val="20"/>
              </w:rPr>
              <w:t>202.2.1. Kritinės masės tyrėjų, dirbančių infrastruktūrose, stiprinimui, įskaitant tyrėjų iš užsienio pritraukimui</w:t>
            </w:r>
            <w:r w:rsidR="001A6F34">
              <w:rPr>
                <w:sz w:val="20"/>
              </w:rPr>
              <w:t>“</w:t>
            </w:r>
            <w:r w:rsidRPr="001A6F34">
              <w:rPr>
                <w:sz w:val="20"/>
              </w:rPr>
              <w:t>.</w:t>
            </w:r>
            <w:r w:rsidR="001A6F34" w:rsidRPr="001A6F34">
              <w:rPr>
                <w:rStyle w:val="Puslapioinaosnuoroda"/>
                <w:sz w:val="20"/>
              </w:rPr>
              <w:footnoteReference w:id="12"/>
            </w:r>
          </w:p>
          <w:p w14:paraId="270FDC40" w14:textId="5DD9C5CF" w:rsidR="00D95B5B" w:rsidRPr="00D95B5B" w:rsidRDefault="00D95B5B" w:rsidP="01C07FEA">
            <w:pPr>
              <w:jc w:val="both"/>
              <w:rPr>
                <w:sz w:val="20"/>
                <w:highlight w:val="green"/>
              </w:rPr>
            </w:pPr>
          </w:p>
        </w:tc>
      </w:tr>
      <w:tr w:rsidR="00A406A0" w:rsidRPr="00745F42" w14:paraId="1512E9EF" w14:textId="77777777" w:rsidTr="01C07FEA">
        <w:trPr>
          <w:trHeight w:val="70"/>
        </w:trPr>
        <w:tc>
          <w:tcPr>
            <w:tcW w:w="13887" w:type="dxa"/>
            <w:shd w:val="clear" w:color="auto" w:fill="FFFFFF" w:themeFill="background1"/>
          </w:tcPr>
          <w:p w14:paraId="4992A769" w14:textId="77777777" w:rsidR="00A406A0" w:rsidRPr="00F87B1C" w:rsidRDefault="01C07FEA" w:rsidP="01C07FEA">
            <w:pPr>
              <w:jc w:val="both"/>
              <w:rPr>
                <w:b/>
                <w:bCs/>
                <w:sz w:val="20"/>
              </w:rPr>
            </w:pPr>
            <w:r w:rsidRPr="01C07FEA">
              <w:rPr>
                <w:b/>
                <w:bCs/>
                <w:sz w:val="20"/>
              </w:rPr>
              <w:lastRenderedPageBreak/>
              <w:t>Problemos priežastys:</w:t>
            </w:r>
          </w:p>
          <w:p w14:paraId="1A2D3D3D" w14:textId="77777777" w:rsidR="008921CE" w:rsidRPr="00745F42" w:rsidRDefault="008921CE" w:rsidP="003B0156">
            <w:pPr>
              <w:jc w:val="both"/>
              <w:rPr>
                <w:sz w:val="20"/>
              </w:rPr>
            </w:pPr>
          </w:p>
          <w:p w14:paraId="54931BAF" w14:textId="7BACC391" w:rsidR="008921CE" w:rsidRPr="00AB56DD" w:rsidRDefault="01C07FEA" w:rsidP="01C07FEA">
            <w:pPr>
              <w:pStyle w:val="Sraopastraipa"/>
              <w:numPr>
                <w:ilvl w:val="1"/>
                <w:numId w:val="36"/>
              </w:numPr>
              <w:ind w:left="760" w:hanging="425"/>
              <w:jc w:val="both"/>
              <w:rPr>
                <w:sz w:val="20"/>
              </w:rPr>
            </w:pPr>
            <w:r w:rsidRPr="01C07FEA">
              <w:rPr>
                <w:sz w:val="20"/>
              </w:rPr>
              <w:t>Mokslo veiklų bazinis finansavimas išlieka itin mažas, kai studijų veiklų finansavimas artimas ES vidurkiui</w:t>
            </w:r>
          </w:p>
          <w:p w14:paraId="628A07F5" w14:textId="77777777" w:rsidR="00AB56DD" w:rsidRDefault="00646428" w:rsidP="01C07FEA">
            <w:pPr>
              <w:jc w:val="both"/>
              <w:rPr>
                <w:sz w:val="20"/>
              </w:rPr>
            </w:pPr>
            <w:r w:rsidRPr="01C07FEA">
              <w:rPr>
                <w:sz w:val="20"/>
              </w:rPr>
              <w:t>MSI</w:t>
            </w:r>
            <w:r w:rsidR="008E2EA3" w:rsidRPr="01C07FEA">
              <w:rPr>
                <w:sz w:val="20"/>
              </w:rPr>
              <w:t xml:space="preserve"> tenkantis bazinis </w:t>
            </w:r>
            <w:r w:rsidR="006E54A2" w:rsidRPr="01C07FEA">
              <w:rPr>
                <w:sz w:val="20"/>
              </w:rPr>
              <w:t xml:space="preserve">MTEP finansavimas tesudaro </w:t>
            </w:r>
            <w:r w:rsidR="00F318B4" w:rsidRPr="01C07FEA">
              <w:rPr>
                <w:sz w:val="20"/>
              </w:rPr>
              <w:t xml:space="preserve">vos </w:t>
            </w:r>
            <w:r w:rsidRPr="01C07FEA">
              <w:rPr>
                <w:sz w:val="20"/>
              </w:rPr>
              <w:t>52 proc. MSI gaunamų lėšų už studijų veiklų organizavimą</w:t>
            </w:r>
            <w:r w:rsidR="00F318B4" w:rsidRPr="01C07FEA">
              <w:rPr>
                <w:sz w:val="20"/>
              </w:rPr>
              <w:t xml:space="preserve"> (studentų krepšelius)</w:t>
            </w:r>
            <w:r w:rsidRPr="01C07FEA">
              <w:rPr>
                <w:sz w:val="20"/>
              </w:rPr>
              <w:t>.</w:t>
            </w:r>
            <w:r w:rsidRPr="01C07FEA">
              <w:rPr>
                <w:rStyle w:val="Puslapioinaosnuoroda"/>
                <w:sz w:val="20"/>
              </w:rPr>
              <w:footnoteReference w:id="13"/>
            </w:r>
            <w:r w:rsidRPr="01C07FEA">
              <w:rPr>
                <w:sz w:val="20"/>
              </w:rPr>
              <w:t xml:space="preserve"> Kadangi „gauname tai, ką finansuojame“, tad ir MSI yra labiau suinteresuotos priimti didelį skaičių studentų, nei investuoti į MTEP </w:t>
            </w:r>
            <w:proofErr w:type="spellStart"/>
            <w:r w:rsidRPr="01C07FEA">
              <w:rPr>
                <w:sz w:val="20"/>
              </w:rPr>
              <w:t>pajėgumų</w:t>
            </w:r>
            <w:proofErr w:type="spellEnd"/>
            <w:r w:rsidRPr="01C07FEA">
              <w:rPr>
                <w:sz w:val="20"/>
              </w:rPr>
              <w:t xml:space="preserve"> stiprinimą.</w:t>
            </w:r>
            <w:r w:rsidR="00F318B4" w:rsidRPr="01C07FEA">
              <w:rPr>
                <w:rStyle w:val="Puslapioinaosnuoroda"/>
                <w:sz w:val="20"/>
              </w:rPr>
              <w:footnoteReference w:id="14"/>
            </w:r>
            <w:r w:rsidRPr="01C07FEA">
              <w:rPr>
                <w:sz w:val="20"/>
              </w:rPr>
              <w:t xml:space="preserve"> Tai lemia, kad Lietuvos tyrėjai tarp E</w:t>
            </w:r>
            <w:r w:rsidR="000F3148" w:rsidRPr="01C07FEA">
              <w:rPr>
                <w:sz w:val="20"/>
              </w:rPr>
              <w:t>S</w:t>
            </w:r>
            <w:r w:rsidRPr="01C07FEA">
              <w:rPr>
                <w:sz w:val="20"/>
              </w:rPr>
              <w:t xml:space="preserve"> valstybių išsiskiria </w:t>
            </w:r>
            <w:r w:rsidR="000F3148" w:rsidRPr="01C07FEA">
              <w:rPr>
                <w:sz w:val="20"/>
              </w:rPr>
              <w:t>vienu didžiausių</w:t>
            </w:r>
            <w:r w:rsidRPr="01C07FEA">
              <w:rPr>
                <w:sz w:val="20"/>
              </w:rPr>
              <w:t xml:space="preserve"> dėstymo krūviu</w:t>
            </w:r>
            <w:r w:rsidR="00F318B4" w:rsidRPr="01C07FEA">
              <w:rPr>
                <w:rStyle w:val="Puslapioinaosnuoroda"/>
                <w:sz w:val="20"/>
              </w:rPr>
              <w:footnoteReference w:id="15"/>
            </w:r>
            <w:r w:rsidRPr="01C07FEA">
              <w:rPr>
                <w:sz w:val="20"/>
              </w:rPr>
              <w:t xml:space="preserve"> – t. y. </w:t>
            </w:r>
            <w:r w:rsidR="00F318B4" w:rsidRPr="01C07FEA">
              <w:rPr>
                <w:sz w:val="20"/>
              </w:rPr>
              <w:t>turi mažiausiai paskatų ir laiko MTEP veiklai vykdyti, tyrėjo karjerai plėtoti.</w:t>
            </w:r>
            <w:r w:rsidR="001E027C" w:rsidRPr="01C07FEA">
              <w:rPr>
                <w:sz w:val="20"/>
              </w:rPr>
              <w:t xml:space="preserve"> Siekiant deramo balanso tarp mokslo ir studijų veiklų sisteminiu trūkumu išlieka</w:t>
            </w:r>
            <w:r w:rsidR="00DF70F3" w:rsidRPr="01C07FEA">
              <w:rPr>
                <w:sz w:val="20"/>
              </w:rPr>
              <w:t xml:space="preserve"> </w:t>
            </w:r>
            <w:r w:rsidR="001E027C" w:rsidRPr="01C07FEA">
              <w:rPr>
                <w:sz w:val="20"/>
              </w:rPr>
              <w:t>menkas MSI bazinis MTEP finansavimas, o ne studijų veikloms skiriamos lėšos.</w:t>
            </w:r>
          </w:p>
          <w:p w14:paraId="25472B9B" w14:textId="77777777" w:rsidR="00AB56DD" w:rsidRDefault="00AB56DD" w:rsidP="00AB56DD">
            <w:pPr>
              <w:jc w:val="both"/>
              <w:rPr>
                <w:sz w:val="20"/>
              </w:rPr>
            </w:pPr>
          </w:p>
          <w:p w14:paraId="2681AFFC" w14:textId="798F3D93" w:rsidR="008921CE" w:rsidRPr="00AB56DD" w:rsidRDefault="01C07FEA" w:rsidP="01C07FEA">
            <w:pPr>
              <w:pStyle w:val="Sraopastraipa"/>
              <w:numPr>
                <w:ilvl w:val="1"/>
                <w:numId w:val="36"/>
              </w:numPr>
              <w:ind w:left="760" w:hanging="425"/>
              <w:jc w:val="both"/>
              <w:rPr>
                <w:sz w:val="20"/>
              </w:rPr>
            </w:pPr>
            <w:r w:rsidRPr="01C07FEA">
              <w:rPr>
                <w:sz w:val="20"/>
              </w:rPr>
              <w:t>Menkai išreikštas valstybės institucijų poreikis MTEP paslaugoms</w:t>
            </w:r>
          </w:p>
          <w:p w14:paraId="58491D0E" w14:textId="56CE4705" w:rsidR="00E55F53" w:rsidRPr="00745F42" w:rsidRDefault="00F97B3C" w:rsidP="01C07FEA">
            <w:pPr>
              <w:jc w:val="both"/>
              <w:rPr>
                <w:sz w:val="20"/>
              </w:rPr>
            </w:pPr>
            <w:r w:rsidRPr="01C07FEA">
              <w:rPr>
                <w:sz w:val="20"/>
              </w:rPr>
              <w:lastRenderedPageBreak/>
              <w:t xml:space="preserve">Lietuvos valstybės institucijose stinga supratimo apie MTEP rezultatus ir jų kuriamą naudą </w:t>
            </w:r>
            <w:r w:rsidR="00890171" w:rsidRPr="01C07FEA">
              <w:rPr>
                <w:sz w:val="20"/>
              </w:rPr>
              <w:t xml:space="preserve">MTEP veikla vis dar nėra tapusi integraliu veiklos baru visose valdymo srityse, o, pavyzdžiui, </w:t>
            </w:r>
            <w:r w:rsidRPr="01C07FEA">
              <w:rPr>
                <w:sz w:val="20"/>
              </w:rPr>
              <w:t xml:space="preserve">valstybės institucijų politikos formavimo </w:t>
            </w:r>
            <w:r w:rsidR="009E189F" w:rsidRPr="01C07FEA">
              <w:rPr>
                <w:sz w:val="20"/>
              </w:rPr>
              <w:t xml:space="preserve">esminių </w:t>
            </w:r>
            <w:r w:rsidRPr="01C07FEA">
              <w:rPr>
                <w:sz w:val="20"/>
              </w:rPr>
              <w:t xml:space="preserve">sprendimų paramai skirtų MTEP projektų – </w:t>
            </w:r>
            <w:proofErr w:type="spellStart"/>
            <w:r w:rsidRPr="01C07FEA">
              <w:rPr>
                <w:sz w:val="20"/>
              </w:rPr>
              <w:t>reikmin</w:t>
            </w:r>
            <w:r w:rsidR="00B12502" w:rsidRPr="01C07FEA">
              <w:rPr>
                <w:sz w:val="20"/>
              </w:rPr>
              <w:t>i</w:t>
            </w:r>
            <w:r w:rsidRPr="01C07FEA">
              <w:rPr>
                <w:sz w:val="20"/>
              </w:rPr>
              <w:t>ai</w:t>
            </w:r>
            <w:proofErr w:type="spellEnd"/>
            <w:r w:rsidRPr="01C07FEA">
              <w:rPr>
                <w:sz w:val="20"/>
              </w:rPr>
              <w:t xml:space="preserve"> moksliniai tyrimai – finansavimas siekia tik 0,25 mln. </w:t>
            </w:r>
            <w:proofErr w:type="spellStart"/>
            <w:r w:rsidRPr="01C07FEA">
              <w:rPr>
                <w:sz w:val="20"/>
              </w:rPr>
              <w:t>Eur</w:t>
            </w:r>
            <w:proofErr w:type="spellEnd"/>
            <w:r w:rsidRPr="01C07FEA">
              <w:rPr>
                <w:sz w:val="20"/>
              </w:rPr>
              <w:t xml:space="preserve"> per metus</w:t>
            </w:r>
            <w:r w:rsidRPr="01C07FEA">
              <w:rPr>
                <w:rStyle w:val="Puslapioinaosnuoroda"/>
                <w:sz w:val="20"/>
              </w:rPr>
              <w:footnoteReference w:id="16"/>
            </w:r>
            <w:r w:rsidRPr="01C07FEA">
              <w:rPr>
                <w:sz w:val="20"/>
              </w:rPr>
              <w:t>. Valstybės biudžeto išlaidos MTEP Lietuvoje s</w:t>
            </w:r>
            <w:r w:rsidR="00593AF8" w:rsidRPr="01C07FEA">
              <w:rPr>
                <w:sz w:val="20"/>
              </w:rPr>
              <w:t>udaro</w:t>
            </w:r>
            <w:r w:rsidRPr="01C07FEA">
              <w:rPr>
                <w:sz w:val="20"/>
              </w:rPr>
              <w:t xml:space="preserve"> 0,33 proc. nuo BVP</w:t>
            </w:r>
            <w:r w:rsidR="009E189F" w:rsidRPr="01C07FEA">
              <w:rPr>
                <w:sz w:val="20"/>
              </w:rPr>
              <w:t>, kai ES valstybės narės iš nacionalinio biudžeto MTEP skiria bene dukart daugiau – 0,63 proc. nuo BVP. Maža to, nesant institucinio supratimo apie MTEP rezultatų įtaką šalies konkurencingumo, ekonomikos transformacijos ir visuomenės problemų sprendimui skirtingose valdymo srityse, prioritetine įvardijamai MTEP sričiai 201</w:t>
            </w:r>
            <w:r w:rsidR="00F45FB7" w:rsidRPr="01C07FEA">
              <w:rPr>
                <w:sz w:val="20"/>
              </w:rPr>
              <w:t>8</w:t>
            </w:r>
            <w:r w:rsidR="009E189F" w:rsidRPr="01C07FEA">
              <w:rPr>
                <w:sz w:val="20"/>
              </w:rPr>
              <w:t xml:space="preserve"> m. skiriamas </w:t>
            </w:r>
            <w:r w:rsidR="00F45FB7" w:rsidRPr="01C07FEA">
              <w:rPr>
                <w:sz w:val="20"/>
              </w:rPr>
              <w:t>treč</w:t>
            </w:r>
            <w:r w:rsidR="00593AF8" w:rsidRPr="01C07FEA">
              <w:rPr>
                <w:sz w:val="20"/>
              </w:rPr>
              <w:t>daliu m</w:t>
            </w:r>
            <w:r w:rsidR="009E189F" w:rsidRPr="01C07FEA">
              <w:rPr>
                <w:sz w:val="20"/>
              </w:rPr>
              <w:t>ažesnis lėšų kiekis nei prieš dešimtmetį (atitinkamai 0,3 proc. nuo BVP ir 0,4</w:t>
            </w:r>
            <w:r w:rsidR="00F45FB7" w:rsidRPr="01C07FEA">
              <w:rPr>
                <w:sz w:val="20"/>
              </w:rPr>
              <w:t>4</w:t>
            </w:r>
            <w:r w:rsidR="009E189F" w:rsidRPr="01C07FEA">
              <w:rPr>
                <w:sz w:val="20"/>
              </w:rPr>
              <w:t xml:space="preserve"> proc. nuo BVP</w:t>
            </w:r>
            <w:r w:rsidR="00F45FB7" w:rsidRPr="01C07FEA">
              <w:rPr>
                <w:sz w:val="20"/>
              </w:rPr>
              <w:t xml:space="preserve"> 2009 m.</w:t>
            </w:r>
            <w:r w:rsidR="009E189F" w:rsidRPr="01C07FEA">
              <w:rPr>
                <w:sz w:val="20"/>
              </w:rPr>
              <w:t>), kai ES valstybių biudžetų išlaidos MTEP stabiliai auga.</w:t>
            </w:r>
            <w:r w:rsidR="009E189F" w:rsidRPr="01C07FEA">
              <w:rPr>
                <w:rStyle w:val="Puslapioinaosnuoroda"/>
                <w:sz w:val="20"/>
              </w:rPr>
              <w:footnoteReference w:id="17"/>
            </w:r>
          </w:p>
          <w:p w14:paraId="07EC7902" w14:textId="77777777" w:rsidR="00F97B3C" w:rsidRPr="00745F42" w:rsidRDefault="00F97B3C" w:rsidP="00D74A9E">
            <w:pPr>
              <w:jc w:val="both"/>
              <w:rPr>
                <w:sz w:val="20"/>
              </w:rPr>
            </w:pPr>
          </w:p>
          <w:p w14:paraId="15EAE9D1" w14:textId="40951877" w:rsidR="008921CE" w:rsidRPr="00745F42" w:rsidRDefault="01C07FEA" w:rsidP="01C07FEA">
            <w:pPr>
              <w:pStyle w:val="Sraopastraipa"/>
              <w:numPr>
                <w:ilvl w:val="1"/>
                <w:numId w:val="36"/>
              </w:numPr>
              <w:ind w:left="763"/>
              <w:jc w:val="both"/>
              <w:rPr>
                <w:sz w:val="20"/>
              </w:rPr>
            </w:pPr>
            <w:r w:rsidRPr="01C07FEA">
              <w:rPr>
                <w:sz w:val="20"/>
              </w:rPr>
              <w:t>Nekonkurencingas tyrėjų, kitų akademinių ir neakademinių darbuotojų atlygis šalies ir tarptautinėje rinkoje</w:t>
            </w:r>
          </w:p>
          <w:p w14:paraId="7018B138" w14:textId="2910108F" w:rsidR="00740D41" w:rsidRPr="00745F42" w:rsidRDefault="4C38410D" w:rsidP="01C07FEA">
            <w:pPr>
              <w:jc w:val="both"/>
              <w:rPr>
                <w:sz w:val="20"/>
              </w:rPr>
            </w:pPr>
            <w:r w:rsidRPr="01C07FEA">
              <w:rPr>
                <w:sz w:val="20"/>
              </w:rPr>
              <w:t xml:space="preserve">Sparčiai didėjant atlyginimams Lietuvos darbo rinkoje (visų sektorių darbuotojams), akademinių </w:t>
            </w:r>
            <w:r w:rsidR="71000E03" w:rsidRPr="01C07FEA">
              <w:rPr>
                <w:sz w:val="20"/>
              </w:rPr>
              <w:t xml:space="preserve">ir neakademinių </w:t>
            </w:r>
            <w:r w:rsidR="00107920" w:rsidRPr="01C07FEA">
              <w:rPr>
                <w:sz w:val="20"/>
              </w:rPr>
              <w:t xml:space="preserve">(kvalifikuoto personalo) </w:t>
            </w:r>
            <w:r w:rsidR="71000E03" w:rsidRPr="01C07FEA">
              <w:rPr>
                <w:sz w:val="20"/>
              </w:rPr>
              <w:t xml:space="preserve">MSI </w:t>
            </w:r>
            <w:r w:rsidRPr="01C07FEA">
              <w:rPr>
                <w:sz w:val="20"/>
              </w:rPr>
              <w:t>darbuotojų darbo užmokesčio augimas nėra pakankamas. Dėstytojų, mokslo darbuotojų ir kitų tyrėjų atlyginimai vis dar išlieka nekonkurencingi tiek šalies, tiek tarptautinėje darbo rinkoje ir neatitinka akademinės bendruomenės lūkesčių. Dėl nekonkurencingų atlyginimų dėstytojo bei mokslininko karjera Lietuvoje nėra patraukli, todėl dažnai gabus jaunimas jos Lietuvoje nesirenka. Maži atlyginimai yra viena esminių protų nutekėjimo priežasčių, stabdančių Lietuvos mokslo ir studijų sistemos kokybinę pažangą.</w:t>
            </w:r>
            <w:r w:rsidR="7219C33E" w:rsidRPr="01C07FEA">
              <w:rPr>
                <w:sz w:val="20"/>
              </w:rPr>
              <w:t xml:space="preserve"> </w:t>
            </w:r>
            <w:r w:rsidR="335E3FF5" w:rsidRPr="01C07FEA">
              <w:rPr>
                <w:sz w:val="20"/>
              </w:rPr>
              <w:t>MSI</w:t>
            </w:r>
            <w:r w:rsidR="7219C33E" w:rsidRPr="01C07FEA">
              <w:rPr>
                <w:color w:val="000000" w:themeColor="text1"/>
                <w:sz w:val="20"/>
              </w:rPr>
              <w:t xml:space="preserve"> susiduria </w:t>
            </w:r>
            <w:r w:rsidR="676B390B" w:rsidRPr="01C07FEA">
              <w:rPr>
                <w:color w:val="000000" w:themeColor="text1"/>
                <w:sz w:val="20"/>
              </w:rPr>
              <w:t xml:space="preserve">ir </w:t>
            </w:r>
            <w:r w:rsidR="7219C33E" w:rsidRPr="01C07FEA">
              <w:rPr>
                <w:color w:val="000000" w:themeColor="text1"/>
                <w:sz w:val="20"/>
              </w:rPr>
              <w:t>su problema išlaikyti neakademinius darbuotojus, nes nepakanka lėšų jų atlyginimų kėlimui. Siekiant užtikrinti, kad neakademiniai darbuotojai jaustųsi motyvuoti, teisingai įvertinti ir už jų darbą būtų atlyginta pagal organizacijai sukuriamą vertę, būtina sudaryti sąlygas mokslo ir studijų institucijų neakademinių darbuotojų darbo užmokesčio didinimui.</w:t>
            </w:r>
            <w:r w:rsidRPr="01C07FEA">
              <w:rPr>
                <w:sz w:val="20"/>
              </w:rPr>
              <w:t xml:space="preserve"> </w:t>
            </w:r>
            <w:r w:rsidR="6016083E" w:rsidRPr="01C07FEA">
              <w:rPr>
                <w:sz w:val="20"/>
              </w:rPr>
              <w:t xml:space="preserve">Lietuvos MSI tyrėjų atlygis yra bene 40 proc. mažesnis nei tyrėjų atlygis verslo sektoriuje. Atotrūkis tarp tyrėjų darbo užmokesčio MSI ir verslo sektoriuje 2019 m. yra didesnis nei </w:t>
            </w:r>
            <w:r w:rsidR="6CE7CD1D" w:rsidRPr="01C07FEA">
              <w:rPr>
                <w:sz w:val="20"/>
              </w:rPr>
              <w:t xml:space="preserve">buvo </w:t>
            </w:r>
            <w:r w:rsidR="6016083E" w:rsidRPr="01C07FEA">
              <w:rPr>
                <w:sz w:val="20"/>
              </w:rPr>
              <w:t>2014 m..</w:t>
            </w:r>
            <w:r w:rsidR="00B91434" w:rsidRPr="01C07FEA">
              <w:rPr>
                <w:rStyle w:val="Puslapioinaosnuoroda"/>
                <w:sz w:val="20"/>
              </w:rPr>
              <w:footnoteReference w:id="18"/>
            </w:r>
            <w:r w:rsidR="6016083E" w:rsidRPr="01C07FEA">
              <w:rPr>
                <w:sz w:val="20"/>
              </w:rPr>
              <w:t xml:space="preserve"> </w:t>
            </w:r>
            <w:r w:rsidR="6CE7CD1D" w:rsidRPr="01C07FEA">
              <w:rPr>
                <w:sz w:val="20"/>
              </w:rPr>
              <w:t>I</w:t>
            </w:r>
            <w:r w:rsidR="6016083E" w:rsidRPr="01C07FEA">
              <w:rPr>
                <w:sz w:val="20"/>
              </w:rPr>
              <w:t xml:space="preserve">šlaidos MTEP aukštojo mokslo ir valdžios sektoriuose vienam Lietuvos tyrėjui per metus </w:t>
            </w:r>
            <w:r w:rsidR="76BB2CF4" w:rsidRPr="01C07FEA">
              <w:rPr>
                <w:sz w:val="20"/>
              </w:rPr>
              <w:t>sudaro</w:t>
            </w:r>
            <w:r w:rsidR="6016083E" w:rsidRPr="01C07FEA">
              <w:rPr>
                <w:sz w:val="20"/>
              </w:rPr>
              <w:t xml:space="preserve"> 40 tūkst. </w:t>
            </w:r>
            <w:proofErr w:type="spellStart"/>
            <w:r w:rsidR="6016083E" w:rsidRPr="01C07FEA">
              <w:rPr>
                <w:sz w:val="20"/>
              </w:rPr>
              <w:t>Eur</w:t>
            </w:r>
            <w:proofErr w:type="spellEnd"/>
            <w:r w:rsidR="6016083E" w:rsidRPr="01C07FEA">
              <w:rPr>
                <w:sz w:val="20"/>
              </w:rPr>
              <w:t xml:space="preserve">, kai vidutiniškai ES vienam tyrėjui tenka net tris kartus daugiau – 120 tūkst. </w:t>
            </w:r>
            <w:proofErr w:type="spellStart"/>
            <w:r w:rsidR="6016083E" w:rsidRPr="01C07FEA">
              <w:rPr>
                <w:sz w:val="20"/>
              </w:rPr>
              <w:t>Eur</w:t>
            </w:r>
            <w:proofErr w:type="spellEnd"/>
            <w:r w:rsidR="00B91434" w:rsidRPr="01C07FEA">
              <w:rPr>
                <w:rStyle w:val="Puslapioinaosnuoroda"/>
                <w:sz w:val="20"/>
              </w:rPr>
              <w:footnoteReference w:id="19"/>
            </w:r>
            <w:r w:rsidR="6016083E" w:rsidRPr="01C07FEA">
              <w:rPr>
                <w:sz w:val="20"/>
              </w:rPr>
              <w:t xml:space="preserve">. </w:t>
            </w:r>
            <w:r w:rsidR="623F17B1" w:rsidRPr="01C07FEA">
              <w:rPr>
                <w:sz w:val="20"/>
              </w:rPr>
              <w:t>Jei MTEP finansavimo apimtys reikšmingai neaugs, Lietuva negebės išlaikyti to patie</w:t>
            </w:r>
            <w:r w:rsidR="6016083E" w:rsidRPr="01C07FEA">
              <w:rPr>
                <w:sz w:val="20"/>
              </w:rPr>
              <w:t>s tyrėjų skaičiaus, nes</w:t>
            </w:r>
            <w:r w:rsidR="623F17B1" w:rsidRPr="01C07FEA">
              <w:rPr>
                <w:sz w:val="20"/>
              </w:rPr>
              <w:t xml:space="preserve"> augant ekonomikai darbo užmokesčio MSI bei kituose sektoriuose </w:t>
            </w:r>
            <w:r w:rsidR="1072A721" w:rsidRPr="01C07FEA">
              <w:rPr>
                <w:sz w:val="20"/>
              </w:rPr>
              <w:t>skirtumai</w:t>
            </w:r>
            <w:r w:rsidR="623F17B1" w:rsidRPr="01C07FEA">
              <w:rPr>
                <w:sz w:val="20"/>
              </w:rPr>
              <w:t xml:space="preserve"> vis labiau </w:t>
            </w:r>
            <w:r w:rsidR="1072A721" w:rsidRPr="01C07FEA">
              <w:rPr>
                <w:sz w:val="20"/>
              </w:rPr>
              <w:t>didė</w:t>
            </w:r>
            <w:r w:rsidR="623F17B1" w:rsidRPr="01C07FEA">
              <w:rPr>
                <w:sz w:val="20"/>
              </w:rPr>
              <w:t>s</w:t>
            </w:r>
            <w:r w:rsidR="4CE08730" w:rsidRPr="01C07FEA">
              <w:rPr>
                <w:sz w:val="20"/>
              </w:rPr>
              <w:t>.</w:t>
            </w:r>
            <w:r w:rsidR="00CA7D40" w:rsidRPr="01C07FEA">
              <w:rPr>
                <w:rStyle w:val="Puslapioinaosnuoroda"/>
                <w:sz w:val="20"/>
              </w:rPr>
              <w:footnoteReference w:id="20"/>
            </w:r>
            <w:r w:rsidR="6CE7CD1D" w:rsidRPr="01C07FEA">
              <w:rPr>
                <w:sz w:val="20"/>
              </w:rPr>
              <w:t xml:space="preserve"> </w:t>
            </w:r>
            <w:r w:rsidR="4CE08730" w:rsidRPr="01C07FEA">
              <w:rPr>
                <w:sz w:val="20"/>
              </w:rPr>
              <w:t xml:space="preserve">Jau dabar </w:t>
            </w:r>
            <w:proofErr w:type="spellStart"/>
            <w:r w:rsidR="4CE08730" w:rsidRPr="01C07FEA">
              <w:rPr>
                <w:sz w:val="20"/>
              </w:rPr>
              <w:t>tarpsektorini</w:t>
            </w:r>
            <w:r w:rsidR="6CE7CD1D" w:rsidRPr="01C07FEA">
              <w:rPr>
                <w:sz w:val="20"/>
              </w:rPr>
              <w:t>o</w:t>
            </w:r>
            <w:proofErr w:type="spellEnd"/>
            <w:r w:rsidR="6CE7CD1D" w:rsidRPr="01C07FEA">
              <w:rPr>
                <w:sz w:val="20"/>
              </w:rPr>
              <w:t xml:space="preserve"> </w:t>
            </w:r>
            <w:r w:rsidR="4CE08730" w:rsidRPr="01C07FEA">
              <w:rPr>
                <w:sz w:val="20"/>
              </w:rPr>
              <w:t xml:space="preserve">tyrėjų mobilumo (perėjimo iš darbo MSI į privatųjį sektorių) ar perėjimo į kitos šalies MSI priežastimi </w:t>
            </w:r>
            <w:r w:rsidR="69930AE3" w:rsidRPr="01C07FEA">
              <w:rPr>
                <w:sz w:val="20"/>
              </w:rPr>
              <w:t xml:space="preserve">atitinkamai </w:t>
            </w:r>
            <w:r w:rsidR="4CE08730" w:rsidRPr="01C07FEA">
              <w:rPr>
                <w:sz w:val="20"/>
              </w:rPr>
              <w:t xml:space="preserve">trečdaliu </w:t>
            </w:r>
            <w:r w:rsidR="69930AE3" w:rsidRPr="01C07FEA">
              <w:rPr>
                <w:sz w:val="20"/>
              </w:rPr>
              <w:t xml:space="preserve">ir ketvirtadaliu </w:t>
            </w:r>
            <w:r w:rsidR="4CE08730" w:rsidRPr="01C07FEA">
              <w:rPr>
                <w:sz w:val="20"/>
              </w:rPr>
              <w:t xml:space="preserve">dažniau nei </w:t>
            </w:r>
            <w:r w:rsidR="69930AE3" w:rsidRPr="01C07FEA">
              <w:rPr>
                <w:sz w:val="20"/>
              </w:rPr>
              <w:t xml:space="preserve">įprasta </w:t>
            </w:r>
            <w:r w:rsidR="4CE08730" w:rsidRPr="01C07FEA">
              <w:rPr>
                <w:sz w:val="20"/>
              </w:rPr>
              <w:t xml:space="preserve">ES tampa </w:t>
            </w:r>
            <w:r w:rsidR="1072A721" w:rsidRPr="01C07FEA">
              <w:rPr>
                <w:sz w:val="20"/>
              </w:rPr>
              <w:t xml:space="preserve">tokie </w:t>
            </w:r>
            <w:r w:rsidR="4CE08730" w:rsidRPr="01C07FEA">
              <w:rPr>
                <w:sz w:val="20"/>
              </w:rPr>
              <w:t>ne su mokslu susij</w:t>
            </w:r>
            <w:r w:rsidR="1072A721" w:rsidRPr="01C07FEA">
              <w:rPr>
                <w:sz w:val="20"/>
              </w:rPr>
              <w:t>ę veiksniai</w:t>
            </w:r>
            <w:r w:rsidR="4CE08730" w:rsidRPr="01C07FEA">
              <w:rPr>
                <w:sz w:val="20"/>
              </w:rPr>
              <w:t xml:space="preserve"> </w:t>
            </w:r>
            <w:r w:rsidR="1072A721" w:rsidRPr="01C07FEA">
              <w:rPr>
                <w:sz w:val="20"/>
              </w:rPr>
              <w:t xml:space="preserve">kaip </w:t>
            </w:r>
            <w:r w:rsidR="4CE08730" w:rsidRPr="01C07FEA">
              <w:rPr>
                <w:sz w:val="20"/>
              </w:rPr>
              <w:t>darbo užmokestis, socialinės garantijos ir pan.</w:t>
            </w:r>
            <w:r w:rsidR="69930AE3" w:rsidRPr="01C07FEA">
              <w:rPr>
                <w:sz w:val="20"/>
              </w:rPr>
              <w:t>.</w:t>
            </w:r>
            <w:r w:rsidR="10EBFDF1" w:rsidRPr="01C07FEA">
              <w:rPr>
                <w:sz w:val="20"/>
              </w:rPr>
              <w:t xml:space="preserve"> Apskritai, tik trečdalis tyrėjų Lietuvo</w:t>
            </w:r>
            <w:r w:rsidR="327FD3E7" w:rsidRPr="01C07FEA">
              <w:rPr>
                <w:sz w:val="20"/>
              </w:rPr>
              <w:t>s MSI</w:t>
            </w:r>
            <w:r w:rsidR="10EBFDF1" w:rsidRPr="01C07FEA">
              <w:rPr>
                <w:sz w:val="20"/>
              </w:rPr>
              <w:t xml:space="preserve"> yra patenkinti gaunamu atlyginimu</w:t>
            </w:r>
            <w:r w:rsidR="475894B6" w:rsidRPr="01C07FEA">
              <w:rPr>
                <w:sz w:val="20"/>
              </w:rPr>
              <w:t>, mano, kad atlyginimo pakanka daugiau nei tik būtinosioms pragyvenimo išlaidoms padengti</w:t>
            </w:r>
            <w:r w:rsidR="10EBFDF1" w:rsidRPr="01C07FEA">
              <w:rPr>
                <w:sz w:val="20"/>
              </w:rPr>
              <w:t xml:space="preserve"> (Lietuva lenkia tik Graikiją ir Slovakiją, ES vidurkis – 67 proc.)</w:t>
            </w:r>
            <w:r w:rsidR="475894B6" w:rsidRPr="01C07FEA">
              <w:rPr>
                <w:sz w:val="20"/>
              </w:rPr>
              <w:t xml:space="preserve">, o tarp </w:t>
            </w:r>
            <w:r w:rsidR="5FB0C1C3" w:rsidRPr="01C07FEA">
              <w:rPr>
                <w:sz w:val="20"/>
              </w:rPr>
              <w:t xml:space="preserve">jaunų </w:t>
            </w:r>
            <w:r w:rsidR="475894B6" w:rsidRPr="01C07FEA">
              <w:rPr>
                <w:sz w:val="20"/>
              </w:rPr>
              <w:t xml:space="preserve">tyrėjų </w:t>
            </w:r>
            <w:r w:rsidR="5FB0C1C3" w:rsidRPr="01C07FEA">
              <w:rPr>
                <w:sz w:val="20"/>
              </w:rPr>
              <w:t xml:space="preserve">ir tyrėjų </w:t>
            </w:r>
            <w:r w:rsidR="475894B6" w:rsidRPr="01C07FEA">
              <w:rPr>
                <w:sz w:val="20"/>
              </w:rPr>
              <w:t xml:space="preserve">moterų šis procentas dar mažesnis – </w:t>
            </w:r>
            <w:r w:rsidR="5FB0C1C3" w:rsidRPr="01C07FEA">
              <w:rPr>
                <w:sz w:val="20"/>
              </w:rPr>
              <w:t xml:space="preserve">atitinkamai </w:t>
            </w:r>
            <w:r w:rsidR="475894B6" w:rsidRPr="01C07FEA">
              <w:rPr>
                <w:sz w:val="20"/>
              </w:rPr>
              <w:t xml:space="preserve">vos </w:t>
            </w:r>
            <w:r w:rsidR="5FB0C1C3" w:rsidRPr="01C07FEA">
              <w:rPr>
                <w:sz w:val="20"/>
              </w:rPr>
              <w:t xml:space="preserve">24,9 proc. ir </w:t>
            </w:r>
            <w:r w:rsidR="475894B6" w:rsidRPr="01C07FEA">
              <w:rPr>
                <w:sz w:val="20"/>
              </w:rPr>
              <w:t>24,5 proc.</w:t>
            </w:r>
            <w:r w:rsidR="10EBFDF1" w:rsidRPr="01C07FEA">
              <w:rPr>
                <w:sz w:val="20"/>
              </w:rPr>
              <w:t>.</w:t>
            </w:r>
            <w:r w:rsidR="00EF6D51" w:rsidRPr="01C07FEA">
              <w:rPr>
                <w:rStyle w:val="Puslapioinaosnuoroda"/>
                <w:sz w:val="20"/>
              </w:rPr>
              <w:footnoteReference w:id="21"/>
            </w:r>
            <w:r w:rsidR="421BD7B3" w:rsidRPr="01C07FEA">
              <w:rPr>
                <w:sz w:val="20"/>
              </w:rPr>
              <w:t xml:space="preserve"> </w:t>
            </w:r>
            <w:r w:rsidR="1213A492" w:rsidRPr="01C07FEA">
              <w:rPr>
                <w:sz w:val="20"/>
              </w:rPr>
              <w:t>Pažymėtina ir tai, kad jei</w:t>
            </w:r>
            <w:r w:rsidR="421BD7B3" w:rsidRPr="01C07FEA">
              <w:rPr>
                <w:sz w:val="20"/>
              </w:rPr>
              <w:t xml:space="preserve"> </w:t>
            </w:r>
            <w:r w:rsidR="65B62A4E" w:rsidRPr="01C07FEA">
              <w:rPr>
                <w:sz w:val="20"/>
              </w:rPr>
              <w:t xml:space="preserve">jau pasiekta, jog </w:t>
            </w:r>
            <w:r w:rsidR="421BD7B3" w:rsidRPr="01C07FEA">
              <w:rPr>
                <w:sz w:val="20"/>
              </w:rPr>
              <w:t>doktorantūros studijų stipendija yra artimesnė šalies darbo užmokesčio vidurkiui nei minimaliam atlyginimui, tai pradedančiam tyrėjui jau įgijus daktaro laipsnį finansinė</w:t>
            </w:r>
            <w:r w:rsidR="1213A492" w:rsidRPr="01C07FEA">
              <w:rPr>
                <w:sz w:val="20"/>
              </w:rPr>
              <w:t>s</w:t>
            </w:r>
            <w:r w:rsidR="421BD7B3" w:rsidRPr="01C07FEA">
              <w:rPr>
                <w:sz w:val="20"/>
              </w:rPr>
              <w:t xml:space="preserve"> sąlygos prastėja.</w:t>
            </w:r>
            <w:r w:rsidR="00E20D1E" w:rsidRPr="01C07FEA">
              <w:rPr>
                <w:rStyle w:val="Puslapioinaosnuoroda"/>
                <w:sz w:val="20"/>
              </w:rPr>
              <w:footnoteReference w:id="22"/>
            </w:r>
            <w:r w:rsidR="1146BBF3" w:rsidRPr="01C07FEA">
              <w:rPr>
                <w:sz w:val="20"/>
              </w:rPr>
              <w:t xml:space="preserve"> Tyrėjų moterų a</w:t>
            </w:r>
            <w:r w:rsidR="018070FD" w:rsidRPr="01C07FEA">
              <w:rPr>
                <w:sz w:val="20"/>
              </w:rPr>
              <w:t xml:space="preserve">tlygio klausimas susijęs ir su </w:t>
            </w:r>
            <w:r w:rsidR="1146BBF3" w:rsidRPr="01C07FEA">
              <w:rPr>
                <w:sz w:val="20"/>
              </w:rPr>
              <w:t>faktu, kad nors tarp MSI tyrėjų moterys sudaro 54,2 proc., tačiau aukščiausiose tyrėjų pozicijose dominuoja vyrai – universitetuose vos 29 proc. vyriausiųjų mokslo darbuotojų pozicijų užima moterys, mokslinių tyrimų institutuose – 31 proc..</w:t>
            </w:r>
            <w:r w:rsidR="00675654" w:rsidRPr="01C07FEA">
              <w:rPr>
                <w:rStyle w:val="Puslapioinaosnuoroda"/>
                <w:sz w:val="20"/>
              </w:rPr>
              <w:footnoteReference w:id="23"/>
            </w:r>
            <w:r w:rsidR="6245D2F1" w:rsidRPr="01C07FEA">
              <w:rPr>
                <w:sz w:val="20"/>
              </w:rPr>
              <w:t xml:space="preserve"> Taip pat moterys vis dar </w:t>
            </w:r>
            <w:r w:rsidR="7291E5BD" w:rsidRPr="01C07FEA">
              <w:rPr>
                <w:sz w:val="20"/>
              </w:rPr>
              <w:t>te</w:t>
            </w:r>
            <w:r w:rsidR="6245D2F1" w:rsidRPr="01C07FEA">
              <w:rPr>
                <w:sz w:val="20"/>
              </w:rPr>
              <w:t xml:space="preserve">sudaro </w:t>
            </w:r>
            <w:r w:rsidR="358D29E2" w:rsidRPr="01C07FEA">
              <w:rPr>
                <w:sz w:val="20"/>
              </w:rPr>
              <w:t xml:space="preserve">tik 31 proc. įvairių mokslinių komitetų, komisijų, </w:t>
            </w:r>
            <w:r w:rsidR="7291E5BD" w:rsidRPr="01C07FEA">
              <w:rPr>
                <w:sz w:val="20"/>
              </w:rPr>
              <w:t xml:space="preserve">grupių, </w:t>
            </w:r>
            <w:r w:rsidR="358D29E2" w:rsidRPr="01C07FEA">
              <w:rPr>
                <w:sz w:val="20"/>
              </w:rPr>
              <w:t>valdy</w:t>
            </w:r>
            <w:r w:rsidR="11E1A7EB" w:rsidRPr="01C07FEA">
              <w:rPr>
                <w:sz w:val="20"/>
              </w:rPr>
              <w:t xml:space="preserve">mo struktūrų </w:t>
            </w:r>
            <w:r w:rsidR="358D29E2" w:rsidRPr="01C07FEA">
              <w:rPr>
                <w:sz w:val="20"/>
              </w:rPr>
              <w:t>narių ir vos 25 proc. tokių darinių vadovų (ES atitinkamai 27 proc. ir 20 proc.).</w:t>
            </w:r>
            <w:r w:rsidR="003D4949" w:rsidRPr="01C07FEA">
              <w:rPr>
                <w:rStyle w:val="Puslapioinaosnuoroda"/>
                <w:sz w:val="20"/>
              </w:rPr>
              <w:footnoteReference w:id="24"/>
            </w:r>
            <w:r w:rsidR="358D29E2" w:rsidRPr="01C07FEA">
              <w:rPr>
                <w:sz w:val="20"/>
              </w:rPr>
              <w:t xml:space="preserve"> </w:t>
            </w:r>
            <w:r w:rsidR="3FB54C02" w:rsidRPr="01C07FEA">
              <w:rPr>
                <w:sz w:val="20"/>
              </w:rPr>
              <w:t xml:space="preserve">Galiausiai, ES mastu didžiausia dalis tyrėjų dirbančių ne pilnu etatu fiksuojama </w:t>
            </w:r>
            <w:r w:rsidR="3FB54C02" w:rsidRPr="01C07FEA">
              <w:rPr>
                <w:sz w:val="20"/>
              </w:rPr>
              <w:lastRenderedPageBreak/>
              <w:t>Lietuvoje – 25,9 proc. (ES vidurkis – vos 10 proc.). Tik 54,6 proc. Lietuvos tyrėjų jaučiasi saugūs dėl savo darbo pozicijų, socialinių garantijų, yra patenkinti darbo-laisvalaikio balansu (menkiau patenkinti įdarbinimo sąlygomis ES yra tik vengrai ir graikai).</w:t>
            </w:r>
            <w:r w:rsidR="0027454C" w:rsidRPr="01C07FEA">
              <w:rPr>
                <w:rStyle w:val="Puslapioinaosnuoroda"/>
                <w:sz w:val="20"/>
              </w:rPr>
              <w:footnoteReference w:id="25"/>
            </w:r>
          </w:p>
          <w:p w14:paraId="7E539751" w14:textId="77777777" w:rsidR="00B91434" w:rsidRPr="00745F42" w:rsidRDefault="00B91434" w:rsidP="00740D41">
            <w:pPr>
              <w:jc w:val="both"/>
              <w:rPr>
                <w:sz w:val="20"/>
              </w:rPr>
            </w:pPr>
          </w:p>
          <w:p w14:paraId="106D0A7B" w14:textId="0751828A" w:rsidR="003B7A5A" w:rsidRPr="00AB56DD" w:rsidRDefault="01C07FEA" w:rsidP="01C07FEA">
            <w:pPr>
              <w:pStyle w:val="Sraopastraipa"/>
              <w:numPr>
                <w:ilvl w:val="1"/>
                <w:numId w:val="36"/>
              </w:numPr>
              <w:ind w:left="763"/>
              <w:rPr>
                <w:sz w:val="20"/>
              </w:rPr>
            </w:pPr>
            <w:r w:rsidRPr="01C07FEA">
              <w:rPr>
                <w:sz w:val="20"/>
              </w:rPr>
              <w:t>Per mažas valstybės finansuojamų doktorantūros studijų vietų kiekis ir skiriamas dėmesys</w:t>
            </w:r>
          </w:p>
          <w:p w14:paraId="3ED16A02" w14:textId="315A71EB" w:rsidR="007773E0" w:rsidRPr="00745F42" w:rsidRDefault="4607E388" w:rsidP="01C07FEA">
            <w:pPr>
              <w:jc w:val="both"/>
              <w:rPr>
                <w:sz w:val="20"/>
              </w:rPr>
            </w:pPr>
            <w:r w:rsidRPr="01C07FEA">
              <w:rPr>
                <w:sz w:val="20"/>
              </w:rPr>
              <w:t xml:space="preserve">Doktorantūros studijose studijuojančiųjų dalis Lietuvoje  sudaro vos 2 proc. </w:t>
            </w:r>
            <w:r w:rsidR="42CD7BC9" w:rsidRPr="01C07FEA">
              <w:rPr>
                <w:sz w:val="20"/>
              </w:rPr>
              <w:t>n</w:t>
            </w:r>
            <w:r w:rsidRPr="01C07FEA">
              <w:rPr>
                <w:sz w:val="20"/>
              </w:rPr>
              <w:t xml:space="preserve">uo visų studentų, kai vidutiniškai ES </w:t>
            </w:r>
            <w:r w:rsidR="68309FF4" w:rsidRPr="01C07FEA">
              <w:rPr>
                <w:sz w:val="20"/>
              </w:rPr>
              <w:t xml:space="preserve">vietų doktorantūros studijose, </w:t>
            </w:r>
            <w:r w:rsidRPr="01C07FEA">
              <w:rPr>
                <w:sz w:val="20"/>
              </w:rPr>
              <w:t>doktorantūroje studijuoja</w:t>
            </w:r>
            <w:r w:rsidR="6F6DF494" w:rsidRPr="01C07FEA">
              <w:rPr>
                <w:sz w:val="20"/>
              </w:rPr>
              <w:t>nčiųjų yra</w:t>
            </w:r>
            <w:r w:rsidR="72161F8F" w:rsidRPr="01C07FEA">
              <w:rPr>
                <w:sz w:val="20"/>
              </w:rPr>
              <w:t xml:space="preserve"> dvigubai daugiau – 4 proc. visų studentų.</w:t>
            </w:r>
            <w:r w:rsidR="007701A9" w:rsidRPr="01C07FEA">
              <w:rPr>
                <w:rStyle w:val="Puslapioinaosnuoroda"/>
                <w:sz w:val="20"/>
              </w:rPr>
              <w:footnoteReference w:id="26"/>
            </w:r>
            <w:r w:rsidR="72161F8F" w:rsidRPr="01C07FEA">
              <w:rPr>
                <w:sz w:val="20"/>
              </w:rPr>
              <w:t xml:space="preserve"> </w:t>
            </w:r>
            <w:r w:rsidR="686CBDED" w:rsidRPr="01C07FEA">
              <w:rPr>
                <w:sz w:val="20"/>
              </w:rPr>
              <w:t>Tik pusė doktorantūros studijas pradėjusių studentų įgyja daktaro laipsnį</w:t>
            </w:r>
            <w:r w:rsidR="77399BFC" w:rsidRPr="01C07FEA">
              <w:rPr>
                <w:sz w:val="20"/>
              </w:rPr>
              <w:t xml:space="preserve"> (ES tokių – du trečdaliai)</w:t>
            </w:r>
            <w:r w:rsidR="007701A9" w:rsidRPr="01C07FEA">
              <w:rPr>
                <w:rStyle w:val="Puslapioinaosnuoroda"/>
                <w:sz w:val="20"/>
              </w:rPr>
              <w:footnoteReference w:id="27"/>
            </w:r>
            <w:r w:rsidR="686CBDED" w:rsidRPr="01C07FEA">
              <w:rPr>
                <w:sz w:val="20"/>
              </w:rPr>
              <w:t xml:space="preserve"> </w:t>
            </w:r>
            <w:r w:rsidR="3FB54C02" w:rsidRPr="01C07FEA">
              <w:rPr>
                <w:sz w:val="20"/>
              </w:rPr>
              <w:t>– tai gali būti sietina su ilgą laiką buvusiomis nedidelėmis doktorantūros stipendijomis, tačiau kartu š</w:t>
            </w:r>
            <w:r w:rsidR="686CBDED" w:rsidRPr="01C07FEA">
              <w:rPr>
                <w:sz w:val="20"/>
              </w:rPr>
              <w:t>alyje stinga stiprių doktorantūros mokyklų</w:t>
            </w:r>
            <w:r w:rsidR="467E9015" w:rsidRPr="01C07FEA">
              <w:rPr>
                <w:sz w:val="20"/>
              </w:rPr>
              <w:t xml:space="preserve"> pasižyminčių doktorantų </w:t>
            </w:r>
            <w:proofErr w:type="spellStart"/>
            <w:r w:rsidR="467E9015" w:rsidRPr="01C07FEA">
              <w:rPr>
                <w:sz w:val="20"/>
              </w:rPr>
              <w:t>įtrauktimi</w:t>
            </w:r>
            <w:proofErr w:type="spellEnd"/>
            <w:r w:rsidR="467E9015" w:rsidRPr="01C07FEA">
              <w:rPr>
                <w:sz w:val="20"/>
              </w:rPr>
              <w:t xml:space="preserve"> į tyrėjų grupes</w:t>
            </w:r>
            <w:r w:rsidR="007701A9" w:rsidRPr="01C07FEA">
              <w:rPr>
                <w:rStyle w:val="Puslapioinaosnuoroda"/>
                <w:sz w:val="20"/>
              </w:rPr>
              <w:footnoteReference w:id="28"/>
            </w:r>
            <w:r w:rsidR="686CBDED" w:rsidRPr="01C07FEA">
              <w:rPr>
                <w:sz w:val="20"/>
              </w:rPr>
              <w:t>, o doktorantūros procese MSI vis dar menkai taikoma geriausia tarptautinė doktorantų rengimo praktika</w:t>
            </w:r>
            <w:r w:rsidR="1E2008F0" w:rsidRPr="01C07FEA">
              <w:rPr>
                <w:sz w:val="20"/>
              </w:rPr>
              <w:t xml:space="preserve"> (7 </w:t>
            </w:r>
            <w:proofErr w:type="spellStart"/>
            <w:r w:rsidR="1E2008F0" w:rsidRPr="01C07FEA">
              <w:rPr>
                <w:sz w:val="20"/>
              </w:rPr>
              <w:t>inovatyvi</w:t>
            </w:r>
            <w:r w:rsidR="34F5C4C9" w:rsidRPr="01C07FEA">
              <w:rPr>
                <w:sz w:val="20"/>
              </w:rPr>
              <w:t>ų</w:t>
            </w:r>
            <w:proofErr w:type="spellEnd"/>
            <w:r w:rsidR="1E2008F0" w:rsidRPr="01C07FEA">
              <w:rPr>
                <w:sz w:val="20"/>
              </w:rPr>
              <w:t xml:space="preserve"> doktorantūros </w:t>
            </w:r>
            <w:r w:rsidR="34F5C4C9" w:rsidRPr="01C07FEA">
              <w:rPr>
                <w:sz w:val="20"/>
              </w:rPr>
              <w:t xml:space="preserve">studijų </w:t>
            </w:r>
            <w:r w:rsidR="1E2008F0" w:rsidRPr="01C07FEA">
              <w:rPr>
                <w:sz w:val="20"/>
              </w:rPr>
              <w:t>princip</w:t>
            </w:r>
            <w:r w:rsidR="34F5C4C9" w:rsidRPr="01C07FEA">
              <w:rPr>
                <w:sz w:val="20"/>
              </w:rPr>
              <w:t>ai</w:t>
            </w:r>
            <w:r w:rsidR="1E2008F0" w:rsidRPr="01C07FEA">
              <w:rPr>
                <w:sz w:val="20"/>
              </w:rPr>
              <w:t>)</w:t>
            </w:r>
            <w:r w:rsidR="007701A9" w:rsidRPr="01C07FEA">
              <w:rPr>
                <w:rStyle w:val="Puslapioinaosnuoroda"/>
                <w:sz w:val="20"/>
              </w:rPr>
              <w:footnoteReference w:id="29"/>
            </w:r>
            <w:r w:rsidR="005B031B" w:rsidRPr="01C07FEA">
              <w:rPr>
                <w:sz w:val="20"/>
              </w:rPr>
              <w:t xml:space="preserve"> </w:t>
            </w:r>
            <w:r w:rsidR="1E2008F0" w:rsidRPr="01C07FEA">
              <w:rPr>
                <w:sz w:val="20"/>
              </w:rPr>
              <w:t xml:space="preserve">– tik 64,1 proc. doktorantų ir tyrėjų teigiamai vertina doktorantūros studijų metu gautą </w:t>
            </w:r>
            <w:r w:rsidR="34F5C4C9" w:rsidRPr="01C07FEA">
              <w:rPr>
                <w:sz w:val="20"/>
              </w:rPr>
              <w:t xml:space="preserve">su mokslinių </w:t>
            </w:r>
            <w:r w:rsidR="1E2008F0" w:rsidRPr="01C07FEA">
              <w:rPr>
                <w:sz w:val="20"/>
              </w:rPr>
              <w:t>tyr</w:t>
            </w:r>
            <w:r w:rsidR="34F5C4C9" w:rsidRPr="01C07FEA">
              <w:rPr>
                <w:sz w:val="20"/>
              </w:rPr>
              <w:t>imų vykdymo kokybe susietą mokymą, kai ES vidurkis – 83,3 proc..</w:t>
            </w:r>
            <w:r w:rsidR="008902AC" w:rsidRPr="01C07FEA">
              <w:rPr>
                <w:rStyle w:val="Puslapioinaosnuoroda"/>
                <w:sz w:val="20"/>
              </w:rPr>
              <w:footnoteReference w:id="30"/>
            </w:r>
          </w:p>
          <w:p w14:paraId="61BAC9BE" w14:textId="77777777" w:rsidR="00593AF8" w:rsidRPr="0027454C" w:rsidRDefault="00593AF8" w:rsidP="00D74A9E">
            <w:pPr>
              <w:jc w:val="both"/>
              <w:rPr>
                <w:sz w:val="20"/>
              </w:rPr>
            </w:pPr>
          </w:p>
          <w:p w14:paraId="55DA589C" w14:textId="62B66BC3" w:rsidR="008921CE" w:rsidRPr="00AB56DD" w:rsidRDefault="01C07FEA" w:rsidP="01C07FEA">
            <w:pPr>
              <w:pStyle w:val="Sraopastraipa"/>
              <w:numPr>
                <w:ilvl w:val="1"/>
                <w:numId w:val="36"/>
              </w:numPr>
              <w:ind w:left="763"/>
              <w:jc w:val="both"/>
              <w:rPr>
                <w:sz w:val="20"/>
              </w:rPr>
            </w:pPr>
            <w:r w:rsidRPr="01C07FEA">
              <w:rPr>
                <w:sz w:val="20"/>
              </w:rPr>
              <w:t xml:space="preserve">Lietuvos mokslo sistemos ir MSI vidaus kultūra nepalanki </w:t>
            </w:r>
            <w:proofErr w:type="spellStart"/>
            <w:r w:rsidRPr="01C07FEA">
              <w:rPr>
                <w:sz w:val="20"/>
              </w:rPr>
              <w:t>tarptautiškumo</w:t>
            </w:r>
            <w:proofErr w:type="spellEnd"/>
            <w:r w:rsidRPr="01C07FEA">
              <w:rPr>
                <w:sz w:val="20"/>
              </w:rPr>
              <w:t xml:space="preserve"> plėtrai</w:t>
            </w:r>
          </w:p>
          <w:p w14:paraId="348649AA" w14:textId="7EAD397A" w:rsidR="00D74A9E" w:rsidRPr="00745F42" w:rsidRDefault="0FE0E0B6" w:rsidP="01C07FEA">
            <w:pPr>
              <w:jc w:val="both"/>
              <w:rPr>
                <w:sz w:val="20"/>
              </w:rPr>
            </w:pPr>
            <w:r w:rsidRPr="01C07FEA">
              <w:rPr>
                <w:sz w:val="20"/>
              </w:rPr>
              <w:t>MSI nėra pasirengusios priimti tyrėjų iš užsienio – sukurti palankias darbo sąlygas, mikroklimatą (įskaitant ir kalbos aspektą).</w:t>
            </w:r>
            <w:r w:rsidR="00D35EB5" w:rsidRPr="01C07FEA">
              <w:rPr>
                <w:rStyle w:val="Puslapioinaosnuoroda"/>
                <w:sz w:val="20"/>
              </w:rPr>
              <w:footnoteReference w:id="31"/>
            </w:r>
            <w:r w:rsidRPr="01C07FEA">
              <w:rPr>
                <w:sz w:val="20"/>
              </w:rPr>
              <w:t xml:space="preserve"> </w:t>
            </w:r>
            <w:r w:rsidR="631D9D58" w:rsidRPr="01C07FEA">
              <w:rPr>
                <w:sz w:val="20"/>
              </w:rPr>
              <w:t xml:space="preserve">Stinga informacijos ir MTEP finansavimo kvietimų viešinimo anglų kalba. </w:t>
            </w:r>
            <w:r w:rsidRPr="01C07FEA">
              <w:rPr>
                <w:sz w:val="20"/>
              </w:rPr>
              <w:t>Net t</w:t>
            </w:r>
            <w:r w:rsidR="46136F36" w:rsidRPr="01C07FEA">
              <w:rPr>
                <w:sz w:val="20"/>
              </w:rPr>
              <w:t>rečdalis tyrėjų Lietuvoje mano, kad priėmimas į jų MSI atsiradusias laisvas darbo vietas yra nepakankamai atviras, žinia apie laisvas pozicijas yra menkai viešinama už institucijos ribų.</w:t>
            </w:r>
            <w:r w:rsidRPr="01C07FEA">
              <w:rPr>
                <w:sz w:val="20"/>
              </w:rPr>
              <w:t xml:space="preserve"> </w:t>
            </w:r>
            <w:r w:rsidR="631D9D58" w:rsidRPr="01C07FEA">
              <w:rPr>
                <w:sz w:val="20"/>
              </w:rPr>
              <w:t>Galiausiai, n</w:t>
            </w:r>
            <w:r w:rsidRPr="01C07FEA">
              <w:rPr>
                <w:sz w:val="20"/>
              </w:rPr>
              <w:t xml:space="preserve">epaisant to, kad tarptautinio mobilumo patirtis vertinama kaip </w:t>
            </w:r>
            <w:r w:rsidR="156D7913" w:rsidRPr="01C07FEA">
              <w:rPr>
                <w:sz w:val="20"/>
              </w:rPr>
              <w:t>svarbus elementas</w:t>
            </w:r>
            <w:r w:rsidRPr="01C07FEA">
              <w:rPr>
                <w:sz w:val="20"/>
              </w:rPr>
              <w:t xml:space="preserve"> prisidedantis prie tyrėjo </w:t>
            </w:r>
            <w:proofErr w:type="spellStart"/>
            <w:r w:rsidRPr="01C07FEA">
              <w:rPr>
                <w:sz w:val="20"/>
              </w:rPr>
              <w:t>įsitinklinimo</w:t>
            </w:r>
            <w:proofErr w:type="spellEnd"/>
            <w:r w:rsidRPr="01C07FEA">
              <w:rPr>
                <w:sz w:val="20"/>
              </w:rPr>
              <w:t xml:space="preserve"> globalioje mokslo bendruomenėje, Lietuvos MSI tai </w:t>
            </w:r>
            <w:r w:rsidR="4DEE2859" w:rsidRPr="01C07FEA">
              <w:rPr>
                <w:sz w:val="20"/>
              </w:rPr>
              <w:t xml:space="preserve">nėra veiksnys </w:t>
            </w:r>
            <w:r w:rsidRPr="01C07FEA">
              <w:rPr>
                <w:sz w:val="20"/>
              </w:rPr>
              <w:t>padeda</w:t>
            </w:r>
            <w:r w:rsidR="4DEE2859" w:rsidRPr="01C07FEA">
              <w:rPr>
                <w:sz w:val="20"/>
              </w:rPr>
              <w:t>ntis</w:t>
            </w:r>
            <w:r w:rsidRPr="01C07FEA">
              <w:rPr>
                <w:sz w:val="20"/>
              </w:rPr>
              <w:t xml:space="preserve"> tyrėjui kilti karjeros laiptais.</w:t>
            </w:r>
            <w:r w:rsidR="005A5104" w:rsidRPr="01C07FEA">
              <w:rPr>
                <w:rStyle w:val="Puslapioinaosnuoroda"/>
                <w:sz w:val="20"/>
              </w:rPr>
              <w:footnoteReference w:id="32"/>
            </w:r>
          </w:p>
          <w:p w14:paraId="1EC4D54D" w14:textId="75D113B8" w:rsidR="00593AF8" w:rsidRDefault="156D7913" w:rsidP="01C07FEA">
            <w:pPr>
              <w:jc w:val="both"/>
              <w:rPr>
                <w:sz w:val="20"/>
              </w:rPr>
            </w:pPr>
            <w:r w:rsidRPr="01C07FEA">
              <w:rPr>
                <w:sz w:val="20"/>
              </w:rPr>
              <w:t>Penktadalis Lietuvos doktorantų bent tris mėnesius yra stažavęsi / dirbę užsienio MSI, tačiau beveik du trečdaliai daktaro laipsnį turinčių tyrėjų niekada to nedarė po disertacijos gynimo. Protų nutekėjimas bei tai, kad tik nedidelė patyrusių tyrėjų dalis turi darbo / stažuočių užsienio MSI patirtį, turi neigiamą grandininį poveikį.</w:t>
            </w:r>
            <w:r w:rsidR="00B42CFC" w:rsidRPr="01C07FEA">
              <w:rPr>
                <w:rStyle w:val="Puslapioinaosnuoroda"/>
                <w:sz w:val="20"/>
              </w:rPr>
              <w:footnoteReference w:id="33"/>
            </w:r>
            <w:r w:rsidRPr="01C07FEA">
              <w:rPr>
                <w:sz w:val="20"/>
              </w:rPr>
              <w:t xml:space="preserve"> </w:t>
            </w:r>
            <w:r w:rsidR="79B6007C" w:rsidRPr="01C07FEA">
              <w:rPr>
                <w:sz w:val="20"/>
              </w:rPr>
              <w:t>Lietuva yra antra po Lenkijos pagal išliekančias administracines kliūtis (darbo leidimai, MTEP finansavimo perkėlimas, socialinės garantijos ir t.t.) tyrėjų mobilumui vykstant į užsienio šalis.</w:t>
            </w:r>
            <w:r w:rsidR="006D1E38" w:rsidRPr="01C07FEA">
              <w:rPr>
                <w:rStyle w:val="Puslapioinaosnuoroda"/>
                <w:sz w:val="20"/>
              </w:rPr>
              <w:footnoteReference w:id="34"/>
            </w:r>
            <w:r w:rsidR="79B6007C" w:rsidRPr="01C07FEA">
              <w:rPr>
                <w:sz w:val="20"/>
              </w:rPr>
              <w:t xml:space="preserve"> </w:t>
            </w:r>
            <w:r w:rsidRPr="01C07FEA">
              <w:rPr>
                <w:sz w:val="20"/>
              </w:rPr>
              <w:t xml:space="preserve">Ribotas </w:t>
            </w:r>
            <w:proofErr w:type="spellStart"/>
            <w:r w:rsidRPr="01C07FEA">
              <w:rPr>
                <w:sz w:val="20"/>
              </w:rPr>
              <w:t>įsitinklinimas</w:t>
            </w:r>
            <w:proofErr w:type="spellEnd"/>
            <w:r w:rsidRPr="01C07FEA">
              <w:rPr>
                <w:sz w:val="20"/>
              </w:rPr>
              <w:t xml:space="preserve"> tarptautiniuose tinkluose, plėtojant ilgalaikes partnerystes ir to lemiamas mažas Lietuvos mokslo prestižas apsunkina tyrėjų tarptautinės karjeros galimybes, tai reiškia, kad pasaulinį pripažinimą turinčių tyrėjų-mokslo žvaigždžių, kurios vien savo vardu viliotų talentus rinktis Lietuvos MSI, Lietuva turi mažiau, nei galėtų turėti</w:t>
            </w:r>
            <w:r w:rsidR="00A57D11" w:rsidRPr="01C07FEA">
              <w:rPr>
                <w:sz w:val="20"/>
              </w:rPr>
              <w:t xml:space="preserve"> –</w:t>
            </w:r>
            <w:r w:rsidR="00971117" w:rsidRPr="01C07FEA">
              <w:rPr>
                <w:sz w:val="20"/>
              </w:rPr>
              <w:t xml:space="preserve"> dėl menkos tarptautinės integracijos</w:t>
            </w:r>
            <w:r w:rsidR="00A57D11" w:rsidRPr="01C07FEA">
              <w:rPr>
                <w:sz w:val="20"/>
              </w:rPr>
              <w:t xml:space="preserve"> MSI negeba savo turimų tyrėjų vardų įtvirtinti tarptautinėje rinkoje ir, antra vertus, tyrėjų-mokslo žvaigždžių iš užsienio pritraukimas nesant asmeninių ryšių ir šalies mokslo žinomumo tampa labai sudėtingu.</w:t>
            </w:r>
          </w:p>
          <w:p w14:paraId="243FDEF8" w14:textId="26D9A418" w:rsidR="00B42CFC" w:rsidRDefault="156D7913" w:rsidP="01C07FEA">
            <w:pPr>
              <w:jc w:val="both"/>
              <w:rPr>
                <w:sz w:val="20"/>
              </w:rPr>
            </w:pPr>
            <w:r w:rsidRPr="01C07FEA">
              <w:rPr>
                <w:sz w:val="20"/>
              </w:rPr>
              <w:lastRenderedPageBreak/>
              <w:t xml:space="preserve">Vienas iš kelių siekiant pritraukti talentus į Lietuvos MSI – žinomų tyrėjų iš užsienio priviliojimas. Visgi menkai išnaudojamos </w:t>
            </w:r>
            <w:r w:rsidR="64BF8D59" w:rsidRPr="01C07FEA">
              <w:rPr>
                <w:sz w:val="20"/>
              </w:rPr>
              <w:t xml:space="preserve">Europos mokslinių tyrimų erdvės ir </w:t>
            </w:r>
            <w:r w:rsidRPr="01C07FEA">
              <w:rPr>
                <w:sz w:val="20"/>
              </w:rPr>
              <w:t>tarptautinių programų suteikiamos priemonės pritraukti tyrėjus iš užsienio sąlygoja tai, kad vieno tyrėjo pritraukimo kaštai valstybei tampa labai dideli.</w:t>
            </w:r>
            <w:r w:rsidR="00DC42BE" w:rsidRPr="01C07FEA">
              <w:rPr>
                <w:rStyle w:val="Puslapioinaosnuoroda"/>
                <w:sz w:val="20"/>
              </w:rPr>
              <w:footnoteReference w:id="35"/>
            </w:r>
            <w:r w:rsidRPr="01C07FEA">
              <w:rPr>
                <w:sz w:val="20"/>
              </w:rPr>
              <w:t xml:space="preserve"> Trūksta sistemiškesnio požiūrio į tyrėjų iš užsienio pritraukimo politiką – </w:t>
            </w:r>
            <w:r w:rsidR="3463E4A4" w:rsidRPr="01C07FEA">
              <w:rPr>
                <w:sz w:val="20"/>
              </w:rPr>
              <w:t xml:space="preserve">tikslinių pritraukti siekiamų tyrėjų grupių įsivardijimo, taip pat problema lieka ir tai, kad </w:t>
            </w:r>
            <w:r w:rsidRPr="01C07FEA">
              <w:rPr>
                <w:sz w:val="20"/>
              </w:rPr>
              <w:t>tyrėjai iš užsienio nesusiejami su MSI plačiau nei numatytas projektas, jie neįtraukiami į kitus mokslinius tyrimus, tad pasibaigus projektui sąsajų su Lietuva nebelieka.</w:t>
            </w:r>
            <w:r w:rsidR="00B42CFC" w:rsidRPr="01C07FEA">
              <w:rPr>
                <w:rStyle w:val="Puslapioinaosnuoroda"/>
                <w:sz w:val="20"/>
              </w:rPr>
              <w:footnoteReference w:id="36"/>
            </w:r>
          </w:p>
          <w:p w14:paraId="057C17A3" w14:textId="77777777" w:rsidR="00B42CFC" w:rsidRPr="00745F42" w:rsidRDefault="00B42CFC" w:rsidP="00D74A9E">
            <w:pPr>
              <w:jc w:val="both"/>
              <w:rPr>
                <w:sz w:val="20"/>
              </w:rPr>
            </w:pPr>
          </w:p>
          <w:p w14:paraId="0037BCF3" w14:textId="0D5CDD71" w:rsidR="008921CE" w:rsidRPr="00AB56DD" w:rsidRDefault="01C07FEA" w:rsidP="01C07FEA">
            <w:pPr>
              <w:pStyle w:val="Sraopastraipa"/>
              <w:numPr>
                <w:ilvl w:val="1"/>
                <w:numId w:val="36"/>
              </w:numPr>
              <w:ind w:left="763"/>
              <w:jc w:val="both"/>
              <w:rPr>
                <w:sz w:val="20"/>
              </w:rPr>
            </w:pPr>
            <w:r w:rsidRPr="01C07FEA">
              <w:rPr>
                <w:sz w:val="20"/>
              </w:rPr>
              <w:t>I, II pakopų ir vientisųjų studijų studentai menkai įtraukiami į MTEP veiklas</w:t>
            </w:r>
          </w:p>
          <w:p w14:paraId="75585ED0" w14:textId="77777777" w:rsidR="00CC2883" w:rsidRPr="00DE1439" w:rsidRDefault="343D74D0" w:rsidP="01C07FEA">
            <w:pPr>
              <w:jc w:val="both"/>
              <w:rPr>
                <w:sz w:val="20"/>
              </w:rPr>
            </w:pPr>
            <w:r w:rsidRPr="01C07FEA">
              <w:rPr>
                <w:sz w:val="20"/>
              </w:rPr>
              <w:t>Palyginus su padėtimi ES, Lietuva išsiskiria didžiausia aukštąjį išsilavinimą įgijusia žmonių dalimi visuomenėje (71 proc. lenkia ES vidurkį), tačiau pagal priimtų į doktorantūros studijas student</w:t>
            </w:r>
            <w:r w:rsidR="07DB17F9" w:rsidRPr="01C07FEA">
              <w:rPr>
                <w:sz w:val="20"/>
              </w:rPr>
              <w:t>ų</w:t>
            </w:r>
            <w:r w:rsidRPr="01C07FEA">
              <w:rPr>
                <w:sz w:val="20"/>
              </w:rPr>
              <w:t xml:space="preserve"> skaičių Lietuva nuo ES vidurkio net beveik 50 proc. atsilieka. Apskritai, doktorantūros studentai sudaro vos 2 proc. nuo visų studentų šalyje (ES vidurkis – dvigubai didesnis).</w:t>
            </w:r>
            <w:r w:rsidR="00CC2883" w:rsidRPr="01C07FEA">
              <w:rPr>
                <w:rStyle w:val="Puslapioinaosnuoroda"/>
                <w:sz w:val="20"/>
              </w:rPr>
              <w:footnoteReference w:id="37"/>
            </w:r>
            <w:r w:rsidRPr="01C07FEA">
              <w:rPr>
                <w:sz w:val="20"/>
              </w:rPr>
              <w:t xml:space="preserve"> Tokia disproporcija liudija ir tai, kad </w:t>
            </w:r>
            <w:r w:rsidR="07DB17F9" w:rsidRPr="01C07FEA">
              <w:rPr>
                <w:sz w:val="20"/>
              </w:rPr>
              <w:t xml:space="preserve">pirminėse studijų pakopose studentų ruošimas dažniau nei įprasta ES nėra orientuotas į profesionalių tyrėjų rengimą, stinga studentų </w:t>
            </w:r>
            <w:proofErr w:type="spellStart"/>
            <w:r w:rsidR="07DB17F9" w:rsidRPr="01C07FEA">
              <w:rPr>
                <w:sz w:val="20"/>
              </w:rPr>
              <w:t>įtraukties</w:t>
            </w:r>
            <w:proofErr w:type="spellEnd"/>
            <w:r w:rsidR="07DB17F9" w:rsidRPr="01C07FEA">
              <w:rPr>
                <w:sz w:val="20"/>
              </w:rPr>
              <w:t xml:space="preserve"> į MSI semestro ar vasaros metu organizuojamas MTEP veiklas, nesukuriamas „kelio priklausomybės“ efektas tyrėjo karjerai vystyti.</w:t>
            </w:r>
          </w:p>
          <w:p w14:paraId="07D72E61" w14:textId="77777777" w:rsidR="00540FE4" w:rsidRPr="006D1E38" w:rsidRDefault="00540FE4" w:rsidP="002903AF">
            <w:pPr>
              <w:jc w:val="both"/>
              <w:rPr>
                <w:sz w:val="20"/>
              </w:rPr>
            </w:pPr>
          </w:p>
          <w:p w14:paraId="651B01C6" w14:textId="1E3AD8B9" w:rsidR="008921CE" w:rsidRPr="00745F42" w:rsidRDefault="01C07FEA" w:rsidP="01C07FEA">
            <w:pPr>
              <w:pStyle w:val="Sraopastraipa"/>
              <w:numPr>
                <w:ilvl w:val="1"/>
                <w:numId w:val="36"/>
              </w:numPr>
              <w:ind w:left="763"/>
              <w:jc w:val="both"/>
              <w:rPr>
                <w:sz w:val="20"/>
              </w:rPr>
            </w:pPr>
            <w:r w:rsidRPr="01C07FEA">
              <w:rPr>
                <w:sz w:val="20"/>
              </w:rPr>
              <w:t xml:space="preserve">Neišplėtoti Lietuvos mokslo žinomumo didinimo užsienyje </w:t>
            </w:r>
            <w:proofErr w:type="spellStart"/>
            <w:r w:rsidRPr="01C07FEA">
              <w:rPr>
                <w:sz w:val="20"/>
              </w:rPr>
              <w:t>pajėgumai</w:t>
            </w:r>
            <w:proofErr w:type="spellEnd"/>
          </w:p>
          <w:p w14:paraId="581FEE28" w14:textId="77777777" w:rsidR="00AD79C4" w:rsidRPr="00745F42" w:rsidRDefault="5044433F" w:rsidP="01C07FEA">
            <w:pPr>
              <w:jc w:val="both"/>
              <w:rPr>
                <w:sz w:val="20"/>
              </w:rPr>
            </w:pPr>
            <w:r w:rsidRPr="01C07FEA">
              <w:rPr>
                <w:sz w:val="20"/>
              </w:rPr>
              <w:t xml:space="preserve">Su ribotais žmogiškaisiais </w:t>
            </w:r>
            <w:proofErr w:type="spellStart"/>
            <w:r w:rsidRPr="01C07FEA">
              <w:rPr>
                <w:sz w:val="20"/>
              </w:rPr>
              <w:t>pajėgumais</w:t>
            </w:r>
            <w:proofErr w:type="spellEnd"/>
            <w:r w:rsidRPr="01C07FEA">
              <w:rPr>
                <w:sz w:val="20"/>
              </w:rPr>
              <w:t xml:space="preserve"> ir tik 2017 m. pradėjo veikti Lietuvos mokslo ir inovacijų ryšių ir kompetencijų biuras (LINO) Briuselyje, o kitose tikslinėse ES ir trečiosiose valstybėse Lietuva ligi šiol neturi mokslo </w:t>
            </w:r>
            <w:r w:rsidR="3807093A" w:rsidRPr="01C07FEA">
              <w:rPr>
                <w:sz w:val="20"/>
              </w:rPr>
              <w:t xml:space="preserve">pasiekimus viešinančių, partnerystes mezgančių, kitus Lietuvos mokslo interesus atstovaujančių atstovų. </w:t>
            </w:r>
            <w:r w:rsidRPr="01C07FEA">
              <w:rPr>
                <w:sz w:val="20"/>
              </w:rPr>
              <w:t xml:space="preserve">Lietuvos mokslo sistema nėra plačiai atpažįstama užsienyje, stinga ir sklaidos apie konkrečias Lietuvoje siūlomas MTEP finansavimo galimybes, tyrėjų iš užsienio persikėlimo galimybes. </w:t>
            </w:r>
            <w:r w:rsidR="3807093A" w:rsidRPr="01C07FEA">
              <w:rPr>
                <w:sz w:val="20"/>
              </w:rPr>
              <w:t xml:space="preserve">Lietuvai dar sunkiai sekasi pritraukti jaunus talentus ar savo vardus </w:t>
            </w:r>
            <w:r w:rsidR="5F2C7F47" w:rsidRPr="01C07FEA">
              <w:rPr>
                <w:sz w:val="20"/>
              </w:rPr>
              <w:t xml:space="preserve">globalioje mokslo rinkoje </w:t>
            </w:r>
            <w:r w:rsidR="3807093A" w:rsidRPr="01C07FEA">
              <w:rPr>
                <w:sz w:val="20"/>
              </w:rPr>
              <w:t>jau susikūrusius tyrėjus iš užsienio ir taip sukelti sėkmės sąlygotą palankią įvykių grandinę („Mato efektas“),</w:t>
            </w:r>
            <w:r w:rsidR="5F2C7F47" w:rsidRPr="01C07FEA">
              <w:rPr>
                <w:sz w:val="20"/>
              </w:rPr>
              <w:t xml:space="preserve"> priešingai,</w:t>
            </w:r>
            <w:r w:rsidR="3807093A" w:rsidRPr="01C07FEA">
              <w:rPr>
                <w:sz w:val="20"/>
              </w:rPr>
              <w:t xml:space="preserve"> daugiau tyrė</w:t>
            </w:r>
            <w:r w:rsidR="5F2C7F47" w:rsidRPr="01C07FEA">
              <w:rPr>
                <w:sz w:val="20"/>
              </w:rPr>
              <w:t>jų i</w:t>
            </w:r>
            <w:r w:rsidR="3807093A" w:rsidRPr="01C07FEA">
              <w:rPr>
                <w:sz w:val="20"/>
              </w:rPr>
              <w:t xml:space="preserve">r studentų išvyksta į užsienį nei atvyksta į Lietuvą, tačiau užsienyje esančių </w:t>
            </w:r>
            <w:r w:rsidR="46174DC8" w:rsidRPr="01C07FEA">
              <w:rPr>
                <w:sz w:val="20"/>
              </w:rPr>
              <w:t xml:space="preserve">Lietuvos </w:t>
            </w:r>
            <w:r w:rsidR="3807093A" w:rsidRPr="01C07FEA">
              <w:rPr>
                <w:sz w:val="20"/>
              </w:rPr>
              <w:t xml:space="preserve">tyrėjų </w:t>
            </w:r>
            <w:r w:rsidR="46174DC8" w:rsidRPr="01C07FEA">
              <w:rPr>
                <w:sz w:val="20"/>
              </w:rPr>
              <w:t>tinkla</w:t>
            </w:r>
            <w:r w:rsidR="3807093A" w:rsidRPr="01C07FEA">
              <w:rPr>
                <w:sz w:val="20"/>
              </w:rPr>
              <w:t xml:space="preserve">s </w:t>
            </w:r>
            <w:r w:rsidR="46174DC8" w:rsidRPr="01C07FEA">
              <w:rPr>
                <w:sz w:val="20"/>
              </w:rPr>
              <w:t xml:space="preserve">ir jų kontaktų ratas </w:t>
            </w:r>
            <w:r w:rsidR="3807093A" w:rsidRPr="01C07FEA">
              <w:rPr>
                <w:sz w:val="20"/>
              </w:rPr>
              <w:t>menkai pasitelkiamas viešinant Lietuvos siūlomas MTEP galimybes.</w:t>
            </w:r>
            <w:r w:rsidR="00F40FAC" w:rsidRPr="01C07FEA">
              <w:rPr>
                <w:rStyle w:val="Puslapioinaosnuoroda"/>
                <w:sz w:val="20"/>
              </w:rPr>
              <w:footnoteReference w:id="38"/>
            </w:r>
          </w:p>
          <w:p w14:paraId="5C005D94" w14:textId="77777777" w:rsidR="008921CE" w:rsidRPr="00745F42" w:rsidRDefault="008921CE" w:rsidP="003B0156">
            <w:pPr>
              <w:jc w:val="both"/>
              <w:rPr>
                <w:b/>
                <w:sz w:val="20"/>
              </w:rPr>
            </w:pPr>
          </w:p>
        </w:tc>
      </w:tr>
      <w:tr w:rsidR="008921CE" w:rsidRPr="00745F42" w14:paraId="0939949F" w14:textId="77777777" w:rsidTr="01C07FEA">
        <w:trPr>
          <w:trHeight w:val="70"/>
        </w:trPr>
        <w:tc>
          <w:tcPr>
            <w:tcW w:w="13887" w:type="dxa"/>
            <w:shd w:val="clear" w:color="auto" w:fill="FFFFFF" w:themeFill="background1"/>
          </w:tcPr>
          <w:p w14:paraId="11A53045" w14:textId="77777777" w:rsidR="008921CE" w:rsidRPr="00745F42" w:rsidRDefault="008921CE" w:rsidP="003B0156">
            <w:pPr>
              <w:jc w:val="both"/>
              <w:rPr>
                <w:b/>
                <w:sz w:val="20"/>
              </w:rPr>
            </w:pPr>
          </w:p>
        </w:tc>
      </w:tr>
      <w:tr w:rsidR="008921CE" w:rsidRPr="00745F42" w14:paraId="6A141717" w14:textId="77777777" w:rsidTr="01C07FEA">
        <w:trPr>
          <w:trHeight w:val="70"/>
        </w:trPr>
        <w:tc>
          <w:tcPr>
            <w:tcW w:w="13887" w:type="dxa"/>
            <w:shd w:val="clear" w:color="auto" w:fill="DBE5F1" w:themeFill="accent1" w:themeFillTint="33"/>
          </w:tcPr>
          <w:p w14:paraId="01074B2B" w14:textId="77777777" w:rsidR="008921CE" w:rsidRPr="00745F42" w:rsidRDefault="01C07FEA" w:rsidP="01C07FEA">
            <w:pPr>
              <w:jc w:val="both"/>
              <w:rPr>
                <w:b/>
                <w:bCs/>
                <w:sz w:val="20"/>
              </w:rPr>
            </w:pPr>
            <w:r w:rsidRPr="01C07FEA">
              <w:rPr>
                <w:b/>
                <w:bCs/>
                <w:sz w:val="20"/>
              </w:rPr>
              <w:t>NPP uždavinys:</w:t>
            </w:r>
          </w:p>
          <w:p w14:paraId="0FDB54F7" w14:textId="77777777" w:rsidR="008921CE" w:rsidRPr="00745F42" w:rsidRDefault="01C07FEA" w:rsidP="01C07FEA">
            <w:pPr>
              <w:jc w:val="both"/>
              <w:rPr>
                <w:b/>
                <w:bCs/>
                <w:sz w:val="20"/>
              </w:rPr>
            </w:pPr>
            <w:r w:rsidRPr="01C07FEA">
              <w:rPr>
                <w:b/>
                <w:bCs/>
                <w:sz w:val="20"/>
              </w:rPr>
              <w:t>1.2. Kurti aukšto lygio mokslo žinias, didinančias šalies konkurencingumą</w:t>
            </w:r>
          </w:p>
          <w:p w14:paraId="6C573EE0" w14:textId="77777777" w:rsidR="008921CE" w:rsidRPr="00745F42" w:rsidRDefault="008921CE" w:rsidP="008921CE">
            <w:pPr>
              <w:jc w:val="both"/>
              <w:rPr>
                <w:b/>
                <w:sz w:val="20"/>
              </w:rPr>
            </w:pPr>
          </w:p>
        </w:tc>
      </w:tr>
      <w:tr w:rsidR="008921CE" w:rsidRPr="00745F42" w14:paraId="20A3D7E8" w14:textId="77777777" w:rsidTr="01C07FEA">
        <w:trPr>
          <w:trHeight w:val="70"/>
        </w:trPr>
        <w:tc>
          <w:tcPr>
            <w:tcW w:w="13887" w:type="dxa"/>
            <w:shd w:val="clear" w:color="auto" w:fill="FFFFFF" w:themeFill="background1"/>
          </w:tcPr>
          <w:p w14:paraId="1FC6AB65" w14:textId="77777777" w:rsidR="008921CE" w:rsidRPr="00745F42" w:rsidRDefault="01C07FEA" w:rsidP="01C07FEA">
            <w:pPr>
              <w:jc w:val="both"/>
              <w:rPr>
                <w:b/>
                <w:bCs/>
                <w:sz w:val="20"/>
              </w:rPr>
            </w:pPr>
            <w:r w:rsidRPr="01C07FEA">
              <w:rPr>
                <w:b/>
                <w:bCs/>
                <w:sz w:val="20"/>
              </w:rPr>
              <w:t xml:space="preserve">2 problema: </w:t>
            </w:r>
          </w:p>
          <w:p w14:paraId="23A9F399" w14:textId="77777777" w:rsidR="008921CE" w:rsidRPr="00745F42" w:rsidRDefault="01C07FEA" w:rsidP="01C07FEA">
            <w:pPr>
              <w:jc w:val="both"/>
              <w:rPr>
                <w:b/>
                <w:bCs/>
                <w:sz w:val="20"/>
              </w:rPr>
            </w:pPr>
            <w:r w:rsidRPr="01C07FEA">
              <w:rPr>
                <w:b/>
                <w:bCs/>
                <w:sz w:val="20"/>
              </w:rPr>
              <w:t>Stinga aukšto tarptautinio lygio MTEP rezultatų</w:t>
            </w:r>
          </w:p>
          <w:p w14:paraId="49F2E702" w14:textId="77777777" w:rsidR="00B202F0" w:rsidRDefault="00B202F0" w:rsidP="008921CE">
            <w:pPr>
              <w:jc w:val="both"/>
              <w:rPr>
                <w:sz w:val="20"/>
              </w:rPr>
            </w:pPr>
          </w:p>
          <w:p w14:paraId="06951AEF" w14:textId="2A37E567" w:rsidR="00236EA0" w:rsidRDefault="5F34AF4D" w:rsidP="01C07FEA">
            <w:pPr>
              <w:jc w:val="both"/>
              <w:rPr>
                <w:sz w:val="20"/>
              </w:rPr>
            </w:pPr>
            <w:r w:rsidRPr="01C07FEA">
              <w:rPr>
                <w:sz w:val="20"/>
              </w:rPr>
              <w:t>Nors Lietuvos mokslo rezultatų kokybė sparčiai ir stabiliai augo, tačiau vis dar gan stipriai atsiliekama nuo ES valstybių</w:t>
            </w:r>
            <w:r w:rsidR="44F4BE40" w:rsidRPr="01C07FEA">
              <w:rPr>
                <w:sz w:val="20"/>
              </w:rPr>
              <w:t xml:space="preserve"> vidurkio</w:t>
            </w:r>
            <w:r w:rsidRPr="01C07FEA">
              <w:rPr>
                <w:sz w:val="20"/>
              </w:rPr>
              <w:t xml:space="preserve">. Europos inovacijų švieslentės 2020 duomenimis, Lietuvoje 2012-2019 m. laikotarpiu pagal šalies mokslinių publikacijų, patenkančių tarp 10 proc. pasaulyje labiausiai cituojamų publikacijų, dalį </w:t>
            </w:r>
            <w:r w:rsidR="68E7E3FA" w:rsidRPr="01C07FEA">
              <w:rPr>
                <w:sz w:val="20"/>
              </w:rPr>
              <w:t xml:space="preserve">tarp visų šalies mokslinių publikacijų </w:t>
            </w:r>
            <w:r w:rsidRPr="01C07FEA">
              <w:rPr>
                <w:sz w:val="20"/>
              </w:rPr>
              <w:t xml:space="preserve">fiksuotas net 29,1 proc. </w:t>
            </w:r>
            <w:r w:rsidR="68E7E3FA" w:rsidRPr="01C07FEA">
              <w:rPr>
                <w:sz w:val="20"/>
              </w:rPr>
              <w:t xml:space="preserve">p. </w:t>
            </w:r>
            <w:r w:rsidRPr="01C07FEA">
              <w:rPr>
                <w:sz w:val="20"/>
              </w:rPr>
              <w:t>augimas, kai vidutiniškai ES situacija vertinant šį rodiklį gerėjo vos 0,1 proc.</w:t>
            </w:r>
            <w:r w:rsidR="68E7E3FA" w:rsidRPr="01C07FEA">
              <w:rPr>
                <w:sz w:val="20"/>
              </w:rPr>
              <w:t xml:space="preserve"> p.</w:t>
            </w:r>
            <w:r w:rsidRPr="01C07FEA">
              <w:rPr>
                <w:sz w:val="20"/>
              </w:rPr>
              <w:t xml:space="preserve">. Nepaisant to, Lietuva vis dar dvigubai atsilieka nuo ES vidurkio </w:t>
            </w:r>
            <w:r w:rsidR="68E7E3FA" w:rsidRPr="01C07FEA">
              <w:rPr>
                <w:sz w:val="20"/>
              </w:rPr>
              <w:t xml:space="preserve">pagal šį mokslo rezultatų kokybės rodiklį </w:t>
            </w:r>
            <w:r w:rsidRPr="01C07FEA">
              <w:rPr>
                <w:sz w:val="20"/>
              </w:rPr>
              <w:t>(</w:t>
            </w:r>
            <w:r w:rsidR="68E7E3FA" w:rsidRPr="01C07FEA">
              <w:rPr>
                <w:sz w:val="20"/>
              </w:rPr>
              <w:t>atitinkamai 5,61 proc. ir 10,03 proc.</w:t>
            </w:r>
            <w:r w:rsidRPr="01C07FEA">
              <w:rPr>
                <w:sz w:val="20"/>
              </w:rPr>
              <w:t>)</w:t>
            </w:r>
            <w:r w:rsidR="68E7E3FA" w:rsidRPr="01C07FEA">
              <w:rPr>
                <w:sz w:val="20"/>
              </w:rPr>
              <w:t>.</w:t>
            </w:r>
            <w:r w:rsidR="00E921F9" w:rsidRPr="01C07FEA">
              <w:rPr>
                <w:rStyle w:val="Puslapioinaosnuoroda"/>
                <w:sz w:val="20"/>
              </w:rPr>
              <w:footnoteReference w:id="39"/>
            </w:r>
            <w:r w:rsidR="68E7E3FA" w:rsidRPr="01C07FEA">
              <w:rPr>
                <w:sz w:val="20"/>
              </w:rPr>
              <w:t xml:space="preserve"> Per mažas MTEP finansavimas valstybės biudžeto lėšomis (dvigubai mažesnis už ES vidurkį) kartu reiškia didelę MTEP sistemos priklausomybę nuo ES lėšų. Tai lemia palyginti žemą bendrą mokslo kokybę dėl </w:t>
            </w:r>
            <w:r w:rsidR="68E7E3FA" w:rsidRPr="01C07FEA">
              <w:rPr>
                <w:sz w:val="20"/>
              </w:rPr>
              <w:lastRenderedPageBreak/>
              <w:t>nepakankamo viešojo sektoriaus aprūpinimo, priemonių tęstinumo neužtikrinimo.</w:t>
            </w:r>
            <w:r w:rsidR="006F30FB" w:rsidRPr="01C07FEA">
              <w:rPr>
                <w:rStyle w:val="Puslapioinaosnuoroda"/>
                <w:sz w:val="20"/>
              </w:rPr>
              <w:footnoteReference w:id="40"/>
            </w:r>
            <w:r w:rsidR="68E7E3FA" w:rsidRPr="01C07FEA">
              <w:rPr>
                <w:sz w:val="20"/>
              </w:rPr>
              <w:t xml:space="preserve"> Priklausomybė nuo ES struktūrinių fondų lėšų sąlygoja didelius finansavimo apimčių </w:t>
            </w:r>
            <w:proofErr w:type="spellStart"/>
            <w:r w:rsidR="68E7E3FA" w:rsidRPr="01C07FEA">
              <w:rPr>
                <w:sz w:val="20"/>
              </w:rPr>
              <w:t>svyravimus</w:t>
            </w:r>
            <w:proofErr w:type="spellEnd"/>
            <w:r w:rsidR="68E7E3FA" w:rsidRPr="01C07FEA">
              <w:rPr>
                <w:sz w:val="20"/>
              </w:rPr>
              <w:t xml:space="preserve"> (pavyzdžiui, 2016 m. MTEP finansavimas aukštosioms mokykloms smuko beveik dvigubai (lyginant su 2015 m.)) ir turi didelį neigiamą poveikį ilgalaikių mokslo tyrimų darbotvarkių įgyvendinimui, MTEP rezultatų kokybei</w:t>
            </w:r>
            <w:r w:rsidR="04554160" w:rsidRPr="01C07FEA">
              <w:rPr>
                <w:sz w:val="20"/>
              </w:rPr>
              <w:t>, tad ir Lietuvos pozicijoms bendros Europos mokslinių tyrimų erdvės kontekste.</w:t>
            </w:r>
          </w:p>
          <w:p w14:paraId="3D687B75" w14:textId="53C52654" w:rsidR="0040274D" w:rsidRDefault="0040274D" w:rsidP="01C07FEA">
            <w:pPr>
              <w:jc w:val="both"/>
              <w:rPr>
                <w:sz w:val="20"/>
              </w:rPr>
            </w:pPr>
            <w:r w:rsidRPr="01C07FEA">
              <w:rPr>
                <w:sz w:val="20"/>
              </w:rPr>
              <w:t>2018 m. atlikto palyginamojo ekspertinio MTEP vertinimo metu tik devynių iš 117 tyrėjų grupių veiklos kokybė įvertinta kaip atitinkanti aukščiausią tarptautinį lygmenį. Šiose grupėse dirbo apie 16 proc. visų tyrėjų. Šešios iš devynių grupių buvo iš tos pačios MSI (VU). Visa tai rodo, kad aukščiausio lygmens kompetencijos yra sutelktos tik keliose institucijose ir santykinai didelėse mokslinių tyrimų grupėse ir, priešingai, platus ir išskaidytas tyrėjų grupių laukas neprisideda prie aukšto tarptautinio lygio MTEP rezultatų kūrimo.</w:t>
            </w:r>
            <w:r w:rsidRPr="01C07FEA">
              <w:rPr>
                <w:rStyle w:val="Puslapioinaosnuoroda"/>
                <w:sz w:val="20"/>
              </w:rPr>
              <w:footnoteReference w:id="41"/>
            </w:r>
            <w:r w:rsidRPr="01C07FEA">
              <w:rPr>
                <w:sz w:val="20"/>
              </w:rPr>
              <w:t xml:space="preserve"> Pažymėtina, kad kaip tik VU atstovo prof. dr. S. </w:t>
            </w:r>
            <w:proofErr w:type="spellStart"/>
            <w:r w:rsidRPr="01C07FEA">
              <w:rPr>
                <w:sz w:val="20"/>
              </w:rPr>
              <w:t>Klimašausko</w:t>
            </w:r>
            <w:proofErr w:type="spellEnd"/>
            <w:r w:rsidRPr="01C07FEA">
              <w:rPr>
                <w:sz w:val="20"/>
              </w:rPr>
              <w:t xml:space="preserve"> tyrėjų grupė gavo ir vienintelį Lietuvoje prestižinį Europos mokslo tarybos </w:t>
            </w:r>
            <w:proofErr w:type="spellStart"/>
            <w:r w:rsidRPr="01C07FEA">
              <w:rPr>
                <w:sz w:val="20"/>
              </w:rPr>
              <w:t>grantą</w:t>
            </w:r>
            <w:proofErr w:type="spellEnd"/>
            <w:r w:rsidRPr="01C07FEA">
              <w:rPr>
                <w:sz w:val="20"/>
              </w:rPr>
              <w:t xml:space="preserve"> (2,5 mln. eurų dotacija skirta patyrusiems tyrėjams (angl. </w:t>
            </w:r>
            <w:proofErr w:type="spellStart"/>
            <w:r w:rsidRPr="01C07FEA">
              <w:rPr>
                <w:sz w:val="20"/>
              </w:rPr>
              <w:t>Advanced</w:t>
            </w:r>
            <w:proofErr w:type="spellEnd"/>
            <w:r w:rsidRPr="01C07FEA">
              <w:rPr>
                <w:sz w:val="20"/>
              </w:rPr>
              <w:t xml:space="preserve"> </w:t>
            </w:r>
            <w:proofErr w:type="spellStart"/>
            <w:r w:rsidRPr="01C07FEA">
              <w:rPr>
                <w:sz w:val="20"/>
              </w:rPr>
              <w:t>Grant</w:t>
            </w:r>
            <w:proofErr w:type="spellEnd"/>
            <w:r w:rsidRPr="01C07FEA">
              <w:rPr>
                <w:sz w:val="20"/>
              </w:rPr>
              <w:t xml:space="preserve">)), kai tuo metu Estijoje tokiu </w:t>
            </w:r>
            <w:proofErr w:type="spellStart"/>
            <w:r w:rsidRPr="01C07FEA">
              <w:rPr>
                <w:sz w:val="20"/>
              </w:rPr>
              <w:t>grantu</w:t>
            </w:r>
            <w:proofErr w:type="spellEnd"/>
            <w:r w:rsidRPr="01C07FEA">
              <w:rPr>
                <w:sz w:val="20"/>
              </w:rPr>
              <w:t xml:space="preserve"> buvo įvertinti net 8 tyrėjai.</w:t>
            </w:r>
            <w:r w:rsidRPr="01C07FEA">
              <w:rPr>
                <w:rStyle w:val="Puslapioinaosnuoroda"/>
                <w:sz w:val="20"/>
              </w:rPr>
              <w:footnoteReference w:id="42"/>
            </w:r>
          </w:p>
          <w:p w14:paraId="5768190E" w14:textId="77777777" w:rsidR="006F30FB" w:rsidRDefault="006F30FB" w:rsidP="008921CE">
            <w:pPr>
              <w:jc w:val="both"/>
              <w:rPr>
                <w:sz w:val="20"/>
              </w:rPr>
            </w:pPr>
          </w:p>
          <w:p w14:paraId="4F9604C7" w14:textId="77777777" w:rsidR="00C95C72" w:rsidRPr="00745F42" w:rsidRDefault="01C07FEA" w:rsidP="01C07FEA">
            <w:pPr>
              <w:jc w:val="both"/>
              <w:rPr>
                <w:sz w:val="20"/>
              </w:rPr>
            </w:pPr>
            <w:r w:rsidRPr="01C07FEA">
              <w:rPr>
                <w:sz w:val="20"/>
              </w:rPr>
              <w:t>Siekiamas pokytis: sudarytos sąlygos (įskaitant stabilų ir pakankamą MTEP finansavimą) aukšto lygio MTEP veiklai vykdyti lems gerėjančius Lietuvos mokslo kokybės rodiklius.</w:t>
            </w:r>
          </w:p>
          <w:p w14:paraId="49422633" w14:textId="77777777" w:rsidR="00C95C72" w:rsidRPr="00745F42" w:rsidRDefault="00C95C72" w:rsidP="00C95C72">
            <w:pPr>
              <w:jc w:val="both"/>
              <w:rPr>
                <w:sz w:val="20"/>
              </w:rPr>
            </w:pPr>
          </w:p>
          <w:p w14:paraId="341E62B7" w14:textId="7203ACAE" w:rsidR="00C95C72"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412A3D9F" w14:textId="77777777" w:rsidR="00552F6E" w:rsidRPr="00745F42" w:rsidRDefault="00552F6E" w:rsidP="00C95C72">
            <w:pPr>
              <w:jc w:val="both"/>
              <w:rPr>
                <w:sz w:val="20"/>
              </w:rPr>
            </w:pPr>
          </w:p>
          <w:p w14:paraId="0CBDCCB1" w14:textId="77777777" w:rsidR="00C95C72"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1CDF81B4" w14:textId="4C995BF1" w:rsidR="00D95B5B" w:rsidRPr="001A6F34" w:rsidRDefault="00D95B5B" w:rsidP="00D95B5B">
            <w:pPr>
              <w:jc w:val="both"/>
              <w:rPr>
                <w:sz w:val="20"/>
              </w:rPr>
            </w:pPr>
            <w:r w:rsidRPr="001A6F34">
              <w:rPr>
                <w:sz w:val="20"/>
              </w:rPr>
              <w:t>Nagrinėjama problema aktuali Lietuvos Respublikos teritorijos bendrojo plano (toliau – LRBP) sprendiniui „202.2.2. Aukščiausio lygio MTEPI darbų vykdymui“.</w:t>
            </w:r>
            <w:r w:rsidR="001A6F34" w:rsidRPr="001A6F34">
              <w:rPr>
                <w:rStyle w:val="Puslapioinaosnuoroda"/>
                <w:sz w:val="20"/>
              </w:rPr>
              <w:footnoteReference w:id="43"/>
            </w:r>
            <w:r w:rsidRPr="001A6F34">
              <w:rPr>
                <w:sz w:val="20"/>
              </w:rPr>
              <w:t xml:space="preserve"> </w:t>
            </w:r>
          </w:p>
          <w:p w14:paraId="519CE0BA" w14:textId="3BBF9256" w:rsidR="008921CE" w:rsidRDefault="008921CE" w:rsidP="00444B9F">
            <w:pPr>
              <w:jc w:val="both"/>
              <w:rPr>
                <w:sz w:val="20"/>
              </w:rPr>
            </w:pPr>
          </w:p>
          <w:p w14:paraId="68625D58" w14:textId="21ABA9C6" w:rsidR="00D95B5B" w:rsidRPr="00745F42" w:rsidRDefault="00D95B5B" w:rsidP="00444B9F">
            <w:pPr>
              <w:jc w:val="both"/>
              <w:rPr>
                <w:b/>
                <w:sz w:val="20"/>
              </w:rPr>
            </w:pPr>
          </w:p>
        </w:tc>
      </w:tr>
      <w:tr w:rsidR="008921CE" w:rsidRPr="00745F42" w14:paraId="604F050A" w14:textId="77777777" w:rsidTr="01C07FEA">
        <w:trPr>
          <w:trHeight w:val="70"/>
        </w:trPr>
        <w:tc>
          <w:tcPr>
            <w:tcW w:w="13887" w:type="dxa"/>
            <w:shd w:val="clear" w:color="auto" w:fill="FFFFFF" w:themeFill="background1"/>
          </w:tcPr>
          <w:p w14:paraId="489E9814" w14:textId="5EAD4508" w:rsidR="008921CE" w:rsidRPr="00745F42" w:rsidRDefault="008921CE" w:rsidP="01C07FEA">
            <w:pPr>
              <w:jc w:val="both"/>
              <w:rPr>
                <w:b/>
                <w:bCs/>
                <w:sz w:val="20"/>
              </w:rPr>
            </w:pPr>
            <w:r w:rsidRPr="01C07FEA">
              <w:rPr>
                <w:b/>
                <w:bCs/>
                <w:sz w:val="20"/>
              </w:rPr>
              <w:lastRenderedPageBreak/>
              <w:t>Problemos priežastys</w:t>
            </w:r>
            <w:r w:rsidR="00B41A22" w:rsidRPr="01C07FEA">
              <w:rPr>
                <w:rStyle w:val="Puslapioinaosnuoroda"/>
                <w:b/>
                <w:bCs/>
                <w:sz w:val="20"/>
              </w:rPr>
              <w:footnoteReference w:id="44"/>
            </w:r>
            <w:r w:rsidRPr="01C07FEA">
              <w:rPr>
                <w:b/>
                <w:bCs/>
                <w:sz w:val="20"/>
              </w:rPr>
              <w:t>:</w:t>
            </w:r>
          </w:p>
          <w:p w14:paraId="073D04F8" w14:textId="77777777" w:rsidR="00644993" w:rsidRPr="00745F42" w:rsidRDefault="00644993" w:rsidP="008921CE">
            <w:pPr>
              <w:jc w:val="both"/>
              <w:rPr>
                <w:b/>
                <w:sz w:val="20"/>
              </w:rPr>
            </w:pPr>
          </w:p>
          <w:p w14:paraId="4AF45F6E" w14:textId="23EB1DE9" w:rsidR="00644993" w:rsidRPr="00A32705" w:rsidRDefault="01C07FEA" w:rsidP="01C07FEA">
            <w:pPr>
              <w:pStyle w:val="Sraopastraipa"/>
              <w:numPr>
                <w:ilvl w:val="1"/>
                <w:numId w:val="37"/>
              </w:numPr>
              <w:ind w:left="763"/>
              <w:jc w:val="both"/>
              <w:rPr>
                <w:sz w:val="20"/>
              </w:rPr>
            </w:pPr>
            <w:r w:rsidRPr="01C07FEA">
              <w:rPr>
                <w:sz w:val="20"/>
              </w:rPr>
              <w:t>Mokslo veiklų bazinis finansavimas išlieka itin mažas, kai studijų veiklų finansavimas artimas ES vidurkiui</w:t>
            </w:r>
          </w:p>
          <w:p w14:paraId="3DB37E8C" w14:textId="64282E9D" w:rsidR="0041725B" w:rsidRDefault="2254172C" w:rsidP="01C07FEA">
            <w:pPr>
              <w:jc w:val="both"/>
              <w:rPr>
                <w:sz w:val="20"/>
              </w:rPr>
            </w:pPr>
            <w:r w:rsidRPr="01C07FEA">
              <w:rPr>
                <w:sz w:val="20"/>
              </w:rPr>
              <w:t>Žr. pagrindimą prie 1</w:t>
            </w:r>
            <w:r w:rsidR="282622A4" w:rsidRPr="01C07FEA">
              <w:rPr>
                <w:sz w:val="20"/>
              </w:rPr>
              <w:t xml:space="preserve"> problemos</w:t>
            </w:r>
            <w:r w:rsidRPr="01C07FEA">
              <w:rPr>
                <w:sz w:val="20"/>
              </w:rPr>
              <w:t xml:space="preserve"> 1 punkto. Nepakankamas </w:t>
            </w:r>
            <w:r w:rsidR="554858C8" w:rsidRPr="01C07FEA">
              <w:rPr>
                <w:sz w:val="20"/>
              </w:rPr>
              <w:t xml:space="preserve">apskritai </w:t>
            </w:r>
            <w:r w:rsidRPr="01C07FEA">
              <w:rPr>
                <w:sz w:val="20"/>
              </w:rPr>
              <w:t xml:space="preserve">ir </w:t>
            </w:r>
            <w:r w:rsidR="554858C8" w:rsidRPr="01C07FEA">
              <w:rPr>
                <w:sz w:val="20"/>
              </w:rPr>
              <w:t xml:space="preserve">kartu </w:t>
            </w:r>
            <w:r w:rsidRPr="01C07FEA">
              <w:rPr>
                <w:sz w:val="20"/>
              </w:rPr>
              <w:t xml:space="preserve">gerokai mažesnę įtaką </w:t>
            </w:r>
            <w:r w:rsidR="4FC403B8" w:rsidRPr="01C07FEA">
              <w:rPr>
                <w:sz w:val="20"/>
              </w:rPr>
              <w:t xml:space="preserve">nei studentų kiekis </w:t>
            </w:r>
            <w:r w:rsidRPr="01C07FEA">
              <w:rPr>
                <w:sz w:val="20"/>
              </w:rPr>
              <w:t>MSI finansavimo srautams turintis MTEP finansavimas lemia, kad MSI stinga paskatų telkti stiprias tyrėjų grupes, priešingai, tyrėjai, tad ir intelektualinis potencialas, yra pasklidę po daugelį dažnai vien kaip studijų (ne mokslo) centrai suvokiamų universitetų</w:t>
            </w:r>
            <w:r w:rsidR="540B2891" w:rsidRPr="01C07FEA">
              <w:rPr>
                <w:sz w:val="20"/>
              </w:rPr>
              <w:t xml:space="preserve">, kurių gyvybingumo strategija </w:t>
            </w:r>
            <w:r w:rsidR="64E55297" w:rsidRPr="01C07FEA">
              <w:rPr>
                <w:sz w:val="20"/>
              </w:rPr>
              <w:t xml:space="preserve">neretai </w:t>
            </w:r>
            <w:r w:rsidR="540B2891" w:rsidRPr="01C07FEA">
              <w:rPr>
                <w:sz w:val="20"/>
              </w:rPr>
              <w:t>grindžiama smulkių studijų programų gausa</w:t>
            </w:r>
            <w:r w:rsidRPr="01C07FEA">
              <w:rPr>
                <w:sz w:val="20"/>
              </w:rPr>
              <w:t>.</w:t>
            </w:r>
            <w:r w:rsidR="4FC403B8" w:rsidRPr="01C07FEA">
              <w:rPr>
                <w:sz w:val="20"/>
              </w:rPr>
              <w:t xml:space="preserve"> Vis didėjanti finansinė MSI priklausomybė nuo studentų skaičiaus, tuo pačiu prastėjant Lietuvos demografinei situacijai tik dar labiau mažina MSI orientaciją į aukšto lygmens mokslo vystymą.</w:t>
            </w:r>
            <w:r w:rsidR="001C7CDC" w:rsidRPr="01C07FEA">
              <w:rPr>
                <w:rStyle w:val="Puslapioinaosnuoroda"/>
                <w:sz w:val="20"/>
              </w:rPr>
              <w:footnoteReference w:id="45"/>
            </w:r>
          </w:p>
          <w:p w14:paraId="76B1E847" w14:textId="77777777" w:rsidR="00F956CA" w:rsidRPr="00745F42" w:rsidRDefault="00F956CA" w:rsidP="00F956CA">
            <w:pPr>
              <w:jc w:val="both"/>
              <w:rPr>
                <w:sz w:val="20"/>
              </w:rPr>
            </w:pPr>
          </w:p>
          <w:p w14:paraId="2228D8F7" w14:textId="5C797711" w:rsidR="00644993" w:rsidRPr="00745F42" w:rsidRDefault="01C07FEA" w:rsidP="01C07FEA">
            <w:pPr>
              <w:pStyle w:val="Sraopastraipa"/>
              <w:numPr>
                <w:ilvl w:val="1"/>
                <w:numId w:val="37"/>
              </w:numPr>
              <w:ind w:left="763"/>
              <w:jc w:val="both"/>
              <w:rPr>
                <w:sz w:val="20"/>
              </w:rPr>
            </w:pPr>
            <w:r w:rsidRPr="01C07FEA">
              <w:rPr>
                <w:sz w:val="20"/>
              </w:rPr>
              <w:t>Menkai išreikštas valstybės institucijų poreikis MTEP paslaugoms</w:t>
            </w:r>
          </w:p>
          <w:p w14:paraId="1418483C" w14:textId="77777777" w:rsidR="00F956CA" w:rsidRPr="00745F42" w:rsidRDefault="01C07FEA" w:rsidP="01C07FEA">
            <w:pPr>
              <w:jc w:val="both"/>
              <w:rPr>
                <w:sz w:val="20"/>
              </w:rPr>
            </w:pPr>
            <w:r w:rsidRPr="01C07FEA">
              <w:rPr>
                <w:sz w:val="20"/>
              </w:rPr>
              <w:t>Žr. pagrindimą prie 1 problemos 2 punkto.</w:t>
            </w:r>
          </w:p>
          <w:p w14:paraId="0297EABC" w14:textId="77777777" w:rsidR="00F956CA" w:rsidRPr="00745F42" w:rsidRDefault="00F956CA" w:rsidP="00F956CA">
            <w:pPr>
              <w:jc w:val="both"/>
              <w:rPr>
                <w:sz w:val="20"/>
              </w:rPr>
            </w:pPr>
          </w:p>
          <w:p w14:paraId="1914E5F9" w14:textId="1A71A6E2" w:rsidR="00644993" w:rsidRPr="00745F42" w:rsidRDefault="01C07FEA" w:rsidP="01C07FEA">
            <w:pPr>
              <w:pStyle w:val="Sraopastraipa"/>
              <w:numPr>
                <w:ilvl w:val="1"/>
                <w:numId w:val="37"/>
              </w:numPr>
              <w:ind w:left="763"/>
              <w:jc w:val="both"/>
              <w:rPr>
                <w:sz w:val="20"/>
              </w:rPr>
            </w:pPr>
            <w:r w:rsidRPr="01C07FEA">
              <w:rPr>
                <w:sz w:val="20"/>
              </w:rPr>
              <w:lastRenderedPageBreak/>
              <w:t>Menkas konkursinio MTEP finansavimo prieinamumas ir tvarumas</w:t>
            </w:r>
          </w:p>
          <w:p w14:paraId="51C7335C" w14:textId="0AE0CBE3" w:rsidR="00F956CA" w:rsidRPr="00745F42" w:rsidRDefault="30E065B2" w:rsidP="01C07FEA">
            <w:pPr>
              <w:jc w:val="both"/>
              <w:rPr>
                <w:sz w:val="20"/>
              </w:rPr>
            </w:pPr>
            <w:r w:rsidRPr="01C07FEA">
              <w:rPr>
                <w:sz w:val="20"/>
              </w:rPr>
              <w:t xml:space="preserve">MTEP </w:t>
            </w:r>
            <w:r w:rsidR="16CB1151" w:rsidRPr="01C07FEA">
              <w:rPr>
                <w:sz w:val="20"/>
              </w:rPr>
              <w:t xml:space="preserve">konkursinio </w:t>
            </w:r>
            <w:r w:rsidRPr="01C07FEA">
              <w:rPr>
                <w:sz w:val="20"/>
              </w:rPr>
              <w:t>finansavimo sistema yra fragmentuota ir nepastovi. MSI sunku planuoti ir paskirstyti ribotus administracinius ir mokslinius resursus paraiškoms konkursiniam finansavimui rengti, nes stinga ilgalaikio ir aiškaus kvietimų grafiko, tenka prisitaikyti prie plataus agentūrų</w:t>
            </w:r>
            <w:r w:rsidR="3D92B218" w:rsidRPr="01C07FEA">
              <w:rPr>
                <w:sz w:val="20"/>
              </w:rPr>
              <w:t>, kuriose dar ne visuomet tinkamai veikia priemonių finansavimo ir projektų vertinimo funkcijų perskyra,</w:t>
            </w:r>
            <w:r w:rsidRPr="01C07FEA">
              <w:rPr>
                <w:sz w:val="20"/>
              </w:rPr>
              <w:t xml:space="preserve"> tinklo administruojamų smulkių MTEP priemonių skirtingų reikalavimų.</w:t>
            </w:r>
            <w:r w:rsidR="007E313D" w:rsidRPr="01C07FEA">
              <w:rPr>
                <w:rStyle w:val="Puslapioinaosnuoroda"/>
                <w:sz w:val="20"/>
              </w:rPr>
              <w:footnoteReference w:id="46"/>
            </w:r>
            <w:r w:rsidRPr="01C07FEA">
              <w:rPr>
                <w:sz w:val="20"/>
              </w:rPr>
              <w:t xml:space="preserve"> Tyrėjai priversti nuolat dalyvauti nesibaigiančiame paraiškų rašymo cikle, nes </w:t>
            </w:r>
            <w:r w:rsidR="17601883" w:rsidRPr="01C07FEA">
              <w:rPr>
                <w:sz w:val="20"/>
              </w:rPr>
              <w:t xml:space="preserve">daugelis priemonių orientuotos į trumpos apimties projektus. Tai neleidžia tyrėjams ir MSI vystyti ilgesnio periodo, didesnės apimties ir kartu mokslinės ambicijos MTEP veiklas. Mažas valstybės biudžeto finansavimas MTEP (Lietuva – 0,32 proc. nuo BVP, kai ES vidurkis – 0,63 proc. nuo BVP) reiškia, kad MTEP rezultatai tampa itin priklausomi nuo ES struktūrinių fondų finansavimo, o ES ilgamečių finansavimo periodų sandūros metu patiriami ES finansavimo trūkiai nėra amortizuojami. </w:t>
            </w:r>
            <w:r w:rsidR="5DA71BD1" w:rsidRPr="01C07FEA">
              <w:rPr>
                <w:sz w:val="20"/>
              </w:rPr>
              <w:t xml:space="preserve">Visa tai mažina tyrėjų pasitikėjimą valstybe ir jos brėžiama mokslo politikos kryptimi. </w:t>
            </w:r>
            <w:r w:rsidR="17601883" w:rsidRPr="01C07FEA">
              <w:rPr>
                <w:sz w:val="20"/>
              </w:rPr>
              <w:t xml:space="preserve">Kartu griežtos ES struktūrinių fondų lėšų naudojimo taisykles apriboja valstybės galimybes formuoti norimą MTEP politiką (pavyzdžiui, </w:t>
            </w:r>
            <w:r w:rsidR="5DA71BD1" w:rsidRPr="01C07FEA">
              <w:rPr>
                <w:sz w:val="20"/>
              </w:rPr>
              <w:t>orientacija į komercinį potencialą turintį MTEP nuošalėje palieka svarbius fundamentinių mokslinių tyrimų klausimus</w:t>
            </w:r>
            <w:r w:rsidR="17601883" w:rsidRPr="01C07FEA">
              <w:rPr>
                <w:sz w:val="20"/>
              </w:rPr>
              <w:t>)</w:t>
            </w:r>
            <w:r w:rsidR="5DA71BD1" w:rsidRPr="01C07FEA">
              <w:rPr>
                <w:sz w:val="20"/>
              </w:rPr>
              <w:t xml:space="preserve">, o projektų įgyvendinimo lygmeniu per daug susitelkiama į </w:t>
            </w:r>
            <w:r w:rsidR="77EFC0EB" w:rsidRPr="01C07FEA">
              <w:rPr>
                <w:sz w:val="20"/>
              </w:rPr>
              <w:t>proceso, o ne rezultato kontrolę</w:t>
            </w:r>
            <w:r w:rsidR="5DA71BD1" w:rsidRPr="01C07FEA">
              <w:rPr>
                <w:sz w:val="20"/>
              </w:rPr>
              <w:t xml:space="preserve">. </w:t>
            </w:r>
            <w:r w:rsidR="0AA423ED" w:rsidRPr="01C07FEA">
              <w:rPr>
                <w:sz w:val="20"/>
              </w:rPr>
              <w:t>Į MTEP projektų atrankos procesą vis dar retai įtraukiami vertintojai iš užsienio</w:t>
            </w:r>
            <w:r w:rsidR="755040DD" w:rsidRPr="01C07FEA">
              <w:rPr>
                <w:sz w:val="20"/>
              </w:rPr>
              <w:t xml:space="preserve">, atrankos mechanizmas menkai išnaudojamas </w:t>
            </w:r>
            <w:r w:rsidR="00F051F9" w:rsidRPr="01C07FEA">
              <w:rPr>
                <w:sz w:val="20"/>
              </w:rPr>
              <w:t>bendrų (</w:t>
            </w:r>
            <w:proofErr w:type="spellStart"/>
            <w:r w:rsidR="20C29996" w:rsidRPr="01C07FEA">
              <w:rPr>
                <w:sz w:val="20"/>
              </w:rPr>
              <w:t>tarpsektorinių</w:t>
            </w:r>
            <w:proofErr w:type="spellEnd"/>
            <w:r w:rsidR="20C29996" w:rsidRPr="01C07FEA">
              <w:rPr>
                <w:sz w:val="20"/>
              </w:rPr>
              <w:t xml:space="preserve">, </w:t>
            </w:r>
            <w:proofErr w:type="spellStart"/>
            <w:r w:rsidR="755040DD" w:rsidRPr="01C07FEA">
              <w:rPr>
                <w:sz w:val="20"/>
              </w:rPr>
              <w:t>tarpinstitucinių</w:t>
            </w:r>
            <w:proofErr w:type="spellEnd"/>
            <w:r w:rsidR="755040DD" w:rsidRPr="01C07FEA">
              <w:rPr>
                <w:sz w:val="20"/>
              </w:rPr>
              <w:t xml:space="preserve">, </w:t>
            </w:r>
            <w:proofErr w:type="spellStart"/>
            <w:r w:rsidR="755040DD" w:rsidRPr="01C07FEA">
              <w:rPr>
                <w:sz w:val="20"/>
              </w:rPr>
              <w:t>tarpdisciplinių</w:t>
            </w:r>
            <w:proofErr w:type="spellEnd"/>
            <w:r w:rsidR="00F051F9" w:rsidRPr="01C07FEA">
              <w:rPr>
                <w:sz w:val="20"/>
              </w:rPr>
              <w:t>)</w:t>
            </w:r>
            <w:r w:rsidR="755040DD" w:rsidRPr="01C07FEA">
              <w:rPr>
                <w:sz w:val="20"/>
              </w:rPr>
              <w:t xml:space="preserve"> tyrimų skatinimui, </w:t>
            </w:r>
            <w:r w:rsidR="6764FDB6" w:rsidRPr="01C07FEA">
              <w:rPr>
                <w:sz w:val="20"/>
              </w:rPr>
              <w:t>lyčių lygybės</w:t>
            </w:r>
            <w:r w:rsidR="755040DD" w:rsidRPr="01C07FEA">
              <w:rPr>
                <w:sz w:val="20"/>
              </w:rPr>
              <w:t xml:space="preserve"> </w:t>
            </w:r>
            <w:r w:rsidR="008209F7" w:rsidRPr="01C07FEA">
              <w:rPr>
                <w:sz w:val="20"/>
              </w:rPr>
              <w:t xml:space="preserve">ir lygių galimybių </w:t>
            </w:r>
            <w:r w:rsidR="755040DD" w:rsidRPr="01C07FEA">
              <w:rPr>
                <w:sz w:val="20"/>
              </w:rPr>
              <w:t>principų diegimui</w:t>
            </w:r>
            <w:r w:rsidR="0AA423ED" w:rsidRPr="01C07FEA">
              <w:rPr>
                <w:sz w:val="20"/>
              </w:rPr>
              <w:t xml:space="preserve">. </w:t>
            </w:r>
            <w:r w:rsidR="5DA71BD1" w:rsidRPr="01C07FEA">
              <w:rPr>
                <w:sz w:val="20"/>
              </w:rPr>
              <w:t xml:space="preserve">Trūksta kompleksinių </w:t>
            </w:r>
            <w:r w:rsidR="2DFCA189" w:rsidRPr="01C07FEA">
              <w:rPr>
                <w:sz w:val="20"/>
              </w:rPr>
              <w:t>priemonių (susiejančių MTEP veiklas, laboratorinės įrangos atnaujinimą ir t. t.</w:t>
            </w:r>
            <w:r w:rsidR="00D1364C" w:rsidRPr="01C07FEA">
              <w:rPr>
                <w:sz w:val="20"/>
              </w:rPr>
              <w:t>, įtraukiančių skirtingų disciplinų, sektorių atstovus</w:t>
            </w:r>
            <w:r w:rsidR="2DFCA189" w:rsidRPr="01C07FEA">
              <w:rPr>
                <w:sz w:val="20"/>
              </w:rPr>
              <w:t>),</w:t>
            </w:r>
            <w:r w:rsidR="0F0278B8" w:rsidRPr="01C07FEA">
              <w:rPr>
                <w:sz w:val="20"/>
              </w:rPr>
              <w:t xml:space="preserve"> paskatų</w:t>
            </w:r>
            <w:r w:rsidR="5DA71BD1" w:rsidRPr="01C07FEA">
              <w:rPr>
                <w:sz w:val="20"/>
              </w:rPr>
              <w:t xml:space="preserve"> </w:t>
            </w:r>
            <w:r w:rsidR="00C5068E" w:rsidRPr="01C07FEA">
              <w:rPr>
                <w:sz w:val="20"/>
              </w:rPr>
              <w:t xml:space="preserve">(per papildomus balus) </w:t>
            </w:r>
            <w:r w:rsidR="5DA71BD1" w:rsidRPr="01C07FEA">
              <w:rPr>
                <w:sz w:val="20"/>
              </w:rPr>
              <w:t>finansavimo priemonėse skirtingoms tikslinėms grupėms</w:t>
            </w:r>
            <w:r w:rsidR="00D1364C" w:rsidRPr="01C07FEA">
              <w:rPr>
                <w:sz w:val="20"/>
              </w:rPr>
              <w:t>.</w:t>
            </w:r>
            <w:r w:rsidRPr="01C07FEA">
              <w:rPr>
                <w:rStyle w:val="Puslapioinaosnuoroda"/>
                <w:sz w:val="20"/>
              </w:rPr>
              <w:footnoteReference w:id="47"/>
            </w:r>
          </w:p>
          <w:p w14:paraId="620A4037" w14:textId="77777777" w:rsidR="00145067" w:rsidRPr="00745F42" w:rsidRDefault="00145067" w:rsidP="00F956CA">
            <w:pPr>
              <w:jc w:val="both"/>
              <w:rPr>
                <w:sz w:val="20"/>
              </w:rPr>
            </w:pPr>
          </w:p>
          <w:p w14:paraId="3E4E581F" w14:textId="7AB22A52" w:rsidR="00271224" w:rsidRPr="00A32705" w:rsidRDefault="01C07FEA" w:rsidP="01C07FEA">
            <w:pPr>
              <w:pStyle w:val="Sraopastraipa"/>
              <w:numPr>
                <w:ilvl w:val="1"/>
                <w:numId w:val="37"/>
              </w:numPr>
              <w:ind w:left="763"/>
              <w:jc w:val="both"/>
              <w:rPr>
                <w:sz w:val="20"/>
              </w:rPr>
            </w:pPr>
            <w:r w:rsidRPr="01C07FEA">
              <w:rPr>
                <w:sz w:val="20"/>
              </w:rPr>
              <w:t>Netvarus mokslo duomenų bazių prieinamumas, ribotai atveriama mokslinė informacija (publikacijos, duomenys)</w:t>
            </w:r>
          </w:p>
          <w:p w14:paraId="5E976471" w14:textId="3EA8121F" w:rsidR="008A2A21" w:rsidRPr="00745F42" w:rsidRDefault="62B54AEB" w:rsidP="01C07FEA">
            <w:pPr>
              <w:jc w:val="both"/>
              <w:rPr>
                <w:sz w:val="20"/>
              </w:rPr>
            </w:pPr>
            <w:r w:rsidRPr="01C07FEA">
              <w:rPr>
                <w:sz w:val="20"/>
              </w:rPr>
              <w:t xml:space="preserve">Daugelis publikacijų nėra skelbiamos atviros prieigos formatu, mokslinių tyrimų metu gauti duomenys nėra viešai publikuojami (nepaisant egzistuojančių </w:t>
            </w:r>
            <w:r w:rsidR="698D4E65" w:rsidRPr="01C07FEA">
              <w:rPr>
                <w:sz w:val="20"/>
              </w:rPr>
              <w:t>gerosios praktikos pavyzdžių), t</w:t>
            </w:r>
            <w:r w:rsidRPr="01C07FEA">
              <w:rPr>
                <w:sz w:val="20"/>
              </w:rPr>
              <w:t xml:space="preserve">odėl kuriamų žinių prieinamumas </w:t>
            </w:r>
            <w:r w:rsidR="698D4E65" w:rsidRPr="01C07FEA">
              <w:rPr>
                <w:sz w:val="20"/>
              </w:rPr>
              <w:t>lie</w:t>
            </w:r>
            <w:r w:rsidRPr="01C07FEA">
              <w:rPr>
                <w:sz w:val="20"/>
              </w:rPr>
              <w:t>ka ribotas.</w:t>
            </w:r>
            <w:r w:rsidR="698D4E65" w:rsidRPr="01C07FEA">
              <w:rPr>
                <w:sz w:val="20"/>
              </w:rPr>
              <w:t xml:space="preserve"> </w:t>
            </w:r>
            <w:r w:rsidR="006E6DAC" w:rsidRPr="01C07FEA">
              <w:rPr>
                <w:sz w:val="20"/>
              </w:rPr>
              <w:t xml:space="preserve">Pavyzdžiui, Lietuvoje veikia 4 didesnės duomenų saugyklos, tačiau jose duomenys netenkina visų atvirų duomenų FAIR principų. Duomenys, publikacijos jose nėra prieinami per tarptautines paieškos sistemas, nes duomenų bazės nėra susietos su kitomis tokio profilio tarptautinėmis duomenų saugyklomis (išskyrus </w:t>
            </w:r>
            <w:proofErr w:type="spellStart"/>
            <w:r w:rsidR="006E6DAC" w:rsidRPr="01C07FEA">
              <w:rPr>
                <w:sz w:val="20"/>
              </w:rPr>
              <w:t>Kristalografijos</w:t>
            </w:r>
            <w:proofErr w:type="spellEnd"/>
            <w:r w:rsidR="006E6DAC" w:rsidRPr="01C07FEA">
              <w:rPr>
                <w:sz w:val="20"/>
              </w:rPr>
              <w:t xml:space="preserve"> duomenų saugyklą (VU)). </w:t>
            </w:r>
            <w:r w:rsidR="698D4E65" w:rsidRPr="01C07FEA">
              <w:rPr>
                <w:sz w:val="20"/>
              </w:rPr>
              <w:t>Nesant tvarios ir užtikrintos prieigos prie aktualiausių duomenų bazių, o atviro mokslo koncepcijos taikymui Lietuvoje žengiant tik pirmuosius žingsnius galimybės dirbti su naujausiais duomenimis ir mokslo žiniomis ir taip kurti naujus, tarptautiniu lygiu aktualius MTEP rezultatus tampa ribotos.</w:t>
            </w:r>
            <w:r w:rsidR="005C4B38" w:rsidRPr="01C07FEA">
              <w:rPr>
                <w:rStyle w:val="Puslapioinaosnuoroda"/>
                <w:sz w:val="20"/>
              </w:rPr>
              <w:footnoteReference w:id="48"/>
            </w:r>
          </w:p>
          <w:p w14:paraId="70F53251" w14:textId="77777777" w:rsidR="00E44D61" w:rsidRPr="00745F42" w:rsidRDefault="00E44D61" w:rsidP="008A2A21">
            <w:pPr>
              <w:jc w:val="both"/>
              <w:rPr>
                <w:sz w:val="20"/>
              </w:rPr>
            </w:pPr>
          </w:p>
          <w:p w14:paraId="09984384" w14:textId="1F86A85D" w:rsidR="00644993" w:rsidRPr="00A32705" w:rsidRDefault="01C07FEA" w:rsidP="01C07FEA">
            <w:pPr>
              <w:pStyle w:val="Sraopastraipa"/>
              <w:numPr>
                <w:ilvl w:val="1"/>
                <w:numId w:val="37"/>
              </w:numPr>
              <w:ind w:left="763"/>
              <w:jc w:val="both"/>
              <w:rPr>
                <w:sz w:val="20"/>
              </w:rPr>
            </w:pPr>
            <w:r w:rsidRPr="01C07FEA">
              <w:rPr>
                <w:sz w:val="20"/>
              </w:rPr>
              <w:t>Menkai išnaudojamos įsitraukimo į tarptautines MTEP infrastruktūras ir tinklus suteikiamos galimybės</w:t>
            </w:r>
          </w:p>
          <w:p w14:paraId="3162DC9F" w14:textId="6CA8984F" w:rsidR="003E0DF3" w:rsidRPr="00745F42" w:rsidRDefault="275ED740" w:rsidP="01C07FEA">
            <w:pPr>
              <w:jc w:val="both"/>
              <w:rPr>
                <w:sz w:val="20"/>
              </w:rPr>
            </w:pPr>
            <w:r w:rsidRPr="01C07FEA">
              <w:rPr>
                <w:sz w:val="20"/>
              </w:rPr>
              <w:t xml:space="preserve">Lietuvos MSI įsitraukimas į tarptautinių MTEP </w:t>
            </w:r>
            <w:r w:rsidR="5A2B8357" w:rsidRPr="01C07FEA">
              <w:rPr>
                <w:sz w:val="20"/>
              </w:rPr>
              <w:t>tinklų, asociacijų ir</w:t>
            </w:r>
            <w:r w:rsidR="226BA48E" w:rsidRPr="01C07FEA">
              <w:rPr>
                <w:sz w:val="20"/>
              </w:rPr>
              <w:t xml:space="preserve"> </w:t>
            </w:r>
            <w:r w:rsidRPr="01C07FEA">
              <w:rPr>
                <w:sz w:val="20"/>
              </w:rPr>
              <w:t>infrastruktūrų veiklą</w:t>
            </w:r>
            <w:r w:rsidR="76B5441C" w:rsidRPr="01C07FEA">
              <w:rPr>
                <w:sz w:val="20"/>
              </w:rPr>
              <w:t xml:space="preserve">, tarptautinių institucinių darinių panaudojimas </w:t>
            </w:r>
            <w:proofErr w:type="spellStart"/>
            <w:r w:rsidR="76B5441C" w:rsidRPr="01C07FEA">
              <w:rPr>
                <w:sz w:val="20"/>
              </w:rPr>
              <w:t>tinklaveikai</w:t>
            </w:r>
            <w:proofErr w:type="spellEnd"/>
            <w:r w:rsidRPr="01C07FEA">
              <w:rPr>
                <w:sz w:val="20"/>
              </w:rPr>
              <w:t xml:space="preserve"> lieka vangus. MSI neišnaudoja galimybių aktyviu dalyvavimu plėsti partnerysčių tinklą, su </w:t>
            </w:r>
            <w:r w:rsidR="76B5441C" w:rsidRPr="01C07FEA">
              <w:rPr>
                <w:sz w:val="20"/>
              </w:rPr>
              <w:t xml:space="preserve">globalioje mokslo rinkoje savo vardą įtvirtinusiais </w:t>
            </w:r>
            <w:r w:rsidRPr="01C07FEA">
              <w:rPr>
                <w:sz w:val="20"/>
              </w:rPr>
              <w:t>tarptautiniais partneriais sukaupusiais didžiausią patirtį konkrečioje mokslo srityje plėtoti MTEP idėjas, rengti bendras paraiškas finansavimui gauti.</w:t>
            </w:r>
            <w:r w:rsidR="008571B8" w:rsidRPr="01C07FEA">
              <w:rPr>
                <w:rStyle w:val="Puslapioinaosnuoroda"/>
                <w:sz w:val="20"/>
              </w:rPr>
              <w:footnoteReference w:id="49"/>
            </w:r>
            <w:r w:rsidRPr="01C07FEA">
              <w:rPr>
                <w:sz w:val="20"/>
              </w:rPr>
              <w:t xml:space="preserve"> </w:t>
            </w:r>
            <w:r w:rsidR="226BA48E" w:rsidRPr="01C07FEA">
              <w:rPr>
                <w:sz w:val="20"/>
              </w:rPr>
              <w:t>T</w:t>
            </w:r>
            <w:r w:rsidR="2986F9B5" w:rsidRPr="01C07FEA">
              <w:rPr>
                <w:sz w:val="20"/>
              </w:rPr>
              <w:t xml:space="preserve">arptautinės </w:t>
            </w:r>
            <w:proofErr w:type="spellStart"/>
            <w:r w:rsidR="2986F9B5" w:rsidRPr="01C07FEA">
              <w:rPr>
                <w:sz w:val="20"/>
              </w:rPr>
              <w:t>t</w:t>
            </w:r>
            <w:r w:rsidR="226BA48E" w:rsidRPr="01C07FEA">
              <w:rPr>
                <w:sz w:val="20"/>
              </w:rPr>
              <w:t>inklaveikos</w:t>
            </w:r>
            <w:proofErr w:type="spellEnd"/>
            <w:r w:rsidR="226BA48E" w:rsidRPr="01C07FEA">
              <w:rPr>
                <w:sz w:val="20"/>
              </w:rPr>
              <w:t xml:space="preserve"> </w:t>
            </w:r>
            <w:r w:rsidR="41426F7A" w:rsidRPr="01C07FEA">
              <w:rPr>
                <w:sz w:val="20"/>
              </w:rPr>
              <w:t xml:space="preserve">procesus apsunkina ir tai, kad </w:t>
            </w:r>
            <w:r w:rsidR="03608BC5" w:rsidRPr="01C07FEA">
              <w:rPr>
                <w:sz w:val="20"/>
              </w:rPr>
              <w:t xml:space="preserve">stinga natūraliai susiformavusių asmeninių ryšių su užsienio tyrėjais – </w:t>
            </w:r>
            <w:r w:rsidR="41426F7A" w:rsidRPr="01C07FEA">
              <w:rPr>
                <w:sz w:val="20"/>
              </w:rPr>
              <w:t>tik trečdalis tyrėjų po doktorantūros studijų yra stažavęsi užsienyje</w:t>
            </w:r>
            <w:r w:rsidR="2986F9B5" w:rsidRPr="01C07FEA">
              <w:rPr>
                <w:sz w:val="20"/>
              </w:rPr>
              <w:t>, kai ES tokių tyrėjų yra bent pusė</w:t>
            </w:r>
            <w:r w:rsidR="41426F7A" w:rsidRPr="01C07FEA">
              <w:rPr>
                <w:sz w:val="20"/>
              </w:rPr>
              <w:t>.</w:t>
            </w:r>
            <w:r w:rsidR="2986F9B5" w:rsidRPr="01C07FEA">
              <w:rPr>
                <w:sz w:val="20"/>
              </w:rPr>
              <w:t xml:space="preserve"> Apskritai, vos 1 proc. Lietuvos pilietybę turinčių tyrėjų dirba užsienyje, kai ES vidurkis – 13,3</w:t>
            </w:r>
            <w:r w:rsidR="76B5441C" w:rsidRPr="01C07FEA">
              <w:rPr>
                <w:sz w:val="20"/>
              </w:rPr>
              <w:t xml:space="preserve"> proc..</w:t>
            </w:r>
            <w:r w:rsidR="00CF2B53" w:rsidRPr="01C07FEA">
              <w:rPr>
                <w:rStyle w:val="Puslapioinaosnuoroda"/>
                <w:sz w:val="20"/>
              </w:rPr>
              <w:footnoteReference w:id="50"/>
            </w:r>
          </w:p>
          <w:p w14:paraId="1379181F" w14:textId="77777777" w:rsidR="00AC45F1" w:rsidRPr="00745F42" w:rsidRDefault="00AC45F1" w:rsidP="00AC45F1">
            <w:pPr>
              <w:jc w:val="both"/>
              <w:rPr>
                <w:sz w:val="20"/>
              </w:rPr>
            </w:pPr>
          </w:p>
          <w:p w14:paraId="279F09FF" w14:textId="4F8E252A" w:rsidR="00644993" w:rsidRPr="00A32705" w:rsidRDefault="01C07FEA" w:rsidP="01C07FEA">
            <w:pPr>
              <w:pStyle w:val="Sraopastraipa"/>
              <w:numPr>
                <w:ilvl w:val="1"/>
                <w:numId w:val="37"/>
              </w:numPr>
              <w:ind w:left="763"/>
              <w:jc w:val="both"/>
              <w:rPr>
                <w:sz w:val="20"/>
              </w:rPr>
            </w:pPr>
            <w:r w:rsidRPr="01C07FEA">
              <w:rPr>
                <w:sz w:val="20"/>
              </w:rPr>
              <w:t>Tam tikrose mokslo srityse per didelė orientacija į kiekybinius veiklos rezultatus</w:t>
            </w:r>
          </w:p>
          <w:p w14:paraId="1B4F3FF9" w14:textId="77777777" w:rsidR="00644993" w:rsidRPr="00745F42" w:rsidRDefault="132FF862" w:rsidP="01C07FEA">
            <w:pPr>
              <w:jc w:val="both"/>
              <w:rPr>
                <w:sz w:val="20"/>
              </w:rPr>
            </w:pPr>
            <w:r w:rsidRPr="01C07FEA">
              <w:rPr>
                <w:sz w:val="20"/>
              </w:rPr>
              <w:lastRenderedPageBreak/>
              <w:t xml:space="preserve">MSI vertinime </w:t>
            </w:r>
            <w:r w:rsidR="08F96A19" w:rsidRPr="01C07FEA">
              <w:rPr>
                <w:sz w:val="20"/>
              </w:rPr>
              <w:t xml:space="preserve">išlieka spragų, kurios skatina siekti </w:t>
            </w:r>
            <w:r w:rsidR="438D81A8" w:rsidRPr="01C07FEA">
              <w:rPr>
                <w:sz w:val="20"/>
              </w:rPr>
              <w:t xml:space="preserve">ir apdovanoja </w:t>
            </w:r>
            <w:r w:rsidR="08F96A19" w:rsidRPr="01C07FEA">
              <w:rPr>
                <w:sz w:val="20"/>
              </w:rPr>
              <w:t xml:space="preserve">ne </w:t>
            </w:r>
            <w:r w:rsidR="438D81A8" w:rsidRPr="01C07FEA">
              <w:rPr>
                <w:sz w:val="20"/>
              </w:rPr>
              <w:t xml:space="preserve">už </w:t>
            </w:r>
            <w:r w:rsidR="08F96A19" w:rsidRPr="01C07FEA">
              <w:rPr>
                <w:sz w:val="20"/>
              </w:rPr>
              <w:t>MTEP rezultatų kokyb</w:t>
            </w:r>
            <w:r w:rsidR="438D81A8" w:rsidRPr="01C07FEA">
              <w:rPr>
                <w:sz w:val="20"/>
              </w:rPr>
              <w:t>ę</w:t>
            </w:r>
            <w:r w:rsidR="08F96A19" w:rsidRPr="01C07FEA">
              <w:rPr>
                <w:sz w:val="20"/>
              </w:rPr>
              <w:t>, o jų kiekyb</w:t>
            </w:r>
            <w:r w:rsidR="438D81A8" w:rsidRPr="01C07FEA">
              <w:rPr>
                <w:sz w:val="20"/>
              </w:rPr>
              <w:t>ę</w:t>
            </w:r>
            <w:r w:rsidR="08F96A19" w:rsidRPr="01C07FEA">
              <w:rPr>
                <w:sz w:val="20"/>
              </w:rPr>
              <w:t xml:space="preserve">. Stinga specializuotos, labiau mokslo sričių specifiką ir tendencijas </w:t>
            </w:r>
            <w:r w:rsidR="0B602474" w:rsidRPr="01C07FEA">
              <w:rPr>
                <w:sz w:val="20"/>
              </w:rPr>
              <w:t xml:space="preserve">(pavyzdžiui, socialinių mokslų srityje straipsnis prestižinės leidyklos leistoje monografijoje vertinamas labiau už plačiai cituojamą straipsnį moksliniame žurnale) </w:t>
            </w:r>
            <w:r w:rsidR="08F96A19" w:rsidRPr="01C07FEA">
              <w:rPr>
                <w:sz w:val="20"/>
              </w:rPr>
              <w:t>atspindin</w:t>
            </w:r>
            <w:r w:rsidR="0B602474" w:rsidRPr="01C07FEA">
              <w:rPr>
                <w:sz w:val="20"/>
              </w:rPr>
              <w:t>č</w:t>
            </w:r>
            <w:r w:rsidR="08F96A19" w:rsidRPr="01C07FEA">
              <w:rPr>
                <w:sz w:val="20"/>
              </w:rPr>
              <w:t>io vertinimo sistemos.</w:t>
            </w:r>
            <w:r w:rsidR="00F30F13" w:rsidRPr="01C07FEA">
              <w:rPr>
                <w:rStyle w:val="Puslapioinaosnuoroda"/>
                <w:sz w:val="20"/>
              </w:rPr>
              <w:footnoteReference w:id="51"/>
            </w:r>
          </w:p>
          <w:p w14:paraId="4A56001C" w14:textId="77777777" w:rsidR="00644993" w:rsidRPr="00745F42" w:rsidRDefault="00644993" w:rsidP="008921CE">
            <w:pPr>
              <w:jc w:val="both"/>
              <w:rPr>
                <w:b/>
                <w:sz w:val="20"/>
              </w:rPr>
            </w:pPr>
          </w:p>
        </w:tc>
      </w:tr>
      <w:tr w:rsidR="008921CE" w:rsidRPr="00745F42" w14:paraId="456BBA66" w14:textId="77777777" w:rsidTr="01C07FEA">
        <w:trPr>
          <w:trHeight w:val="70"/>
        </w:trPr>
        <w:tc>
          <w:tcPr>
            <w:tcW w:w="13887" w:type="dxa"/>
            <w:shd w:val="clear" w:color="auto" w:fill="FFFFFF" w:themeFill="background1"/>
          </w:tcPr>
          <w:p w14:paraId="52814CCA" w14:textId="77777777" w:rsidR="008921CE" w:rsidRPr="00745F42" w:rsidRDefault="008921CE" w:rsidP="008921CE">
            <w:pPr>
              <w:jc w:val="both"/>
              <w:rPr>
                <w:b/>
                <w:sz w:val="20"/>
              </w:rPr>
            </w:pPr>
          </w:p>
        </w:tc>
      </w:tr>
      <w:tr w:rsidR="008921CE" w:rsidRPr="00745F42" w14:paraId="15EA6E09" w14:textId="77777777" w:rsidTr="01C07FEA">
        <w:trPr>
          <w:trHeight w:val="70"/>
        </w:trPr>
        <w:tc>
          <w:tcPr>
            <w:tcW w:w="13887" w:type="dxa"/>
            <w:shd w:val="clear" w:color="auto" w:fill="FFFFFF" w:themeFill="background1"/>
          </w:tcPr>
          <w:p w14:paraId="50DAACCD" w14:textId="77777777" w:rsidR="008921CE" w:rsidRPr="00745F42" w:rsidRDefault="01C07FEA" w:rsidP="01C07FEA">
            <w:pPr>
              <w:jc w:val="both"/>
              <w:rPr>
                <w:b/>
                <w:bCs/>
                <w:sz w:val="20"/>
              </w:rPr>
            </w:pPr>
            <w:r w:rsidRPr="01C07FEA">
              <w:rPr>
                <w:b/>
                <w:bCs/>
                <w:sz w:val="20"/>
              </w:rPr>
              <w:t xml:space="preserve">3 problema: </w:t>
            </w:r>
          </w:p>
          <w:p w14:paraId="702414D4" w14:textId="77777777" w:rsidR="008921CE" w:rsidRPr="00745F42" w:rsidRDefault="01C07FEA" w:rsidP="01C07FEA">
            <w:pPr>
              <w:jc w:val="both"/>
              <w:rPr>
                <w:b/>
                <w:bCs/>
                <w:sz w:val="20"/>
              </w:rPr>
            </w:pPr>
            <w:r w:rsidRPr="01C07FEA">
              <w:rPr>
                <w:b/>
                <w:bCs/>
                <w:sz w:val="20"/>
              </w:rPr>
              <w:t>Neišnaudotas dalyvavimo tarptautinėse MTEP programose potencialas</w:t>
            </w:r>
          </w:p>
          <w:p w14:paraId="333FF97C" w14:textId="77777777" w:rsidR="00644993" w:rsidRPr="00745F42" w:rsidRDefault="00644993" w:rsidP="008921CE">
            <w:pPr>
              <w:jc w:val="both"/>
              <w:rPr>
                <w:b/>
                <w:sz w:val="20"/>
              </w:rPr>
            </w:pPr>
          </w:p>
          <w:p w14:paraId="3852D640" w14:textId="51A3D53B" w:rsidR="00BC0673" w:rsidRDefault="4EF52ED5" w:rsidP="01C07FEA">
            <w:pPr>
              <w:jc w:val="both"/>
              <w:rPr>
                <w:sz w:val="20"/>
              </w:rPr>
            </w:pPr>
            <w:r w:rsidRPr="01C07FEA">
              <w:rPr>
                <w:sz w:val="20"/>
              </w:rPr>
              <w:t xml:space="preserve">Menkai pasinaudojama bendromis Europos mokslinių tyrimų erdvės teikiamomis galimybėmis </w:t>
            </w:r>
            <w:r w:rsidR="5E03E75C" w:rsidRPr="01C07FEA">
              <w:rPr>
                <w:sz w:val="20"/>
              </w:rPr>
              <w:t>–</w:t>
            </w:r>
            <w:r w:rsidRPr="01C07FEA">
              <w:rPr>
                <w:sz w:val="20"/>
              </w:rPr>
              <w:t xml:space="preserve"> </w:t>
            </w:r>
            <w:r w:rsidR="0542E090" w:rsidRPr="01C07FEA">
              <w:rPr>
                <w:sz w:val="20"/>
              </w:rPr>
              <w:t>Lietuvos tyrėjų dalyvavimo apimtys tarptautinėse MTEP programose yra ribotos</w:t>
            </w:r>
            <w:r w:rsidR="17F05B40" w:rsidRPr="01C07FEA">
              <w:rPr>
                <w:sz w:val="20"/>
              </w:rPr>
              <w:t>, Lietuvos MSI pilnai neišnaudoja tarptautinių programų kaip papildomo finansavimo šaltinio MTEP veiklai plėtoti</w:t>
            </w:r>
            <w:r w:rsidR="0542E090" w:rsidRPr="01C07FEA">
              <w:rPr>
                <w:sz w:val="20"/>
              </w:rPr>
              <w:t>.</w:t>
            </w:r>
            <w:r w:rsidR="00C4389B" w:rsidRPr="01C07FEA">
              <w:rPr>
                <w:rStyle w:val="Puslapioinaosnuoroda"/>
                <w:sz w:val="20"/>
              </w:rPr>
              <w:footnoteReference w:id="52"/>
            </w:r>
            <w:r w:rsidR="0542E090" w:rsidRPr="01C07FEA">
              <w:rPr>
                <w:sz w:val="20"/>
              </w:rPr>
              <w:t xml:space="preserve"> Nors lygi</w:t>
            </w:r>
            <w:r w:rsidR="6D8CC989" w:rsidRPr="01C07FEA">
              <w:rPr>
                <w:sz w:val="20"/>
              </w:rPr>
              <w:t>n</w:t>
            </w:r>
            <w:r w:rsidR="0542E090" w:rsidRPr="01C07FEA">
              <w:rPr>
                <w:sz w:val="20"/>
              </w:rPr>
              <w:t>ant</w:t>
            </w:r>
            <w:r w:rsidR="3AF77AB4" w:rsidRPr="01C07FEA">
              <w:rPr>
                <w:sz w:val="20"/>
              </w:rPr>
              <w:t xml:space="preserve"> Europos Komisijos skirtas dotacijas </w:t>
            </w:r>
            <w:r w:rsidR="6D8CC989" w:rsidRPr="01C07FEA">
              <w:rPr>
                <w:sz w:val="20"/>
              </w:rPr>
              <w:t>Bendrosios programos</w:t>
            </w:r>
            <w:r w:rsidR="0542E090" w:rsidRPr="01C07FEA">
              <w:rPr>
                <w:sz w:val="20"/>
              </w:rPr>
              <w:t xml:space="preserve"> 7 2007-2013 m. ir </w:t>
            </w:r>
            <w:r w:rsidR="3AF77AB4" w:rsidRPr="01C07FEA">
              <w:rPr>
                <w:sz w:val="20"/>
              </w:rPr>
              <w:t>Horizonto 2020</w:t>
            </w:r>
            <w:r w:rsidR="6D8CC989" w:rsidRPr="01C07FEA">
              <w:rPr>
                <w:sz w:val="20"/>
              </w:rPr>
              <w:t xml:space="preserve"> Lietuvos tyrėjams skirtas lėšas ir yra matyti 40,7 proc. augimas, tačiau Horizonto 2020 programoje Lietuva pagal šį rodiklį tebeužima priešpaskutinę vietą ir su </w:t>
            </w:r>
            <w:r w:rsidR="3AF77AB4" w:rsidRPr="01C07FEA">
              <w:rPr>
                <w:sz w:val="20"/>
              </w:rPr>
              <w:t xml:space="preserve">73 mln. </w:t>
            </w:r>
            <w:proofErr w:type="spellStart"/>
            <w:r w:rsidR="3AF77AB4" w:rsidRPr="01C07FEA">
              <w:rPr>
                <w:sz w:val="20"/>
              </w:rPr>
              <w:t>Eur</w:t>
            </w:r>
            <w:proofErr w:type="spellEnd"/>
            <w:r w:rsidR="3AF77AB4" w:rsidRPr="01C07FEA">
              <w:rPr>
                <w:sz w:val="20"/>
              </w:rPr>
              <w:t xml:space="preserve"> tarp visų ES27 valstybių lenkia tik Maltą. Palyginimui, Estija 2014-2019 m. laikotarpiu iš Horizonto 2020 programos gavo 201 mln. </w:t>
            </w:r>
            <w:proofErr w:type="spellStart"/>
            <w:r w:rsidR="3AF77AB4" w:rsidRPr="01C07FEA">
              <w:rPr>
                <w:sz w:val="20"/>
              </w:rPr>
              <w:t>Eur</w:t>
            </w:r>
            <w:proofErr w:type="spellEnd"/>
            <w:r w:rsidR="3AF77AB4" w:rsidRPr="01C07FEA">
              <w:rPr>
                <w:sz w:val="20"/>
              </w:rPr>
              <w:t xml:space="preserve"> arba trigubai daugiau nei Lietuva, pagal Horizonto 2020 projektų koordinatoriams skirtas lėšas Estija Lietuvą lenkia net penkiskart (atitinkamai 106 mln. </w:t>
            </w:r>
            <w:proofErr w:type="spellStart"/>
            <w:r w:rsidR="3AF77AB4" w:rsidRPr="01C07FEA">
              <w:rPr>
                <w:sz w:val="20"/>
              </w:rPr>
              <w:t>Eur</w:t>
            </w:r>
            <w:proofErr w:type="spellEnd"/>
            <w:r w:rsidR="3AF77AB4" w:rsidRPr="01C07FEA">
              <w:rPr>
                <w:sz w:val="20"/>
              </w:rPr>
              <w:t xml:space="preserve"> ir 20 mln. </w:t>
            </w:r>
            <w:proofErr w:type="spellStart"/>
            <w:r w:rsidR="3AF77AB4" w:rsidRPr="01C07FEA">
              <w:rPr>
                <w:sz w:val="20"/>
              </w:rPr>
              <w:t>Eur</w:t>
            </w:r>
            <w:proofErr w:type="spellEnd"/>
            <w:r w:rsidR="3AF77AB4" w:rsidRPr="01C07FEA">
              <w:rPr>
                <w:sz w:val="20"/>
              </w:rPr>
              <w:t>), o ir unikalių dalyvių skaičiumi dvigubai mažesnė Estija gali pasigirti didesniu (Estija – 676 dalyviai, Lietuva – 488).</w:t>
            </w:r>
            <w:r w:rsidR="000F1160" w:rsidRPr="01C07FEA">
              <w:rPr>
                <w:rStyle w:val="Puslapioinaosnuoroda"/>
                <w:sz w:val="20"/>
              </w:rPr>
              <w:footnoteReference w:id="53"/>
            </w:r>
            <w:r w:rsidR="0542E090" w:rsidRPr="01C07FEA">
              <w:rPr>
                <w:sz w:val="20"/>
              </w:rPr>
              <w:t xml:space="preserve"> Apskritai, vienas Lietuvos investuotas euras į Horizonto 2020 programą grįžta </w:t>
            </w:r>
            <w:r w:rsidR="70CB166D" w:rsidRPr="01C07FEA">
              <w:rPr>
                <w:sz w:val="20"/>
              </w:rPr>
              <w:t xml:space="preserve">tik </w:t>
            </w:r>
            <w:r w:rsidR="0542E090" w:rsidRPr="01C07FEA">
              <w:rPr>
                <w:sz w:val="20"/>
              </w:rPr>
              <w:t xml:space="preserve">kaip 0,5 </w:t>
            </w:r>
            <w:proofErr w:type="spellStart"/>
            <w:r w:rsidR="0542E090" w:rsidRPr="01C07FEA">
              <w:rPr>
                <w:sz w:val="20"/>
              </w:rPr>
              <w:t>Eur</w:t>
            </w:r>
            <w:proofErr w:type="spellEnd"/>
            <w:r w:rsidR="0542E090" w:rsidRPr="01C07FEA">
              <w:rPr>
                <w:sz w:val="20"/>
              </w:rPr>
              <w:t xml:space="preserve">, kai Estijos vieno euro grąža siekia net 2,7 </w:t>
            </w:r>
            <w:proofErr w:type="spellStart"/>
            <w:r w:rsidR="0542E090" w:rsidRPr="01C07FEA">
              <w:rPr>
                <w:sz w:val="20"/>
              </w:rPr>
              <w:t>Eur</w:t>
            </w:r>
            <w:proofErr w:type="spellEnd"/>
            <w:r w:rsidR="0542E090" w:rsidRPr="01C07FEA">
              <w:rPr>
                <w:sz w:val="20"/>
              </w:rPr>
              <w:t>.</w:t>
            </w:r>
            <w:r w:rsidR="00CF6D4E" w:rsidRPr="01C07FEA">
              <w:rPr>
                <w:rStyle w:val="Puslapioinaosnuoroda"/>
                <w:sz w:val="20"/>
              </w:rPr>
              <w:footnoteReference w:id="54"/>
            </w:r>
            <w:r w:rsidR="6D8CC989" w:rsidRPr="01C07FEA">
              <w:rPr>
                <w:sz w:val="20"/>
              </w:rPr>
              <w:t xml:space="preserve"> </w:t>
            </w:r>
            <w:r w:rsidR="45A9755A" w:rsidRPr="01C07FEA">
              <w:rPr>
                <w:sz w:val="20"/>
              </w:rPr>
              <w:t xml:space="preserve">Lietuvos pasiekimai dalyvaujant Dvynių projektuose (angl. </w:t>
            </w:r>
            <w:proofErr w:type="spellStart"/>
            <w:r w:rsidR="45A9755A" w:rsidRPr="01C07FEA">
              <w:rPr>
                <w:i/>
                <w:iCs/>
                <w:sz w:val="20"/>
              </w:rPr>
              <w:t>Twinning</w:t>
            </w:r>
            <w:proofErr w:type="spellEnd"/>
            <w:r w:rsidR="45A9755A" w:rsidRPr="01C07FEA">
              <w:rPr>
                <w:sz w:val="20"/>
              </w:rPr>
              <w:t xml:space="preserve">) ir Komandų kūrimo (angl. </w:t>
            </w:r>
            <w:proofErr w:type="spellStart"/>
            <w:r w:rsidR="45A9755A" w:rsidRPr="01C07FEA">
              <w:rPr>
                <w:i/>
                <w:iCs/>
                <w:sz w:val="20"/>
              </w:rPr>
              <w:t>Teaming</w:t>
            </w:r>
            <w:proofErr w:type="spellEnd"/>
            <w:r w:rsidR="45A9755A" w:rsidRPr="01C07FEA">
              <w:rPr>
                <w:sz w:val="20"/>
              </w:rPr>
              <w:t xml:space="preserve">) veiklose, kurios </w:t>
            </w:r>
            <w:r w:rsidR="70CB166D" w:rsidRPr="01C07FEA">
              <w:rPr>
                <w:sz w:val="20"/>
              </w:rPr>
              <w:t xml:space="preserve">būtent ir </w:t>
            </w:r>
            <w:r w:rsidR="45A9755A" w:rsidRPr="01C07FEA">
              <w:rPr>
                <w:sz w:val="20"/>
              </w:rPr>
              <w:t xml:space="preserve">yra skirtos stiprinti naujųjų ES narių MSI gebėjimus ir tarptautinį bendradarbiavimą, taip pat nežymūs (1,2 mln. </w:t>
            </w:r>
            <w:proofErr w:type="spellStart"/>
            <w:r w:rsidR="45A9755A" w:rsidRPr="01C07FEA">
              <w:rPr>
                <w:sz w:val="20"/>
              </w:rPr>
              <w:t>Eur</w:t>
            </w:r>
            <w:proofErr w:type="spellEnd"/>
            <w:r w:rsidR="45A9755A" w:rsidRPr="01C07FEA">
              <w:rPr>
                <w:sz w:val="20"/>
              </w:rPr>
              <w:t>).</w:t>
            </w:r>
            <w:r w:rsidR="00BC0673" w:rsidRPr="01C07FEA">
              <w:rPr>
                <w:rStyle w:val="Puslapioinaosnuoroda"/>
                <w:sz w:val="20"/>
              </w:rPr>
              <w:footnoteReference w:id="55"/>
            </w:r>
          </w:p>
          <w:p w14:paraId="5075C901" w14:textId="77777777" w:rsidR="003C415C" w:rsidRDefault="003C415C" w:rsidP="008921CE">
            <w:pPr>
              <w:jc w:val="both"/>
              <w:rPr>
                <w:sz w:val="20"/>
              </w:rPr>
            </w:pPr>
          </w:p>
          <w:p w14:paraId="51AD0221" w14:textId="3794F035" w:rsidR="00890F89" w:rsidRDefault="01C07FEA" w:rsidP="01C07FEA">
            <w:pPr>
              <w:jc w:val="both"/>
              <w:rPr>
                <w:sz w:val="20"/>
              </w:rPr>
            </w:pPr>
            <w:r w:rsidRPr="01C07FEA">
              <w:rPr>
                <w:sz w:val="20"/>
              </w:rPr>
              <w:t>Siekiamas pokytis: augantis kompetentingų dalyvių iš Lietuvos MSI skaičius tarptautinėse MTEP programose lems tarptautinių MTEP programų kaip reikšmingo papildomo finansavimo šaltinio Lietuvos MSI MTEP veiklai vystyti rolės stiprėjimą.</w:t>
            </w:r>
          </w:p>
          <w:p w14:paraId="753792DD" w14:textId="77777777" w:rsidR="00253F1F" w:rsidRPr="00745F42" w:rsidRDefault="00253F1F" w:rsidP="00890F89">
            <w:pPr>
              <w:jc w:val="both"/>
              <w:rPr>
                <w:sz w:val="20"/>
              </w:rPr>
            </w:pPr>
          </w:p>
          <w:p w14:paraId="4D421D4D" w14:textId="53415239" w:rsidR="00890F89"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780D28EF" w14:textId="77777777" w:rsidR="00552F6E" w:rsidRPr="00745F42" w:rsidRDefault="00552F6E" w:rsidP="00890F89">
            <w:pPr>
              <w:jc w:val="both"/>
              <w:rPr>
                <w:sz w:val="20"/>
              </w:rPr>
            </w:pPr>
          </w:p>
          <w:p w14:paraId="7C6AFC18" w14:textId="77777777" w:rsidR="00890F89"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1266792E" w14:textId="0F205312" w:rsidR="008921CE" w:rsidRDefault="00D95B5B" w:rsidP="00253F1F">
            <w:pPr>
              <w:jc w:val="both"/>
              <w:rPr>
                <w:sz w:val="20"/>
              </w:rPr>
            </w:pPr>
            <w:r w:rsidRPr="001A6F34">
              <w:rPr>
                <w:sz w:val="20"/>
              </w:rPr>
              <w:t xml:space="preserve">Nagrinėjama problema aktuali Lietuvos Respublikos teritorijos bendrojo plano (toliau – LRBP) sprendiniui „202.2.4. </w:t>
            </w:r>
            <w:proofErr w:type="spellStart"/>
            <w:r w:rsidRPr="001A6F34">
              <w:rPr>
                <w:sz w:val="20"/>
              </w:rPr>
              <w:t>Tarptautiškumo</w:t>
            </w:r>
            <w:proofErr w:type="spellEnd"/>
            <w:r w:rsidRPr="001A6F34">
              <w:rPr>
                <w:sz w:val="20"/>
              </w:rPr>
              <w:t xml:space="preserve"> stiprinimui: integracijai į tarptautines infrastruktūras, dalyvavimui tarptautiniuose MTEPI projektuose“.</w:t>
            </w:r>
            <w:r w:rsidR="001A6F34" w:rsidRPr="001A6F34">
              <w:rPr>
                <w:rStyle w:val="Puslapioinaosnuoroda"/>
                <w:sz w:val="20"/>
              </w:rPr>
              <w:footnoteReference w:id="56"/>
            </w:r>
          </w:p>
          <w:p w14:paraId="2F561EDA" w14:textId="676E6D5D" w:rsidR="00D95B5B" w:rsidRPr="00745F42" w:rsidRDefault="00D95B5B" w:rsidP="00253F1F">
            <w:pPr>
              <w:jc w:val="both"/>
              <w:rPr>
                <w:b/>
                <w:sz w:val="20"/>
              </w:rPr>
            </w:pPr>
          </w:p>
        </w:tc>
      </w:tr>
      <w:tr w:rsidR="008921CE" w:rsidRPr="00745F42" w14:paraId="7E29C665" w14:textId="77777777" w:rsidTr="01C07FEA">
        <w:trPr>
          <w:trHeight w:val="70"/>
        </w:trPr>
        <w:tc>
          <w:tcPr>
            <w:tcW w:w="13887" w:type="dxa"/>
            <w:shd w:val="clear" w:color="auto" w:fill="FFFFFF" w:themeFill="background1"/>
          </w:tcPr>
          <w:p w14:paraId="5D8C04C4" w14:textId="7586CD91" w:rsidR="008921CE" w:rsidRPr="00745F42" w:rsidRDefault="008921CE" w:rsidP="01C07FEA">
            <w:pPr>
              <w:jc w:val="both"/>
              <w:rPr>
                <w:b/>
                <w:bCs/>
                <w:sz w:val="20"/>
              </w:rPr>
            </w:pPr>
            <w:r w:rsidRPr="01C07FEA">
              <w:rPr>
                <w:b/>
                <w:bCs/>
                <w:sz w:val="20"/>
              </w:rPr>
              <w:t>Problemos priežastys</w:t>
            </w:r>
            <w:r w:rsidR="00B41A22" w:rsidRPr="01C07FEA">
              <w:rPr>
                <w:rStyle w:val="Puslapioinaosnuoroda"/>
                <w:b/>
                <w:bCs/>
                <w:sz w:val="20"/>
              </w:rPr>
              <w:footnoteReference w:id="57"/>
            </w:r>
            <w:r w:rsidRPr="01C07FEA">
              <w:rPr>
                <w:b/>
                <w:bCs/>
                <w:sz w:val="20"/>
              </w:rPr>
              <w:t>:</w:t>
            </w:r>
          </w:p>
          <w:p w14:paraId="5F9FC791" w14:textId="77777777" w:rsidR="00034B8B" w:rsidRPr="00745F42" w:rsidRDefault="00034B8B" w:rsidP="001D5019">
            <w:pPr>
              <w:jc w:val="both"/>
              <w:rPr>
                <w:b/>
                <w:sz w:val="20"/>
              </w:rPr>
            </w:pPr>
          </w:p>
          <w:p w14:paraId="0FB7E2E4" w14:textId="6539DF3A" w:rsidR="000D77E0" w:rsidRPr="009D0E43" w:rsidRDefault="01C07FEA" w:rsidP="01C07FEA">
            <w:pPr>
              <w:pStyle w:val="Sraopastraipa"/>
              <w:numPr>
                <w:ilvl w:val="1"/>
                <w:numId w:val="38"/>
              </w:numPr>
              <w:ind w:left="763"/>
              <w:jc w:val="both"/>
              <w:rPr>
                <w:sz w:val="20"/>
              </w:rPr>
            </w:pPr>
            <w:r w:rsidRPr="01C07FEA">
              <w:rPr>
                <w:sz w:val="20"/>
              </w:rPr>
              <w:t>Nekonkurencingas tyrėjų atlyginimas ir paskatų dalyvauti tarptautinėse programose trūkumas</w:t>
            </w:r>
          </w:p>
          <w:p w14:paraId="1C87F6CF" w14:textId="1E59E0D8" w:rsidR="000C6AA6" w:rsidRPr="00745F42" w:rsidRDefault="25AAD7EB" w:rsidP="01C07FEA">
            <w:pPr>
              <w:jc w:val="both"/>
              <w:rPr>
                <w:sz w:val="20"/>
              </w:rPr>
            </w:pPr>
            <w:r w:rsidRPr="01C07FEA">
              <w:rPr>
                <w:sz w:val="20"/>
              </w:rPr>
              <w:t xml:space="preserve">Žemas tyrėjų darbo užmokestis ne tik nepatrauklus darbui MSI, bet taip pat daro neigiamą įtaką dalyvavimui tarptautinėse MTEP programose (pvz. Horizontas 2020), nes Lietuvos </w:t>
            </w:r>
            <w:r w:rsidR="7FDA3AC1" w:rsidRPr="01C07FEA">
              <w:rPr>
                <w:sz w:val="20"/>
              </w:rPr>
              <w:t>MSI</w:t>
            </w:r>
            <w:r w:rsidRPr="01C07FEA">
              <w:rPr>
                <w:sz w:val="20"/>
              </w:rPr>
              <w:t xml:space="preserve"> gaunama dotacija tiesiogiai priklauso ir nuo šalies tyrėjų atlyginimo vidurkio.</w:t>
            </w:r>
            <w:r w:rsidR="000C6AA6" w:rsidRPr="01C07FEA">
              <w:rPr>
                <w:rStyle w:val="Puslapioinaosnuoroda"/>
                <w:sz w:val="20"/>
              </w:rPr>
              <w:footnoteReference w:id="58"/>
            </w:r>
            <w:r w:rsidRPr="01C07FEA">
              <w:rPr>
                <w:sz w:val="20"/>
              </w:rPr>
              <w:t xml:space="preserve"> Lietuva pagal MSI tyrėjų darbo užmokestį </w:t>
            </w:r>
            <w:proofErr w:type="spellStart"/>
            <w:r w:rsidRPr="01C07FEA">
              <w:rPr>
                <w:sz w:val="20"/>
              </w:rPr>
              <w:t>Horizon</w:t>
            </w:r>
            <w:proofErr w:type="spellEnd"/>
            <w:r w:rsidRPr="01C07FEA">
              <w:rPr>
                <w:sz w:val="20"/>
              </w:rPr>
              <w:t xml:space="preserve"> 2020 projektuose lenkia tik tris kitas ES valstybes nares.</w:t>
            </w:r>
            <w:r w:rsidR="003D31D4" w:rsidRPr="01C07FEA">
              <w:rPr>
                <w:rStyle w:val="Puslapioinaosnuoroda"/>
                <w:sz w:val="20"/>
              </w:rPr>
              <w:footnoteReference w:id="59"/>
            </w:r>
            <w:r w:rsidRPr="01C07FEA">
              <w:rPr>
                <w:sz w:val="20"/>
              </w:rPr>
              <w:t xml:space="preserve"> Tai reiškia, kad </w:t>
            </w:r>
            <w:r w:rsidR="308F8ACA" w:rsidRPr="01C07FEA">
              <w:rPr>
                <w:sz w:val="20"/>
              </w:rPr>
              <w:t>Lietuvos tyrėjų pajamos už tą patį darbą yra net kelis kartus mažesnės nei jų partnerių iš Šiaurės ar Vakarų Europos. Atitinkamai, Lietuvos MSI  pajamos projektų biudžetuose yra gerokai mažesnės nei jų partnerių.</w:t>
            </w:r>
            <w:r w:rsidR="7FDA3AC1" w:rsidRPr="01C07FEA">
              <w:rPr>
                <w:sz w:val="20"/>
              </w:rPr>
              <w:t xml:space="preserve"> Nesant papildomos finansinės motyvacijos konkurencingos tarptautinio lygio Lietuvos tyrėjų komandos tėra menkai suinteresuotos dalyvauti tarptautinėse programose, nes tai kartu reiškia išaugusią papildomą administracinę naštą ir didesnę konkurenciją </w:t>
            </w:r>
            <w:r w:rsidR="74135D56" w:rsidRPr="01C07FEA">
              <w:rPr>
                <w:sz w:val="20"/>
              </w:rPr>
              <w:t xml:space="preserve">bei jų atveju prastesnius finansavimo gavimo sėkmės rodiklius </w:t>
            </w:r>
            <w:r w:rsidR="7FDA3AC1" w:rsidRPr="01C07FEA">
              <w:rPr>
                <w:sz w:val="20"/>
              </w:rPr>
              <w:t>nei nacionalinėje mokslo rinkoje.</w:t>
            </w:r>
            <w:r w:rsidR="000C6AA6" w:rsidRPr="01C07FEA">
              <w:rPr>
                <w:rStyle w:val="Puslapioinaosnuoroda"/>
                <w:sz w:val="20"/>
              </w:rPr>
              <w:footnoteReference w:id="60"/>
            </w:r>
          </w:p>
          <w:p w14:paraId="27141C99" w14:textId="77777777" w:rsidR="007461FE" w:rsidRPr="00745F42" w:rsidRDefault="007461FE" w:rsidP="001D5019">
            <w:pPr>
              <w:jc w:val="both"/>
              <w:rPr>
                <w:sz w:val="20"/>
              </w:rPr>
            </w:pPr>
          </w:p>
          <w:p w14:paraId="4999D24D" w14:textId="14A6FDFE" w:rsidR="001D5019" w:rsidRPr="009D0E43" w:rsidRDefault="01C07FEA" w:rsidP="01C07FEA">
            <w:pPr>
              <w:pStyle w:val="Sraopastraipa"/>
              <w:numPr>
                <w:ilvl w:val="1"/>
                <w:numId w:val="38"/>
              </w:numPr>
              <w:ind w:left="763"/>
              <w:jc w:val="both"/>
              <w:rPr>
                <w:sz w:val="20"/>
              </w:rPr>
            </w:pPr>
            <w:r w:rsidRPr="01C07FEA">
              <w:rPr>
                <w:sz w:val="20"/>
              </w:rPr>
              <w:t>Trūksta gebėjimų rengti tarptautines paraiškas</w:t>
            </w:r>
          </w:p>
          <w:p w14:paraId="5C424BD5" w14:textId="6DA4D391" w:rsidR="001D0438" w:rsidRDefault="56FAB246" w:rsidP="01C07FEA">
            <w:pPr>
              <w:jc w:val="both"/>
              <w:rPr>
                <w:sz w:val="20"/>
              </w:rPr>
            </w:pPr>
            <w:r w:rsidRPr="01C07FEA">
              <w:rPr>
                <w:sz w:val="20"/>
              </w:rPr>
              <w:t xml:space="preserve">Lietuvos tyrėjai </w:t>
            </w:r>
            <w:r w:rsidR="397931EE" w:rsidRPr="01C07FEA">
              <w:rPr>
                <w:sz w:val="20"/>
              </w:rPr>
              <w:t xml:space="preserve">teikia </w:t>
            </w:r>
            <w:r w:rsidRPr="01C07FEA">
              <w:rPr>
                <w:sz w:val="20"/>
              </w:rPr>
              <w:t xml:space="preserve">2,5 karto mažiau paraiškų Horizonto 2020 finansavimui gauti nei tyrėjai iš Latvijos ir net 6,5 karto mažiau už Estijos tyrėjus. </w:t>
            </w:r>
            <w:r w:rsidR="397931EE" w:rsidRPr="01C07FEA">
              <w:rPr>
                <w:sz w:val="20"/>
              </w:rPr>
              <w:t>Nors projektų koordinatorių procentas lyginant Bendrosios programos 7 ir Horizonto 2020 duomenis yra išaugęs daugiau nei dvigubai, visgi koordinuojami MTEP projektai lieka nedideli – vienam Lietuvos gyventojui tektų koordinuojamose projektuose už</w:t>
            </w:r>
            <w:r w:rsidR="7A745721" w:rsidRPr="01C07FEA">
              <w:rPr>
                <w:sz w:val="20"/>
              </w:rPr>
              <w:t>dirbti</w:t>
            </w:r>
            <w:r w:rsidR="397931EE" w:rsidRPr="01C07FEA">
              <w:rPr>
                <w:sz w:val="20"/>
              </w:rPr>
              <w:t xml:space="preserve"> 6,9 </w:t>
            </w:r>
            <w:proofErr w:type="spellStart"/>
            <w:r w:rsidR="397931EE" w:rsidRPr="01C07FEA">
              <w:rPr>
                <w:sz w:val="20"/>
              </w:rPr>
              <w:t>Eur</w:t>
            </w:r>
            <w:proofErr w:type="spellEnd"/>
            <w:r w:rsidR="397931EE" w:rsidRPr="01C07FEA">
              <w:rPr>
                <w:sz w:val="20"/>
              </w:rPr>
              <w:t xml:space="preserve">, kai Latvijoje ši suma bene dvigubai didesnė, o Estijoje koordinatoriai uždirba net po 73,2 </w:t>
            </w:r>
            <w:proofErr w:type="spellStart"/>
            <w:r w:rsidR="397931EE" w:rsidRPr="01C07FEA">
              <w:rPr>
                <w:sz w:val="20"/>
              </w:rPr>
              <w:t>Eur</w:t>
            </w:r>
            <w:proofErr w:type="spellEnd"/>
            <w:r w:rsidR="397931EE" w:rsidRPr="01C07FEA">
              <w:rPr>
                <w:sz w:val="20"/>
              </w:rPr>
              <w:t xml:space="preserve"> vienam Estijos gyventojui.</w:t>
            </w:r>
            <w:r w:rsidR="001B4E74" w:rsidRPr="01C07FEA">
              <w:rPr>
                <w:rStyle w:val="Puslapioinaosnuoroda"/>
                <w:sz w:val="20"/>
              </w:rPr>
              <w:footnoteReference w:id="61"/>
            </w:r>
            <w:r w:rsidR="397931EE" w:rsidRPr="01C07FEA">
              <w:rPr>
                <w:sz w:val="20"/>
              </w:rPr>
              <w:t xml:space="preserve"> </w:t>
            </w:r>
            <w:r w:rsidRPr="01C07FEA">
              <w:rPr>
                <w:sz w:val="20"/>
              </w:rPr>
              <w:t xml:space="preserve">Vidutiniškai vienam Lietuvos projektui Horizonto 2020 programoje tenka 0,18 mln. </w:t>
            </w:r>
            <w:proofErr w:type="spellStart"/>
            <w:r w:rsidRPr="01C07FEA">
              <w:rPr>
                <w:sz w:val="20"/>
              </w:rPr>
              <w:t>Eur</w:t>
            </w:r>
            <w:proofErr w:type="spellEnd"/>
            <w:r w:rsidRPr="01C07FEA">
              <w:rPr>
                <w:sz w:val="20"/>
              </w:rPr>
              <w:t xml:space="preserve">, kai visos ES mastu vidutinio projekto apimtys yra dešimteriopai didesnės ir siekia 1,82 mln. </w:t>
            </w:r>
            <w:proofErr w:type="spellStart"/>
            <w:r w:rsidRPr="01C07FEA">
              <w:rPr>
                <w:sz w:val="20"/>
              </w:rPr>
              <w:t>Eur</w:t>
            </w:r>
            <w:proofErr w:type="spellEnd"/>
            <w:r w:rsidRPr="01C07FEA">
              <w:rPr>
                <w:sz w:val="20"/>
              </w:rPr>
              <w:t>.</w:t>
            </w:r>
            <w:r w:rsidR="000953CF" w:rsidRPr="01C07FEA">
              <w:rPr>
                <w:rStyle w:val="Puslapioinaosnuoroda"/>
                <w:sz w:val="20"/>
              </w:rPr>
              <w:footnoteReference w:id="62"/>
            </w:r>
            <w:r w:rsidRPr="01C07FEA">
              <w:rPr>
                <w:sz w:val="20"/>
              </w:rPr>
              <w:t xml:space="preserve"> </w:t>
            </w:r>
            <w:r w:rsidR="47CC66C4" w:rsidRPr="01C07FEA">
              <w:rPr>
                <w:sz w:val="20"/>
              </w:rPr>
              <w:t xml:space="preserve">Visa tai rodo, kad Lietuvos MSI stinga gebėjimų ir patirties rengiant ir administruojant tarptautines paraiškas ir projektus (ypač didelės apimties). </w:t>
            </w:r>
            <w:r w:rsidR="687031F6" w:rsidRPr="01C07FEA">
              <w:rPr>
                <w:sz w:val="20"/>
              </w:rPr>
              <w:t>Nors Lietuvos sėkmės rodiklis kiek viršija ES vidurkį</w:t>
            </w:r>
            <w:r w:rsidR="007A3383" w:rsidRPr="01C07FEA">
              <w:rPr>
                <w:sz w:val="20"/>
              </w:rPr>
              <w:t xml:space="preserve"> (14,45 proc. ir 11,86 proc.)</w:t>
            </w:r>
            <w:r w:rsidR="007A3383" w:rsidRPr="01C07FEA">
              <w:rPr>
                <w:rStyle w:val="Puslapioinaosnuoroda"/>
                <w:sz w:val="20"/>
              </w:rPr>
              <w:footnoteReference w:id="63"/>
            </w:r>
            <w:r w:rsidR="687031F6" w:rsidRPr="01C07FEA">
              <w:rPr>
                <w:sz w:val="20"/>
              </w:rPr>
              <w:t xml:space="preserve">, tačiau problema lieka ribotas pasirengusių ir norinčių dalyvauti tarptautinėse programose MSI tyrėjų ratas – Horizonto 2020 programai iš viso teiktos tik 1057 paraiškos, kai Latvijoje šis skaičius siekė 2834, o Estijoje – net 6998 paraiškų. Vangų tyrėjų dalyvavimą tarptautinėse programose taip pat rodo ir tai, jog per 2014-2019 m. laikotarpį Europos mokslo tarybos (angl. </w:t>
            </w:r>
            <w:proofErr w:type="spellStart"/>
            <w:r w:rsidR="687031F6" w:rsidRPr="01C07FEA">
              <w:rPr>
                <w:sz w:val="20"/>
              </w:rPr>
              <w:t>European</w:t>
            </w:r>
            <w:proofErr w:type="spellEnd"/>
            <w:r w:rsidR="687031F6" w:rsidRPr="01C07FEA">
              <w:rPr>
                <w:sz w:val="20"/>
              </w:rPr>
              <w:t xml:space="preserve"> </w:t>
            </w:r>
            <w:proofErr w:type="spellStart"/>
            <w:r w:rsidR="687031F6" w:rsidRPr="01C07FEA">
              <w:rPr>
                <w:sz w:val="20"/>
              </w:rPr>
              <w:t>Research</w:t>
            </w:r>
            <w:proofErr w:type="spellEnd"/>
            <w:r w:rsidR="687031F6" w:rsidRPr="01C07FEA">
              <w:rPr>
                <w:sz w:val="20"/>
              </w:rPr>
              <w:t xml:space="preserve"> </w:t>
            </w:r>
            <w:proofErr w:type="spellStart"/>
            <w:r w:rsidR="687031F6" w:rsidRPr="01C07FEA">
              <w:rPr>
                <w:sz w:val="20"/>
              </w:rPr>
              <w:t>Council</w:t>
            </w:r>
            <w:proofErr w:type="spellEnd"/>
            <w:r w:rsidR="687031F6" w:rsidRPr="01C07FEA">
              <w:rPr>
                <w:sz w:val="20"/>
              </w:rPr>
              <w:t xml:space="preserve">) organizuotuose kvietimuose buvo vertintos iš viso 46 Lietuvos tyrėjų paraiškos dotacijoms gauti, kai, pavyzdžiui, per tą patį laikotarpį įvertinta beveik 3 kartus daugiau estų paraiškų (147 paraiškos). </w:t>
            </w:r>
            <w:proofErr w:type="spellStart"/>
            <w:r w:rsidR="687031F6" w:rsidRPr="01C07FEA">
              <w:rPr>
                <w:sz w:val="20"/>
              </w:rPr>
              <w:t>Marie</w:t>
            </w:r>
            <w:proofErr w:type="spellEnd"/>
            <w:r w:rsidR="687031F6" w:rsidRPr="01C07FEA">
              <w:rPr>
                <w:sz w:val="20"/>
              </w:rPr>
              <w:t xml:space="preserve"> </w:t>
            </w:r>
            <w:proofErr w:type="spellStart"/>
            <w:r w:rsidR="687031F6" w:rsidRPr="01C07FEA">
              <w:rPr>
                <w:sz w:val="20"/>
              </w:rPr>
              <w:t>Sklodowska</w:t>
            </w:r>
            <w:proofErr w:type="spellEnd"/>
            <w:r w:rsidR="687031F6" w:rsidRPr="01C07FEA">
              <w:rPr>
                <w:sz w:val="20"/>
              </w:rPr>
              <w:t xml:space="preserve"> </w:t>
            </w:r>
            <w:proofErr w:type="spellStart"/>
            <w:r w:rsidR="687031F6" w:rsidRPr="01C07FEA">
              <w:rPr>
                <w:sz w:val="20"/>
              </w:rPr>
              <w:t>Curie</w:t>
            </w:r>
            <w:proofErr w:type="spellEnd"/>
            <w:r w:rsidR="687031F6" w:rsidRPr="01C07FEA">
              <w:rPr>
                <w:sz w:val="20"/>
              </w:rPr>
              <w:t xml:space="preserve"> veiklose dalyvauja 60 institucijų iš Lietuvos, Lietuvos dalyviams skirta EK dotacija siekia 8,37 mln. eurų. Estijoje dalyvių skaičius – 74, o skirta EK dotacija pusantro karto didesnė – 12,8 mln. eurų.</w:t>
            </w:r>
            <w:r w:rsidR="001D0438" w:rsidRPr="01C07FEA">
              <w:rPr>
                <w:rStyle w:val="Puslapioinaosnuoroda"/>
                <w:sz w:val="20"/>
              </w:rPr>
              <w:footnoteReference w:id="64"/>
            </w:r>
            <w:r w:rsidR="687031F6" w:rsidRPr="01C07FEA">
              <w:rPr>
                <w:sz w:val="20"/>
              </w:rPr>
              <w:t xml:space="preserve"> </w:t>
            </w:r>
          </w:p>
          <w:p w14:paraId="79C0A4C5" w14:textId="77777777" w:rsidR="00AC45F1" w:rsidRPr="00745F42" w:rsidRDefault="00AC45F1" w:rsidP="00AC45F1">
            <w:pPr>
              <w:jc w:val="both"/>
              <w:rPr>
                <w:sz w:val="20"/>
              </w:rPr>
            </w:pPr>
          </w:p>
          <w:p w14:paraId="6E7E1B57" w14:textId="44FFD36F" w:rsidR="001D5019" w:rsidRPr="009D0E43" w:rsidRDefault="01C07FEA" w:rsidP="01C07FEA">
            <w:pPr>
              <w:pStyle w:val="Sraopastraipa"/>
              <w:numPr>
                <w:ilvl w:val="1"/>
                <w:numId w:val="38"/>
              </w:numPr>
              <w:spacing w:line="259" w:lineRule="auto"/>
              <w:ind w:left="763"/>
              <w:rPr>
                <w:sz w:val="20"/>
              </w:rPr>
            </w:pPr>
            <w:r w:rsidRPr="01C07FEA">
              <w:rPr>
                <w:sz w:val="20"/>
              </w:rPr>
              <w:t>Neišgrynintas nacionalinių kontaktinių asmenų (NCP) vaidmuo</w:t>
            </w:r>
          </w:p>
          <w:p w14:paraId="76EBC985" w14:textId="77777777" w:rsidR="002A781C" w:rsidRPr="00745F42" w:rsidRDefault="6744EE61" w:rsidP="01C07FEA">
            <w:pPr>
              <w:spacing w:line="259" w:lineRule="auto"/>
              <w:jc w:val="both"/>
              <w:rPr>
                <w:sz w:val="20"/>
              </w:rPr>
            </w:pPr>
            <w:r w:rsidRPr="01C07FEA">
              <w:rPr>
                <w:sz w:val="20"/>
              </w:rPr>
              <w:t>Nacionalinių kontaktinių asmenų tinklas yra išskaidytas per kelias skirtingo pavaldumo institucijas, trūksta žmogiškųjų išteklių, o esami darbuotojai NCP funkcijoms skiria tik dalį etato, kartu atlikdami su NCP veikla menkai susijusias užduotis. NCP veikla tampa papildomu, o ne pagrindiniu darbu, jai neskiriami pakankami instituciniai resursai, tai sąlygoja situaciją, kuomet NCP nėra pajėgūs užtikrinti reikiamos kompetencijų pasiūlos bei ekspertinės pagalbos</w:t>
            </w:r>
            <w:r w:rsidR="3A509A53" w:rsidRPr="01C07FEA">
              <w:rPr>
                <w:sz w:val="20"/>
              </w:rPr>
              <w:t xml:space="preserve"> padedant rengti paraiškas, informuojant ir atstovaujant Lietuvos interesus rengiant ir įgyvendinant Horizonto2020/Europos horizonto programą</w:t>
            </w:r>
            <w:r w:rsidRPr="01C07FEA">
              <w:rPr>
                <w:sz w:val="20"/>
              </w:rPr>
              <w:t>.</w:t>
            </w:r>
            <w:r w:rsidR="002A781C" w:rsidRPr="01C07FEA">
              <w:rPr>
                <w:rStyle w:val="Puslapioinaosnuoroda"/>
                <w:sz w:val="20"/>
              </w:rPr>
              <w:footnoteReference w:id="65"/>
            </w:r>
          </w:p>
          <w:p w14:paraId="2DE2B383" w14:textId="77777777" w:rsidR="001D5019" w:rsidRPr="00745F42" w:rsidRDefault="001D5019" w:rsidP="001D5019">
            <w:pPr>
              <w:jc w:val="both"/>
              <w:rPr>
                <w:sz w:val="20"/>
              </w:rPr>
            </w:pPr>
          </w:p>
          <w:p w14:paraId="6D0D874C" w14:textId="1E6B95FC" w:rsidR="001D5019" w:rsidRPr="009D0E43" w:rsidRDefault="01C07FEA" w:rsidP="01C07FEA">
            <w:pPr>
              <w:pStyle w:val="Sraopastraipa"/>
              <w:numPr>
                <w:ilvl w:val="1"/>
                <w:numId w:val="38"/>
              </w:numPr>
              <w:ind w:left="763"/>
              <w:jc w:val="both"/>
              <w:rPr>
                <w:sz w:val="20"/>
              </w:rPr>
            </w:pPr>
            <w:r w:rsidRPr="01C07FEA">
              <w:rPr>
                <w:sz w:val="20"/>
              </w:rPr>
              <w:t xml:space="preserve">Neišplėtoti Lietuvos mokslo žinomumo didinimo ir partnerių paieškos </w:t>
            </w:r>
            <w:proofErr w:type="spellStart"/>
            <w:r w:rsidRPr="01C07FEA">
              <w:rPr>
                <w:sz w:val="20"/>
              </w:rPr>
              <w:t>pajėgumai</w:t>
            </w:r>
            <w:proofErr w:type="spellEnd"/>
            <w:r w:rsidRPr="01C07FEA">
              <w:rPr>
                <w:sz w:val="20"/>
              </w:rPr>
              <w:t xml:space="preserve"> užsienyje</w:t>
            </w:r>
          </w:p>
          <w:p w14:paraId="64AE0E35" w14:textId="25545606" w:rsidR="001D5019" w:rsidRDefault="001D5019" w:rsidP="01C07FEA">
            <w:pPr>
              <w:jc w:val="both"/>
              <w:rPr>
                <w:sz w:val="20"/>
              </w:rPr>
            </w:pPr>
            <w:r w:rsidRPr="01C07FEA">
              <w:rPr>
                <w:sz w:val="20"/>
              </w:rPr>
              <w:t xml:space="preserve">Žr. pagrindimą prie 1 problemos </w:t>
            </w:r>
            <w:r w:rsidR="00320F4E" w:rsidRPr="01C07FEA">
              <w:rPr>
                <w:sz w:val="20"/>
              </w:rPr>
              <w:t>7</w:t>
            </w:r>
            <w:r w:rsidRPr="01C07FEA">
              <w:rPr>
                <w:sz w:val="20"/>
              </w:rPr>
              <w:t xml:space="preserve"> punkto.</w:t>
            </w:r>
            <w:r w:rsidR="00B62987" w:rsidRPr="01C07FEA">
              <w:rPr>
                <w:sz w:val="20"/>
              </w:rPr>
              <w:t xml:space="preserve"> Pažymėtina, kad ES mokslo ir inovacijų programose vis dar matyti žymi takoskyra tarp ES15 ir ES13 šalių – pavyzdžiui, Horizonto 2020 programoje 85 proc. finansavimo teko ES15 šalims, o visoms ES13 šalims, tarp kurių patenka ir Lietuva, tekusi suma buvo 15 kartų mažesnė ir sudarė vos 5 proc.. Net trečiosios šalys – t. y. ne ES narės – gavo didesnį finansavimą (likę 10 proc.) iš Horizonto 2020 programos nei ES13 valstybės.</w:t>
            </w:r>
            <w:r w:rsidR="00B62987" w:rsidRPr="01C07FEA">
              <w:rPr>
                <w:rStyle w:val="Puslapioinaosnuoroda"/>
                <w:sz w:val="20"/>
              </w:rPr>
              <w:footnoteReference w:id="66"/>
            </w:r>
            <w:r w:rsidR="00B62987" w:rsidRPr="01C07FEA">
              <w:rPr>
                <w:sz w:val="20"/>
              </w:rPr>
              <w:t xml:space="preserve"> Tad dalyvavimo tarptautinėse programose sėkmė priklauso ir nuo gebėjimo patekti į „uždarus klubus“, susiformavusias bendradarbiavimo tradicijas, partnerystes.</w:t>
            </w:r>
          </w:p>
          <w:p w14:paraId="2F74FA59" w14:textId="77777777" w:rsidR="004A6D6A" w:rsidRPr="00745F42" w:rsidRDefault="004A6D6A" w:rsidP="001D5019">
            <w:pPr>
              <w:jc w:val="both"/>
              <w:rPr>
                <w:sz w:val="20"/>
              </w:rPr>
            </w:pPr>
          </w:p>
          <w:p w14:paraId="0463F4CE" w14:textId="0CB09737" w:rsidR="001D5019" w:rsidRPr="009D0E43" w:rsidRDefault="01C07FEA" w:rsidP="01C07FEA">
            <w:pPr>
              <w:pStyle w:val="Sraopastraipa"/>
              <w:numPr>
                <w:ilvl w:val="1"/>
                <w:numId w:val="38"/>
              </w:numPr>
              <w:spacing w:line="259" w:lineRule="auto"/>
              <w:ind w:left="763"/>
              <w:rPr>
                <w:sz w:val="20"/>
              </w:rPr>
            </w:pPr>
            <w:r w:rsidRPr="01C07FEA">
              <w:rPr>
                <w:sz w:val="20"/>
              </w:rPr>
              <w:t>Vystant nacionalinius prioritetus (pvz., lituanistiką), kartu ir kitose srityse vis dar trūksta nacionalinių priemonių glaudesnės sąsajos (kur įmanoma) su tarptautinėmis programomis</w:t>
            </w:r>
          </w:p>
          <w:p w14:paraId="09B32562" w14:textId="2E7A4D50" w:rsidR="003C7FAA" w:rsidRPr="00745F42" w:rsidRDefault="7552C8A7" w:rsidP="01C07FEA">
            <w:pPr>
              <w:spacing w:line="259" w:lineRule="auto"/>
              <w:rPr>
                <w:sz w:val="20"/>
              </w:rPr>
            </w:pPr>
            <w:r w:rsidRPr="01C07FEA">
              <w:rPr>
                <w:sz w:val="20"/>
              </w:rPr>
              <w:t xml:space="preserve">Nacionalinio lygmens MTEP finansavimo priemonių temos </w:t>
            </w:r>
            <w:r w:rsidR="1409327C" w:rsidRPr="01C07FEA">
              <w:rPr>
                <w:sz w:val="20"/>
              </w:rPr>
              <w:t>ne visuomet</w:t>
            </w:r>
            <w:r w:rsidRPr="01C07FEA">
              <w:rPr>
                <w:sz w:val="20"/>
              </w:rPr>
              <w:t xml:space="preserve"> dera su tarptautinių programų temomis</w:t>
            </w:r>
            <w:r w:rsidR="1409327C" w:rsidRPr="01C07FEA">
              <w:rPr>
                <w:sz w:val="20"/>
              </w:rPr>
              <w:t xml:space="preserve"> ar atspindi tarptautines tendencijas</w:t>
            </w:r>
            <w:r w:rsidRPr="01C07FEA">
              <w:rPr>
                <w:sz w:val="20"/>
              </w:rPr>
              <w:t>, tai apriboja šių dviejų dimensijų sinergijos galimybes – nesukuriamas natūralus perėjimas iš nacionalinės erdvės į didesnius finansavimo mastus galinčią pasiūlyti tarptautinę erdvę tyrėjų komandai stiprėjant</w:t>
            </w:r>
            <w:r w:rsidR="7DEF66E5" w:rsidRPr="01C07FEA">
              <w:rPr>
                <w:sz w:val="20"/>
              </w:rPr>
              <w:t xml:space="preserve"> ir</w:t>
            </w:r>
            <w:r w:rsidR="2ABB9637" w:rsidRPr="01C07FEA">
              <w:rPr>
                <w:sz w:val="20"/>
              </w:rPr>
              <w:t>,</w:t>
            </w:r>
            <w:r w:rsidR="7DEF66E5" w:rsidRPr="01C07FEA">
              <w:rPr>
                <w:sz w:val="20"/>
              </w:rPr>
              <w:t xml:space="preserve"> atvirkščiai</w:t>
            </w:r>
            <w:r w:rsidR="2ABB9637" w:rsidRPr="01C07FEA">
              <w:rPr>
                <w:sz w:val="20"/>
              </w:rPr>
              <w:t>,</w:t>
            </w:r>
            <w:r w:rsidR="7DEF66E5" w:rsidRPr="01C07FEA">
              <w:rPr>
                <w:sz w:val="20"/>
              </w:rPr>
              <w:t xml:space="preserve"> neišnaudojamas tarptautinis finansavimas konkrečiai Lietuvai aktualių – lituanistinių – problemų sprendimui</w:t>
            </w:r>
            <w:r w:rsidR="00C05EF3" w:rsidRPr="01C07FEA">
              <w:rPr>
                <w:sz w:val="20"/>
              </w:rPr>
              <w:t>, nacionalinių prioritetų vystymui</w:t>
            </w:r>
            <w:r w:rsidR="7DEF66E5" w:rsidRPr="01C07FEA">
              <w:rPr>
                <w:sz w:val="20"/>
              </w:rPr>
              <w:t xml:space="preserve"> (kur tai įmanoma)</w:t>
            </w:r>
            <w:r w:rsidRPr="01C07FEA">
              <w:rPr>
                <w:sz w:val="20"/>
              </w:rPr>
              <w:t>.</w:t>
            </w:r>
            <w:r w:rsidR="004040FE" w:rsidRPr="01C07FEA">
              <w:rPr>
                <w:rStyle w:val="Puslapioinaosnuoroda"/>
                <w:sz w:val="20"/>
              </w:rPr>
              <w:footnoteReference w:id="67"/>
            </w:r>
            <w:r w:rsidR="7FE8729D" w:rsidRPr="01C07FEA">
              <w:rPr>
                <w:sz w:val="20"/>
              </w:rPr>
              <w:t xml:space="preserve"> Taip pat dalyvavimą tarpta</w:t>
            </w:r>
            <w:r w:rsidR="3170DE87" w:rsidRPr="01C07FEA">
              <w:rPr>
                <w:sz w:val="20"/>
              </w:rPr>
              <w:t>u</w:t>
            </w:r>
            <w:r w:rsidR="7FE8729D" w:rsidRPr="01C07FEA">
              <w:rPr>
                <w:sz w:val="20"/>
              </w:rPr>
              <w:t xml:space="preserve">tinėse programose apsunkina ir </w:t>
            </w:r>
            <w:proofErr w:type="spellStart"/>
            <w:r w:rsidR="7FE8729D" w:rsidRPr="01C07FEA">
              <w:rPr>
                <w:sz w:val="20"/>
              </w:rPr>
              <w:t>kofinansavimo</w:t>
            </w:r>
            <w:proofErr w:type="spellEnd"/>
            <w:r w:rsidR="7FE8729D" w:rsidRPr="01C07FEA">
              <w:rPr>
                <w:sz w:val="20"/>
              </w:rPr>
              <w:t xml:space="preserve"> schemų trūkumas.</w:t>
            </w:r>
            <w:r w:rsidR="003B4060" w:rsidRPr="01C07FEA">
              <w:rPr>
                <w:rStyle w:val="Puslapioinaosnuoroda"/>
                <w:sz w:val="20"/>
              </w:rPr>
              <w:footnoteReference w:id="68"/>
            </w:r>
          </w:p>
          <w:p w14:paraId="38ADC9F6" w14:textId="77777777" w:rsidR="001D5019" w:rsidRPr="00745F42" w:rsidRDefault="001D5019" w:rsidP="003B4060">
            <w:pPr>
              <w:spacing w:line="259" w:lineRule="auto"/>
              <w:rPr>
                <w:b/>
                <w:sz w:val="20"/>
              </w:rPr>
            </w:pPr>
          </w:p>
        </w:tc>
      </w:tr>
      <w:tr w:rsidR="008921CE" w:rsidRPr="00745F42" w14:paraId="3E7FB4C4" w14:textId="77777777" w:rsidTr="01C07FEA">
        <w:trPr>
          <w:trHeight w:val="70"/>
        </w:trPr>
        <w:tc>
          <w:tcPr>
            <w:tcW w:w="13887" w:type="dxa"/>
            <w:shd w:val="clear" w:color="auto" w:fill="FFFFFF" w:themeFill="background1"/>
          </w:tcPr>
          <w:p w14:paraId="23ACFD57" w14:textId="77777777" w:rsidR="008921CE" w:rsidRPr="00745F42" w:rsidRDefault="008921CE" w:rsidP="008921CE">
            <w:pPr>
              <w:jc w:val="both"/>
              <w:rPr>
                <w:b/>
                <w:sz w:val="20"/>
              </w:rPr>
            </w:pPr>
          </w:p>
        </w:tc>
      </w:tr>
      <w:tr w:rsidR="008921CE" w:rsidRPr="00745F42" w14:paraId="5AA23D2A" w14:textId="77777777" w:rsidTr="01C07FEA">
        <w:trPr>
          <w:trHeight w:val="70"/>
        </w:trPr>
        <w:tc>
          <w:tcPr>
            <w:tcW w:w="13887" w:type="dxa"/>
            <w:shd w:val="clear" w:color="auto" w:fill="DBE5F1" w:themeFill="accent1" w:themeFillTint="33"/>
          </w:tcPr>
          <w:p w14:paraId="4446ABF4" w14:textId="77777777" w:rsidR="008921CE" w:rsidRPr="00745F42" w:rsidRDefault="01C07FEA" w:rsidP="01C07FEA">
            <w:pPr>
              <w:jc w:val="both"/>
              <w:rPr>
                <w:b/>
                <w:bCs/>
                <w:sz w:val="20"/>
              </w:rPr>
            </w:pPr>
            <w:r w:rsidRPr="01C07FEA">
              <w:rPr>
                <w:b/>
                <w:bCs/>
                <w:sz w:val="20"/>
              </w:rPr>
              <w:t>NPP uždavinys:</w:t>
            </w:r>
          </w:p>
          <w:p w14:paraId="663F86EE" w14:textId="77777777" w:rsidR="008921CE" w:rsidRPr="00745F42" w:rsidRDefault="01C07FEA" w:rsidP="01C07FEA">
            <w:pPr>
              <w:jc w:val="both"/>
              <w:rPr>
                <w:b/>
                <w:bCs/>
                <w:sz w:val="20"/>
                <w:lang w:eastAsia="lt-LT"/>
              </w:rPr>
            </w:pPr>
            <w:r w:rsidRPr="01C07FEA">
              <w:rPr>
                <w:b/>
                <w:bCs/>
                <w:sz w:val="20"/>
              </w:rPr>
              <w:t xml:space="preserve">1.3. </w:t>
            </w:r>
            <w:r w:rsidRPr="01C07FEA">
              <w:rPr>
                <w:b/>
                <w:bCs/>
                <w:sz w:val="20"/>
                <w:lang w:eastAsia="lt-LT"/>
              </w:rPr>
              <w:t>Skatinti mokslui imlaus verslo kūrimąsi bei mokslo ir verslo bendradarbiavimą ir plėtoti verslumo kultūrą mokslo ir studijų institucijose</w:t>
            </w:r>
          </w:p>
          <w:p w14:paraId="2E2849C1" w14:textId="77777777" w:rsidR="008921CE" w:rsidRPr="00745F42" w:rsidRDefault="008921CE" w:rsidP="008921CE">
            <w:pPr>
              <w:jc w:val="both"/>
              <w:rPr>
                <w:b/>
                <w:sz w:val="20"/>
              </w:rPr>
            </w:pPr>
          </w:p>
        </w:tc>
      </w:tr>
      <w:tr w:rsidR="008921CE" w:rsidRPr="00745F42" w14:paraId="69E92DF6" w14:textId="77777777" w:rsidTr="01C07FEA">
        <w:trPr>
          <w:trHeight w:val="70"/>
        </w:trPr>
        <w:tc>
          <w:tcPr>
            <w:tcW w:w="13887" w:type="dxa"/>
            <w:shd w:val="clear" w:color="auto" w:fill="FFFFFF" w:themeFill="background1"/>
          </w:tcPr>
          <w:p w14:paraId="1D115C1C" w14:textId="77777777" w:rsidR="00644993" w:rsidRPr="00745F42" w:rsidRDefault="01C07FEA" w:rsidP="01C07FEA">
            <w:pPr>
              <w:jc w:val="both"/>
              <w:rPr>
                <w:b/>
                <w:bCs/>
                <w:sz w:val="20"/>
              </w:rPr>
            </w:pPr>
            <w:r w:rsidRPr="01C07FEA">
              <w:rPr>
                <w:b/>
                <w:bCs/>
                <w:sz w:val="20"/>
              </w:rPr>
              <w:t xml:space="preserve">4 problema: </w:t>
            </w:r>
          </w:p>
          <w:p w14:paraId="3E076E92" w14:textId="77777777" w:rsidR="00644993" w:rsidRPr="00745F42" w:rsidRDefault="01C07FEA" w:rsidP="01C07FEA">
            <w:pPr>
              <w:jc w:val="both"/>
              <w:rPr>
                <w:b/>
                <w:bCs/>
                <w:sz w:val="20"/>
              </w:rPr>
            </w:pPr>
            <w:r w:rsidRPr="01C07FEA">
              <w:rPr>
                <w:b/>
                <w:bCs/>
                <w:sz w:val="20"/>
              </w:rPr>
              <w:t xml:space="preserve">Neišplėtoti MSI „trečiosios misijos“ (verslumo, žinių ir technologijų perdavimo) </w:t>
            </w:r>
            <w:proofErr w:type="spellStart"/>
            <w:r w:rsidRPr="01C07FEA">
              <w:rPr>
                <w:b/>
                <w:bCs/>
                <w:sz w:val="20"/>
              </w:rPr>
              <w:t>pajėgumai</w:t>
            </w:r>
            <w:proofErr w:type="spellEnd"/>
          </w:p>
          <w:p w14:paraId="3E29AD0F" w14:textId="77777777" w:rsidR="00167E55" w:rsidRPr="00745F42" w:rsidRDefault="00167E55" w:rsidP="00644993">
            <w:pPr>
              <w:jc w:val="both"/>
              <w:rPr>
                <w:b/>
                <w:sz w:val="20"/>
              </w:rPr>
            </w:pPr>
          </w:p>
          <w:p w14:paraId="5FE0E001" w14:textId="1360139A" w:rsidR="002537D5" w:rsidRDefault="2BC15F13" w:rsidP="01C07FEA">
            <w:pPr>
              <w:jc w:val="both"/>
              <w:rPr>
                <w:sz w:val="20"/>
              </w:rPr>
            </w:pPr>
            <w:r w:rsidRPr="01C07FEA">
              <w:rPr>
                <w:sz w:val="20"/>
              </w:rPr>
              <w:t xml:space="preserve">MSI tyrėjų ir vadovų nuomonės apklausos atskleidžia vis gerėjantį požiūrį į MSI žinių perdavimo funkcijos svarbą – 77,9 proc. MSI tyrėjų ir </w:t>
            </w:r>
            <w:r w:rsidR="0E81943E" w:rsidRPr="01C07FEA">
              <w:rPr>
                <w:sz w:val="20"/>
              </w:rPr>
              <w:t xml:space="preserve">net 94 proc. vadovų </w:t>
            </w:r>
            <w:r w:rsidRPr="01C07FEA">
              <w:rPr>
                <w:sz w:val="20"/>
              </w:rPr>
              <w:t>teigia, kad</w:t>
            </w:r>
            <w:r w:rsidR="0E81943E" w:rsidRPr="01C07FEA">
              <w:rPr>
                <w:sz w:val="20"/>
              </w:rPr>
              <w:t xml:space="preserve"> atliekami</w:t>
            </w:r>
            <w:r w:rsidRPr="01C07FEA">
              <w:rPr>
                <w:sz w:val="20"/>
              </w:rPr>
              <w:t xml:space="preserve"> bendri mokslo ir verslo projektai yra labai svarbūs arba greičiau svarbūs mokslininko </w:t>
            </w:r>
            <w:r w:rsidR="0E81943E" w:rsidRPr="01C07FEA">
              <w:rPr>
                <w:sz w:val="20"/>
              </w:rPr>
              <w:t xml:space="preserve">ir MSI </w:t>
            </w:r>
            <w:r w:rsidRPr="01C07FEA">
              <w:rPr>
                <w:sz w:val="20"/>
              </w:rPr>
              <w:t>prestižui.</w:t>
            </w:r>
            <w:r w:rsidR="0E81943E" w:rsidRPr="01C07FEA">
              <w:rPr>
                <w:sz w:val="20"/>
              </w:rPr>
              <w:t xml:space="preserve"> Didžioji dalis </w:t>
            </w:r>
            <w:r w:rsidR="50AA9CCC" w:rsidRPr="01C07FEA">
              <w:rPr>
                <w:sz w:val="20"/>
              </w:rPr>
              <w:t>tyrėj</w:t>
            </w:r>
            <w:r w:rsidR="0E81943E" w:rsidRPr="01C07FEA">
              <w:rPr>
                <w:sz w:val="20"/>
              </w:rPr>
              <w:t xml:space="preserve">ų sutinka ir su tuo, kad bendri mokslo ir verslo projektai yra labai svarbus arba greičiau svarbus jų pajamų šaltinis (atitinkamai 31,8 proc. ir 38,3 proc.). Pažymėtinas ir įvykęs sąlyginis mąstymo pokytis – dvigubai daugiau </w:t>
            </w:r>
            <w:r w:rsidR="50AA9CCC" w:rsidRPr="01C07FEA">
              <w:rPr>
                <w:sz w:val="20"/>
              </w:rPr>
              <w:t>tyrėj</w:t>
            </w:r>
            <w:r w:rsidR="0E81943E" w:rsidRPr="01C07FEA">
              <w:rPr>
                <w:sz w:val="20"/>
              </w:rPr>
              <w:t xml:space="preserve">ų iki 35 m. amžiaus, lyginant su </w:t>
            </w:r>
            <w:r w:rsidR="50AA9CCC" w:rsidRPr="01C07FEA">
              <w:rPr>
                <w:sz w:val="20"/>
              </w:rPr>
              <w:t>tyrėjais</w:t>
            </w:r>
            <w:r w:rsidR="0E81943E" w:rsidRPr="01C07FEA">
              <w:rPr>
                <w:sz w:val="20"/>
              </w:rPr>
              <w:t>, kurių amžius yra 56 m. ir daugiau, bendrus mokslo ir verslo projektus apibūdina kaip labai svarbų jų pajamų šaltinį (atitinkamai 44,9 proc. ir 20,2 proc.).</w:t>
            </w:r>
            <w:r w:rsidR="002537D5" w:rsidRPr="01C07FEA">
              <w:rPr>
                <w:rStyle w:val="Puslapioinaosnuoroda"/>
                <w:sz w:val="20"/>
              </w:rPr>
              <w:footnoteReference w:id="69"/>
            </w:r>
            <w:r w:rsidR="0E81943E" w:rsidRPr="01C07FEA">
              <w:rPr>
                <w:sz w:val="20"/>
              </w:rPr>
              <w:t xml:space="preserve"> Apskritai, Lietuva pagal </w:t>
            </w:r>
            <w:r w:rsidR="50AA9CCC" w:rsidRPr="01C07FEA">
              <w:rPr>
                <w:sz w:val="20"/>
              </w:rPr>
              <w:t xml:space="preserve">santykines </w:t>
            </w:r>
            <w:r w:rsidR="0E81943E" w:rsidRPr="01C07FEA">
              <w:rPr>
                <w:sz w:val="20"/>
              </w:rPr>
              <w:t>verslo kaip finansavimo šaltinio išlaidas MTEP išleidžiamas per MSI, t. y. perkant ar prisidedant prie MSI MTEP veiklų, užima 4 vietą ES (0,07 proc. nuo BVP).</w:t>
            </w:r>
            <w:r w:rsidR="002537D5" w:rsidRPr="01C07FEA">
              <w:rPr>
                <w:rStyle w:val="Puslapioinaosnuoroda"/>
                <w:sz w:val="20"/>
              </w:rPr>
              <w:footnoteReference w:id="70"/>
            </w:r>
            <w:r w:rsidR="0E81943E" w:rsidRPr="01C07FEA">
              <w:rPr>
                <w:sz w:val="20"/>
              </w:rPr>
              <w:t xml:space="preserve"> Vis dėlto</w:t>
            </w:r>
            <w:r w:rsidR="51B55A35" w:rsidRPr="01C07FEA">
              <w:rPr>
                <w:sz w:val="20"/>
              </w:rPr>
              <w:t>,</w:t>
            </w:r>
            <w:r w:rsidR="0E81943E" w:rsidRPr="01C07FEA">
              <w:rPr>
                <w:sz w:val="20"/>
              </w:rPr>
              <w:t xml:space="preserve"> </w:t>
            </w:r>
            <w:r w:rsidR="51B55A35" w:rsidRPr="01C07FEA">
              <w:rPr>
                <w:sz w:val="20"/>
              </w:rPr>
              <w:t xml:space="preserve">nepaisant nuoseklaus augimo, Lietuvos MSI žinių perdavimo ir </w:t>
            </w:r>
            <w:proofErr w:type="spellStart"/>
            <w:r w:rsidR="51B55A35" w:rsidRPr="01C07FEA">
              <w:rPr>
                <w:sz w:val="20"/>
              </w:rPr>
              <w:t>komercinimo</w:t>
            </w:r>
            <w:proofErr w:type="spellEnd"/>
            <w:r w:rsidR="51B55A35" w:rsidRPr="01C07FEA">
              <w:rPr>
                <w:sz w:val="20"/>
              </w:rPr>
              <w:t xml:space="preserve"> apimtys absoliučiais skaičiais (</w:t>
            </w:r>
            <w:r w:rsidR="7ADAEFC0" w:rsidRPr="01C07FEA">
              <w:rPr>
                <w:sz w:val="20"/>
              </w:rPr>
              <w:t xml:space="preserve">9,7 </w:t>
            </w:r>
            <w:r w:rsidR="51B55A35" w:rsidRPr="01C07FEA">
              <w:rPr>
                <w:sz w:val="20"/>
              </w:rPr>
              <w:t xml:space="preserve">mln. </w:t>
            </w:r>
            <w:proofErr w:type="spellStart"/>
            <w:r w:rsidR="51B55A35" w:rsidRPr="01C07FEA">
              <w:rPr>
                <w:sz w:val="20"/>
              </w:rPr>
              <w:t>Eur</w:t>
            </w:r>
            <w:proofErr w:type="spellEnd"/>
            <w:r w:rsidR="7ADAEFC0" w:rsidRPr="01C07FEA">
              <w:rPr>
                <w:sz w:val="20"/>
              </w:rPr>
              <w:t xml:space="preserve"> iš 22 mln. </w:t>
            </w:r>
            <w:proofErr w:type="spellStart"/>
            <w:r w:rsidR="7ADAEFC0" w:rsidRPr="01C07FEA">
              <w:rPr>
                <w:sz w:val="20"/>
              </w:rPr>
              <w:t>Eur</w:t>
            </w:r>
            <w:proofErr w:type="spellEnd"/>
            <w:r w:rsidR="7ADAEFC0" w:rsidRPr="01C07FEA">
              <w:rPr>
                <w:sz w:val="20"/>
              </w:rPr>
              <w:t xml:space="preserve"> 2019 m. LMT įskaityta, kaip MTEP veikla vykdyta sudarius sutartį su verslu</w:t>
            </w:r>
            <w:r w:rsidR="51B55A35" w:rsidRPr="01C07FEA">
              <w:rPr>
                <w:sz w:val="20"/>
              </w:rPr>
              <w:t>) Europos kontekste išlieka kuklios</w:t>
            </w:r>
            <w:r w:rsidR="7C9C95D0" w:rsidRPr="01C07FEA">
              <w:rPr>
                <w:sz w:val="20"/>
              </w:rPr>
              <w:t xml:space="preserve"> ir sudaro</w:t>
            </w:r>
            <w:r w:rsidR="2580413E" w:rsidRPr="01C07FEA">
              <w:rPr>
                <w:sz w:val="20"/>
              </w:rPr>
              <w:t xml:space="preserve"> tik</w:t>
            </w:r>
            <w:r w:rsidR="7C9C95D0" w:rsidRPr="01C07FEA">
              <w:rPr>
                <w:sz w:val="20"/>
              </w:rPr>
              <w:t xml:space="preserve"> nedidelę dalį MSI MTEP finansavimo struktūroje</w:t>
            </w:r>
            <w:r w:rsidR="51B55A35" w:rsidRPr="01C07FEA">
              <w:rPr>
                <w:sz w:val="20"/>
              </w:rPr>
              <w:t>.</w:t>
            </w:r>
            <w:r w:rsidR="00B359C5" w:rsidRPr="01C07FEA">
              <w:rPr>
                <w:rStyle w:val="Puslapioinaosnuoroda"/>
                <w:sz w:val="20"/>
              </w:rPr>
              <w:footnoteReference w:id="71"/>
            </w:r>
          </w:p>
          <w:p w14:paraId="50FE721C" w14:textId="14989471" w:rsidR="00AA3423" w:rsidRDefault="51B55A35" w:rsidP="01C07FEA">
            <w:pPr>
              <w:jc w:val="both"/>
              <w:rPr>
                <w:sz w:val="20"/>
              </w:rPr>
            </w:pPr>
            <w:r w:rsidRPr="01C07FEA">
              <w:rPr>
                <w:sz w:val="20"/>
              </w:rPr>
              <w:lastRenderedPageBreak/>
              <w:t xml:space="preserve">Mokslo ir verslo bendradarbiavimas vis dar paremtas asmeniniais tyrėjų ir privataus sektoriaus ryšiais, o MSI administracinės pastangos inicijuoti partnerystes su verslu prisideda tik prie </w:t>
            </w:r>
            <w:r w:rsidR="47D5E27B" w:rsidRPr="01C07FEA">
              <w:rPr>
                <w:sz w:val="20"/>
              </w:rPr>
              <w:t xml:space="preserve">mokslininkų vertinimu </w:t>
            </w:r>
            <w:r w:rsidRPr="01C07FEA">
              <w:rPr>
                <w:sz w:val="20"/>
              </w:rPr>
              <w:t xml:space="preserve">maždaug </w:t>
            </w:r>
            <w:r w:rsidR="5F8ECABB" w:rsidRPr="01C07FEA">
              <w:rPr>
                <w:sz w:val="20"/>
              </w:rPr>
              <w:t xml:space="preserve">6 </w:t>
            </w:r>
            <w:r w:rsidRPr="01C07FEA">
              <w:rPr>
                <w:sz w:val="20"/>
              </w:rPr>
              <w:t>proc.</w:t>
            </w:r>
            <w:r w:rsidR="47D5E27B" w:rsidRPr="01C07FEA">
              <w:rPr>
                <w:sz w:val="20"/>
              </w:rPr>
              <w:t>, o MSI vadovų vertinimu 14 proc.</w:t>
            </w:r>
            <w:r w:rsidRPr="01C07FEA">
              <w:rPr>
                <w:sz w:val="20"/>
              </w:rPr>
              <w:t xml:space="preserve"> bendrų MTEP veiklų</w:t>
            </w:r>
            <w:r w:rsidR="5F8ECABB" w:rsidRPr="01C07FEA">
              <w:rPr>
                <w:sz w:val="20"/>
              </w:rPr>
              <w:t xml:space="preserve"> gimimo (asmeniniai ryšiai lemia </w:t>
            </w:r>
            <w:r w:rsidR="47D5E27B" w:rsidRPr="01C07FEA">
              <w:rPr>
                <w:sz w:val="20"/>
              </w:rPr>
              <w:t xml:space="preserve">daugiau nei </w:t>
            </w:r>
            <w:r w:rsidR="5F8ECABB" w:rsidRPr="01C07FEA">
              <w:rPr>
                <w:sz w:val="20"/>
              </w:rPr>
              <w:t>3</w:t>
            </w:r>
            <w:r w:rsidR="47D5E27B" w:rsidRPr="01C07FEA">
              <w:rPr>
                <w:sz w:val="20"/>
              </w:rPr>
              <w:t>0</w:t>
            </w:r>
            <w:r w:rsidR="5F8ECABB" w:rsidRPr="01C07FEA">
              <w:rPr>
                <w:sz w:val="20"/>
              </w:rPr>
              <w:t xml:space="preserve"> proc.)</w:t>
            </w:r>
            <w:r w:rsidRPr="01C07FEA">
              <w:rPr>
                <w:sz w:val="20"/>
              </w:rPr>
              <w:t>.</w:t>
            </w:r>
            <w:r w:rsidR="5F8ECABB" w:rsidRPr="01C07FEA">
              <w:rPr>
                <w:rStyle w:val="Puslapioinaosnuoroda"/>
                <w:sz w:val="20"/>
              </w:rPr>
              <w:t xml:space="preserve"> </w:t>
            </w:r>
            <w:r w:rsidR="008F1FDB" w:rsidRPr="01C07FEA">
              <w:rPr>
                <w:rStyle w:val="Puslapioinaosnuoroda"/>
                <w:sz w:val="20"/>
              </w:rPr>
              <w:footnoteReference w:id="72"/>
            </w:r>
            <w:r w:rsidRPr="01C07FEA">
              <w:rPr>
                <w:sz w:val="20"/>
              </w:rPr>
              <w:t xml:space="preserve"> </w:t>
            </w:r>
            <w:r w:rsidR="5F8ECABB" w:rsidRPr="01C07FEA">
              <w:rPr>
                <w:sz w:val="20"/>
              </w:rPr>
              <w:t>Nors daugelis Lietuvos MSI jau turi įkūrusios savo mokslo vadybininkų inovacijų ir technologijų perdavimo centrus, tačiau nei vienas iš jų neturi pakankamai išteklių ir gebėjimų visapusiškam funkcionavimui.</w:t>
            </w:r>
            <w:r w:rsidR="008F1FDB" w:rsidRPr="01C07FEA">
              <w:rPr>
                <w:rStyle w:val="Puslapioinaosnuoroda"/>
                <w:sz w:val="20"/>
              </w:rPr>
              <w:footnoteReference w:id="73"/>
            </w:r>
            <w:r w:rsidR="5F8ECABB" w:rsidRPr="01C07FEA">
              <w:rPr>
                <w:sz w:val="20"/>
              </w:rPr>
              <w:t xml:space="preserve"> </w:t>
            </w:r>
            <w:r w:rsidRPr="01C07FEA">
              <w:rPr>
                <w:sz w:val="20"/>
              </w:rPr>
              <w:t xml:space="preserve">Tai reiškia, kad MSI turimai žinių ir technologijų perdavimo struktūrai optimaliai neveikiant tyrėjai </w:t>
            </w:r>
            <w:r w:rsidR="5F8ECABB" w:rsidRPr="01C07FEA">
              <w:rPr>
                <w:sz w:val="20"/>
              </w:rPr>
              <w:t xml:space="preserve">yra priversti atlikti ne tyrėjų, o </w:t>
            </w:r>
            <w:r w:rsidRPr="01C07FEA">
              <w:rPr>
                <w:sz w:val="20"/>
              </w:rPr>
              <w:t>mokslo vadybininkų funkcijas</w:t>
            </w:r>
            <w:r w:rsidR="5F8ECABB" w:rsidRPr="01C07FEA">
              <w:rPr>
                <w:sz w:val="20"/>
              </w:rPr>
              <w:t xml:space="preserve">, o tai lemia, kad </w:t>
            </w:r>
            <w:r w:rsidRPr="01C07FEA">
              <w:rPr>
                <w:sz w:val="20"/>
              </w:rPr>
              <w:t xml:space="preserve">pagrindinei savo veiklai – MTEP </w:t>
            </w:r>
            <w:r w:rsidR="5F8ECABB" w:rsidRPr="01C07FEA">
              <w:rPr>
                <w:sz w:val="20"/>
              </w:rPr>
              <w:t>vystymui – tyrėjams lieka vis mažiau laiko.</w:t>
            </w:r>
          </w:p>
          <w:p w14:paraId="4C6C7DA7" w14:textId="5A3AD914" w:rsidR="00AA3423" w:rsidRDefault="121D37F3" w:rsidP="01C07FEA">
            <w:pPr>
              <w:jc w:val="both"/>
              <w:rPr>
                <w:sz w:val="20"/>
              </w:rPr>
            </w:pPr>
            <w:r w:rsidRPr="01C07FEA">
              <w:rPr>
                <w:sz w:val="20"/>
              </w:rPr>
              <w:t>Pažymėtina, kad MSI ir privataus sektoriaus bendradarbiavimas įmanomas tik esant plačiam mokslui imlaus verslo sektoriui</w:t>
            </w:r>
            <w:r w:rsidR="45B6C091" w:rsidRPr="01C07FEA">
              <w:rPr>
                <w:sz w:val="20"/>
              </w:rPr>
              <w:t>, t. y. bendradarbiavimui svarbūs abu vektoriai – MSI interesas mokslo žinias paversti prieinamu rezultatu rinkoje  ir įmonių interesas pasitelkti mokslą savo verslo plėtrai, konkurencingumo didinimui</w:t>
            </w:r>
            <w:r w:rsidRPr="01C07FEA">
              <w:rPr>
                <w:sz w:val="20"/>
              </w:rPr>
              <w:t xml:space="preserve">. </w:t>
            </w:r>
            <w:r w:rsidR="0A62F762" w:rsidRPr="01C07FEA">
              <w:rPr>
                <w:sz w:val="20"/>
              </w:rPr>
              <w:t xml:space="preserve">Todėl sustiprinus MSI vidinius ir Lietuvos mokslo sisteminius žinių ir technologijų perdavimo gebėjimus MSI pajamų iš verslo subjektų augimas įmanomas tik </w:t>
            </w:r>
            <w:r w:rsidR="45B6C091" w:rsidRPr="01C07FEA">
              <w:rPr>
                <w:sz w:val="20"/>
              </w:rPr>
              <w:t xml:space="preserve">kartu </w:t>
            </w:r>
            <w:r w:rsidR="0A62F762" w:rsidRPr="01C07FEA">
              <w:rPr>
                <w:sz w:val="20"/>
              </w:rPr>
              <w:t>plečiantis Lietuvos mokslui imlaus verslo sektoriui (dabar pagal verslo kaip finansavimo šaltinio išlaidas MTEP Lietuva lenkia tik tris kitas ES valstybes)</w:t>
            </w:r>
            <w:r w:rsidR="00DA6091" w:rsidRPr="01C07FEA">
              <w:rPr>
                <w:rStyle w:val="Puslapioinaosnuoroda"/>
                <w:sz w:val="20"/>
              </w:rPr>
              <w:footnoteReference w:id="74"/>
            </w:r>
            <w:r w:rsidR="0A62F762" w:rsidRPr="01C07FEA">
              <w:rPr>
                <w:sz w:val="20"/>
              </w:rPr>
              <w:t xml:space="preserve"> ir randant kelius į didesnius mokslui imlaus verslo sektorius turinčių užsienio valstybių rinkas.</w:t>
            </w:r>
          </w:p>
          <w:p w14:paraId="791D5591" w14:textId="77777777" w:rsidR="008F1FDB" w:rsidRDefault="008F1FDB" w:rsidP="00644993">
            <w:pPr>
              <w:jc w:val="both"/>
              <w:rPr>
                <w:sz w:val="20"/>
              </w:rPr>
            </w:pPr>
          </w:p>
          <w:p w14:paraId="75689D13" w14:textId="691E685C" w:rsidR="00E94EC1" w:rsidRDefault="01C07FEA" w:rsidP="01C07FEA">
            <w:pPr>
              <w:jc w:val="both"/>
              <w:rPr>
                <w:sz w:val="20"/>
              </w:rPr>
            </w:pPr>
            <w:r w:rsidRPr="01C07FEA">
              <w:rPr>
                <w:sz w:val="20"/>
              </w:rPr>
              <w:t>Siekiamas pokytis: didėjančios Lietuvos MSI MTEP veiklos pajamos iš Lietuvos ir užsienio verslo subjektų.</w:t>
            </w:r>
          </w:p>
          <w:p w14:paraId="495ED66A" w14:textId="77777777" w:rsidR="00E94EC1" w:rsidRPr="00745F42" w:rsidRDefault="00E94EC1" w:rsidP="00E94EC1">
            <w:pPr>
              <w:jc w:val="both"/>
              <w:rPr>
                <w:sz w:val="20"/>
              </w:rPr>
            </w:pPr>
          </w:p>
          <w:p w14:paraId="04815C01" w14:textId="74250006" w:rsidR="00E94EC1"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 Lietuvos Respublikos ekonomikos ir inovacijų ministerija.</w:t>
            </w:r>
          </w:p>
          <w:p w14:paraId="4D897E55" w14:textId="77777777" w:rsidR="00552F6E" w:rsidRPr="00745F42" w:rsidRDefault="00552F6E" w:rsidP="00E94EC1">
            <w:pPr>
              <w:jc w:val="both"/>
              <w:rPr>
                <w:sz w:val="20"/>
              </w:rPr>
            </w:pPr>
          </w:p>
          <w:p w14:paraId="71B34862" w14:textId="77777777" w:rsidR="00E94EC1"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35F7CFEC" w14:textId="74F7ED14" w:rsidR="00D95B5B" w:rsidRDefault="00D95B5B" w:rsidP="00D95B5B">
            <w:pPr>
              <w:jc w:val="both"/>
              <w:rPr>
                <w:sz w:val="20"/>
              </w:rPr>
            </w:pPr>
            <w:r w:rsidRPr="001A6F34">
              <w:rPr>
                <w:sz w:val="20"/>
              </w:rPr>
              <w:t xml:space="preserve">Nagrinėjama problema aktuali Lietuvos Respublikos teritorijos bendrojo plano (toliau – LRBP) sprendiniui </w:t>
            </w:r>
            <w:r w:rsidR="00EF18CD" w:rsidRPr="001A6F34">
              <w:rPr>
                <w:sz w:val="20"/>
              </w:rPr>
              <w:t xml:space="preserve">„202. Vystant inovacijas ir mokslinius tyrimus, didinti įmonių inovacijų vykdymo </w:t>
            </w:r>
            <w:proofErr w:type="spellStart"/>
            <w:r w:rsidR="00EF18CD" w:rsidRPr="001A6F34">
              <w:rPr>
                <w:sz w:val="20"/>
              </w:rPr>
              <w:t>pajėgumus</w:t>
            </w:r>
            <w:proofErr w:type="spellEnd"/>
            <w:r w:rsidR="00EF18CD" w:rsidRPr="001A6F34">
              <w:rPr>
                <w:sz w:val="20"/>
              </w:rPr>
              <w:t xml:space="preserve">, kurti kompetencijų centrus, orientuotus į inovacijų vystymą, skatinti aukštojo mokslo institucijų ir įmonių bendradarbiavimą vykdant mokslinius tyrimus, eksperimentinę plėtrą ir inovacijas (toliau – MTEPI) ir </w:t>
            </w:r>
            <w:proofErr w:type="spellStart"/>
            <w:r w:rsidR="00EF18CD" w:rsidRPr="001A6F34">
              <w:rPr>
                <w:sz w:val="20"/>
              </w:rPr>
              <w:t>komercializuojant</w:t>
            </w:r>
            <w:proofErr w:type="spellEnd"/>
            <w:r w:rsidR="00EF18CD" w:rsidRPr="001A6F34">
              <w:rPr>
                <w:sz w:val="20"/>
              </w:rPr>
              <w:t xml:space="preserve"> sukurtus sprendimus“ ir </w:t>
            </w:r>
            <w:r w:rsidRPr="001A6F34">
              <w:rPr>
                <w:sz w:val="20"/>
              </w:rPr>
              <w:t>„202.2.3. Technologijų perdavimo, bendradarbiavimo su verslu gebėjimų stiprinimui“.</w:t>
            </w:r>
            <w:r w:rsidR="001A6F34" w:rsidRPr="001A6F34">
              <w:rPr>
                <w:rStyle w:val="Puslapioinaosnuoroda"/>
                <w:sz w:val="20"/>
              </w:rPr>
              <w:footnoteReference w:id="75"/>
            </w:r>
          </w:p>
          <w:p w14:paraId="05ECD662" w14:textId="77777777" w:rsidR="008921CE" w:rsidRPr="00745F42" w:rsidRDefault="008921CE" w:rsidP="008921CE">
            <w:pPr>
              <w:jc w:val="both"/>
              <w:rPr>
                <w:b/>
                <w:sz w:val="20"/>
              </w:rPr>
            </w:pPr>
          </w:p>
        </w:tc>
      </w:tr>
      <w:tr w:rsidR="008921CE" w:rsidRPr="00745F42" w14:paraId="7DEF35D1" w14:textId="77777777" w:rsidTr="01C07FEA">
        <w:trPr>
          <w:trHeight w:val="70"/>
        </w:trPr>
        <w:tc>
          <w:tcPr>
            <w:tcW w:w="13887" w:type="dxa"/>
            <w:shd w:val="clear" w:color="auto" w:fill="FFFFFF" w:themeFill="background1"/>
          </w:tcPr>
          <w:p w14:paraId="319537B2" w14:textId="77777777" w:rsidR="008921CE" w:rsidRPr="00745F42" w:rsidRDefault="01C07FEA" w:rsidP="01C07FEA">
            <w:pPr>
              <w:jc w:val="both"/>
              <w:rPr>
                <w:b/>
                <w:bCs/>
                <w:sz w:val="20"/>
              </w:rPr>
            </w:pPr>
            <w:r w:rsidRPr="01C07FEA">
              <w:rPr>
                <w:b/>
                <w:bCs/>
                <w:sz w:val="20"/>
              </w:rPr>
              <w:lastRenderedPageBreak/>
              <w:t>Problemos priežastys:</w:t>
            </w:r>
          </w:p>
          <w:p w14:paraId="44866EC5" w14:textId="77777777" w:rsidR="00644993" w:rsidRPr="00745F42" w:rsidRDefault="00644993" w:rsidP="008921CE">
            <w:pPr>
              <w:jc w:val="both"/>
              <w:rPr>
                <w:b/>
                <w:sz w:val="20"/>
              </w:rPr>
            </w:pPr>
          </w:p>
          <w:p w14:paraId="745463DD" w14:textId="4EEAEA90" w:rsidR="00644993" w:rsidRPr="009D0E43" w:rsidRDefault="01C07FEA" w:rsidP="01C07FEA">
            <w:pPr>
              <w:pStyle w:val="Sraopastraipa"/>
              <w:numPr>
                <w:ilvl w:val="1"/>
                <w:numId w:val="39"/>
              </w:numPr>
              <w:ind w:left="763"/>
              <w:jc w:val="both"/>
              <w:rPr>
                <w:sz w:val="20"/>
              </w:rPr>
            </w:pPr>
            <w:r w:rsidRPr="01C07FEA">
              <w:rPr>
                <w:sz w:val="20"/>
              </w:rPr>
              <w:t>Žinių ir technologijų perdavimo kompetencijų, specialistų ir veiklų stygius (įskaitant intelektinės nuosavybės klausimus)</w:t>
            </w:r>
          </w:p>
          <w:p w14:paraId="64880F7E" w14:textId="3E58E3D5" w:rsidR="008254A3" w:rsidRPr="00745F42" w:rsidRDefault="04852A70" w:rsidP="01C07FEA">
            <w:pPr>
              <w:jc w:val="both"/>
              <w:rPr>
                <w:sz w:val="20"/>
              </w:rPr>
            </w:pPr>
            <w:r w:rsidRPr="01C07FEA">
              <w:rPr>
                <w:sz w:val="20"/>
              </w:rPr>
              <w:t xml:space="preserve">Lietuvos MSI žinių ir technologijų perdavimo galimybės vertinant tarptautiniu mastu išlieka ribotos. Neišplėtoti struktūriniai žinių perdavimo, intelektinės nuosavybės valdymo, </w:t>
            </w:r>
            <w:proofErr w:type="spellStart"/>
            <w:r w:rsidRPr="01C07FEA">
              <w:rPr>
                <w:sz w:val="20"/>
              </w:rPr>
              <w:t>antreprenerystės</w:t>
            </w:r>
            <w:proofErr w:type="spellEnd"/>
            <w:r w:rsidRPr="01C07FEA">
              <w:rPr>
                <w:sz w:val="20"/>
              </w:rPr>
              <w:t xml:space="preserve"> kultūros diegimo </w:t>
            </w:r>
            <w:proofErr w:type="spellStart"/>
            <w:r w:rsidRPr="01C07FEA">
              <w:rPr>
                <w:sz w:val="20"/>
              </w:rPr>
              <w:t>pajėgu</w:t>
            </w:r>
            <w:r w:rsidR="21BB885C" w:rsidRPr="01C07FEA">
              <w:rPr>
                <w:sz w:val="20"/>
              </w:rPr>
              <w:t>mai</w:t>
            </w:r>
            <w:proofErr w:type="spellEnd"/>
            <w:r w:rsidR="21BB885C" w:rsidRPr="01C07FEA">
              <w:rPr>
                <w:sz w:val="20"/>
              </w:rPr>
              <w:t>, trūksta specialistų ir kom</w:t>
            </w:r>
            <w:r w:rsidRPr="01C07FEA">
              <w:rPr>
                <w:sz w:val="20"/>
              </w:rPr>
              <w:t>petencijų</w:t>
            </w:r>
            <w:r w:rsidR="008254A3" w:rsidRPr="01C07FEA">
              <w:rPr>
                <w:rStyle w:val="Puslapioinaosnuoroda"/>
                <w:sz w:val="20"/>
              </w:rPr>
              <w:footnoteReference w:id="76"/>
            </w:r>
            <w:r w:rsidRPr="01C07FEA">
              <w:rPr>
                <w:sz w:val="20"/>
              </w:rPr>
              <w:t xml:space="preserve"> </w:t>
            </w:r>
            <w:r w:rsidR="7ADAEFC0" w:rsidRPr="01C07FEA">
              <w:rPr>
                <w:sz w:val="20"/>
              </w:rPr>
              <w:t xml:space="preserve"> – pavyzdžiui, 2019 m. MSI </w:t>
            </w:r>
            <w:r w:rsidR="6957A0CC" w:rsidRPr="01C07FEA">
              <w:rPr>
                <w:sz w:val="20"/>
              </w:rPr>
              <w:t>už</w:t>
            </w:r>
            <w:r w:rsidR="7ADAEFC0" w:rsidRPr="01C07FEA">
              <w:rPr>
                <w:sz w:val="20"/>
              </w:rPr>
              <w:t xml:space="preserve"> patento ar patento paraiškos licencines sutartis uždirbo 0,62 mln. </w:t>
            </w:r>
            <w:proofErr w:type="spellStart"/>
            <w:r w:rsidR="7ADAEFC0" w:rsidRPr="01C07FEA">
              <w:rPr>
                <w:sz w:val="20"/>
              </w:rPr>
              <w:t>Eur</w:t>
            </w:r>
            <w:proofErr w:type="spellEnd"/>
            <w:r w:rsidR="7ADAEFC0" w:rsidRPr="01C07FEA">
              <w:rPr>
                <w:sz w:val="20"/>
              </w:rPr>
              <w:t>.</w:t>
            </w:r>
            <w:r w:rsidR="00DA2322" w:rsidRPr="01C07FEA">
              <w:rPr>
                <w:rStyle w:val="Puslapioinaosnuoroda"/>
                <w:sz w:val="20"/>
              </w:rPr>
              <w:footnoteReference w:id="77"/>
            </w:r>
            <w:r w:rsidRPr="01C07FEA">
              <w:rPr>
                <w:sz w:val="20"/>
              </w:rPr>
              <w:t>.</w:t>
            </w:r>
            <w:r w:rsidR="008254A3" w:rsidRPr="01C07FEA">
              <w:rPr>
                <w:rStyle w:val="Puslapioinaosnuoroda"/>
                <w:sz w:val="20"/>
              </w:rPr>
              <w:footnoteReference w:id="78"/>
            </w:r>
            <w:r w:rsidR="66182600" w:rsidRPr="01C07FEA">
              <w:rPr>
                <w:sz w:val="20"/>
              </w:rPr>
              <w:t xml:space="preserve"> MSI inovacijų ir technologijų centrams stinga demonstracinių erdvių komerciniam MSI MTEP potencialui potencialiems partneriams atskleisti. </w:t>
            </w:r>
            <w:r w:rsidR="66182600" w:rsidRPr="01C07FEA">
              <w:rPr>
                <w:sz w:val="20"/>
              </w:rPr>
              <w:lastRenderedPageBreak/>
              <w:t xml:space="preserve">MSI neturi resursų investuoti į </w:t>
            </w:r>
            <w:proofErr w:type="spellStart"/>
            <w:r w:rsidR="66182600" w:rsidRPr="01C07FEA">
              <w:rPr>
                <w:sz w:val="20"/>
              </w:rPr>
              <w:t>prototipavimo</w:t>
            </w:r>
            <w:proofErr w:type="spellEnd"/>
            <w:r w:rsidR="66182600" w:rsidRPr="01C07FEA">
              <w:rPr>
                <w:sz w:val="20"/>
              </w:rPr>
              <w:t xml:space="preserve"> </w:t>
            </w:r>
            <w:r w:rsidR="41808087" w:rsidRPr="01C07FEA">
              <w:rPr>
                <w:sz w:val="20"/>
              </w:rPr>
              <w:t xml:space="preserve">įrangą, </w:t>
            </w:r>
            <w:r w:rsidR="66182600" w:rsidRPr="01C07FEA">
              <w:rPr>
                <w:sz w:val="20"/>
              </w:rPr>
              <w:t xml:space="preserve">paslaugas (79 proc. tyrėjų tai įvardija kaip vieną esminių MTEP </w:t>
            </w:r>
            <w:proofErr w:type="spellStart"/>
            <w:r w:rsidR="66182600" w:rsidRPr="01C07FEA">
              <w:rPr>
                <w:sz w:val="20"/>
              </w:rPr>
              <w:t>komercinimo</w:t>
            </w:r>
            <w:proofErr w:type="spellEnd"/>
            <w:r w:rsidR="66182600" w:rsidRPr="01C07FEA">
              <w:rPr>
                <w:sz w:val="20"/>
              </w:rPr>
              <w:t xml:space="preserve"> trukdžių)</w:t>
            </w:r>
            <w:r w:rsidR="00B862A1" w:rsidRPr="01C07FEA">
              <w:rPr>
                <w:rStyle w:val="Puslapioinaosnuoroda"/>
                <w:sz w:val="20"/>
              </w:rPr>
              <w:footnoteReference w:id="79"/>
            </w:r>
            <w:r w:rsidR="66182600" w:rsidRPr="01C07FEA">
              <w:rPr>
                <w:sz w:val="20"/>
              </w:rPr>
              <w:t xml:space="preserve"> ir jų kokybę, MTEP rezultatų bandymų erdves. Komerciniam MTEP potencialui nustatyti</w:t>
            </w:r>
            <w:r w:rsidR="00697D95" w:rsidRPr="01C07FEA">
              <w:rPr>
                <w:sz w:val="20"/>
              </w:rPr>
              <w:t>, o taip pat jį potencialiems partneriams atskleisti,</w:t>
            </w:r>
            <w:r w:rsidR="66182600" w:rsidRPr="01C07FEA">
              <w:rPr>
                <w:sz w:val="20"/>
              </w:rPr>
              <w:t xml:space="preserve"> stinga MSI atliekamų galimybių studijų, rinkos analizių, inovacijų skautų.</w:t>
            </w:r>
            <w:r w:rsidR="00B862A1" w:rsidRPr="01C07FEA">
              <w:rPr>
                <w:rStyle w:val="Puslapioinaosnuoroda"/>
                <w:sz w:val="20"/>
              </w:rPr>
              <w:footnoteReference w:id="80"/>
            </w:r>
          </w:p>
          <w:p w14:paraId="52C73881" w14:textId="77777777" w:rsidR="00E44D61" w:rsidRPr="00745F42" w:rsidRDefault="00E44D61" w:rsidP="000F07FC">
            <w:pPr>
              <w:jc w:val="both"/>
              <w:rPr>
                <w:sz w:val="20"/>
              </w:rPr>
            </w:pPr>
          </w:p>
          <w:p w14:paraId="3FCF7DA3" w14:textId="5CD081B6" w:rsidR="0038313A" w:rsidRPr="009D0E43" w:rsidRDefault="01C07FEA" w:rsidP="01C07FEA">
            <w:pPr>
              <w:pStyle w:val="Sraopastraipa"/>
              <w:numPr>
                <w:ilvl w:val="1"/>
                <w:numId w:val="39"/>
              </w:numPr>
              <w:ind w:left="763"/>
              <w:jc w:val="both"/>
              <w:rPr>
                <w:sz w:val="20"/>
              </w:rPr>
            </w:pPr>
            <w:r w:rsidRPr="01C07FEA">
              <w:rPr>
                <w:sz w:val="20"/>
              </w:rPr>
              <w:t>Menkai išreikštas valstybės institucijų poreikis MTEP paslaugoms</w:t>
            </w:r>
          </w:p>
          <w:p w14:paraId="0B3C276F" w14:textId="4422BA51" w:rsidR="004046F1" w:rsidRDefault="01C07FEA" w:rsidP="01C07FEA">
            <w:pPr>
              <w:jc w:val="both"/>
              <w:rPr>
                <w:sz w:val="20"/>
              </w:rPr>
            </w:pPr>
            <w:r w:rsidRPr="01C07FEA">
              <w:rPr>
                <w:sz w:val="20"/>
              </w:rPr>
              <w:t xml:space="preserve">Žr. pagrindimą prie 1 problemos 2 punkto. Pažymėtina, kad ir Europos mokslinių tyrimų erdvės kaip vieną tikslų minimą geresnį žinių ir technologijų judėjimą, MTEP rezultatų </w:t>
            </w:r>
            <w:proofErr w:type="spellStart"/>
            <w:r w:rsidRPr="01C07FEA">
              <w:rPr>
                <w:sz w:val="20"/>
              </w:rPr>
              <w:t>įveiklinimą</w:t>
            </w:r>
            <w:proofErr w:type="spellEnd"/>
            <w:r w:rsidRPr="01C07FEA">
              <w:rPr>
                <w:sz w:val="20"/>
              </w:rPr>
              <w:t xml:space="preserve"> riboja kol kas dar ribotas politiką formuojančių valstybės institucijų supratimas apie MTEP rezultatų vertę ir panaudojimo potencialą.</w:t>
            </w:r>
          </w:p>
          <w:p w14:paraId="03528DFF" w14:textId="77777777" w:rsidR="002E54E3" w:rsidRPr="00745F42" w:rsidRDefault="002E54E3" w:rsidP="004046F1">
            <w:pPr>
              <w:jc w:val="both"/>
              <w:rPr>
                <w:sz w:val="20"/>
              </w:rPr>
            </w:pPr>
          </w:p>
          <w:p w14:paraId="1DC19495" w14:textId="7F411F36" w:rsidR="00644993" w:rsidRPr="009D0E43" w:rsidRDefault="01C07FEA" w:rsidP="01C07FEA">
            <w:pPr>
              <w:pStyle w:val="Sraopastraipa"/>
              <w:numPr>
                <w:ilvl w:val="1"/>
                <w:numId w:val="39"/>
              </w:numPr>
              <w:ind w:left="763"/>
              <w:jc w:val="both"/>
              <w:rPr>
                <w:sz w:val="20"/>
              </w:rPr>
            </w:pPr>
            <w:r w:rsidRPr="01C07FEA">
              <w:rPr>
                <w:sz w:val="20"/>
              </w:rPr>
              <w:t>Menkas konkursinio MTEP finansavimo prieinamumas ir tvarumas</w:t>
            </w:r>
          </w:p>
          <w:p w14:paraId="616A39F7" w14:textId="3044B193" w:rsidR="00DF4B2C" w:rsidRDefault="01C07FEA" w:rsidP="01C07FEA">
            <w:pPr>
              <w:jc w:val="both"/>
              <w:rPr>
                <w:sz w:val="20"/>
              </w:rPr>
            </w:pPr>
            <w:r w:rsidRPr="01C07FEA">
              <w:rPr>
                <w:sz w:val="20"/>
              </w:rPr>
              <w:t xml:space="preserve">Žr. pagrindimą prie 2 problemos 3 punkto. Fragmentuotas MTEP konkursinis finansavimas apsunkina viso MTEP ciklo vystymą – nuo idėjos iki jos </w:t>
            </w:r>
            <w:proofErr w:type="spellStart"/>
            <w:r w:rsidRPr="01C07FEA">
              <w:rPr>
                <w:sz w:val="20"/>
              </w:rPr>
              <w:t>komercializavimo</w:t>
            </w:r>
            <w:proofErr w:type="spellEnd"/>
            <w:r w:rsidRPr="01C07FEA">
              <w:rPr>
                <w:sz w:val="20"/>
              </w:rPr>
              <w:t xml:space="preserve">, stinga bendrus </w:t>
            </w:r>
            <w:proofErr w:type="spellStart"/>
            <w:r w:rsidRPr="01C07FEA">
              <w:rPr>
                <w:sz w:val="20"/>
              </w:rPr>
              <w:t>tarpsektorinius</w:t>
            </w:r>
            <w:proofErr w:type="spellEnd"/>
            <w:r w:rsidRPr="01C07FEA">
              <w:rPr>
                <w:sz w:val="20"/>
              </w:rPr>
              <w:t xml:space="preserve"> projektus, mokslo ir studijų institucijų ir ūkio subjektų bendradarbiavimą skatinančių kompleksinių MTEP priemonių.</w:t>
            </w:r>
          </w:p>
          <w:p w14:paraId="24D79284" w14:textId="77777777" w:rsidR="002E54E3" w:rsidRPr="00745F42" w:rsidRDefault="002E54E3" w:rsidP="00DF4B2C">
            <w:pPr>
              <w:jc w:val="both"/>
              <w:rPr>
                <w:sz w:val="20"/>
              </w:rPr>
            </w:pPr>
          </w:p>
          <w:p w14:paraId="6F8A8395" w14:textId="5FAD1099" w:rsidR="00F85426" w:rsidRPr="009D0E43" w:rsidRDefault="01C07FEA" w:rsidP="01C07FEA">
            <w:pPr>
              <w:pStyle w:val="Sraopastraipa"/>
              <w:numPr>
                <w:ilvl w:val="1"/>
                <w:numId w:val="39"/>
              </w:numPr>
              <w:ind w:left="763"/>
              <w:jc w:val="both"/>
              <w:rPr>
                <w:sz w:val="20"/>
              </w:rPr>
            </w:pPr>
            <w:r w:rsidRPr="01C07FEA">
              <w:rPr>
                <w:sz w:val="20"/>
              </w:rPr>
              <w:t>Mokslo veiklų bazinis finansavimas išlieka itin mažas, kai studijų veiklų finansavimas artimas ES vidurkiui</w:t>
            </w:r>
          </w:p>
          <w:p w14:paraId="2FE6D5C1" w14:textId="32A24107" w:rsidR="00F85426" w:rsidRDefault="01C07FEA" w:rsidP="01C07FEA">
            <w:pPr>
              <w:jc w:val="both"/>
              <w:rPr>
                <w:sz w:val="20"/>
              </w:rPr>
            </w:pPr>
            <w:r w:rsidRPr="01C07FEA">
              <w:rPr>
                <w:sz w:val="20"/>
              </w:rPr>
              <w:t>Žr. pagrindimą prie 1 problemos 1 punkto bei 2 problemos 1 punkto.</w:t>
            </w:r>
          </w:p>
          <w:p w14:paraId="710F376D" w14:textId="77777777" w:rsidR="00F85426" w:rsidRPr="00745F42" w:rsidRDefault="00F85426" w:rsidP="00F85426">
            <w:pPr>
              <w:jc w:val="both"/>
              <w:rPr>
                <w:sz w:val="20"/>
              </w:rPr>
            </w:pPr>
          </w:p>
          <w:p w14:paraId="433E9D22" w14:textId="4D3E6C53" w:rsidR="004046F1" w:rsidRPr="009D0E43" w:rsidRDefault="01C07FEA" w:rsidP="01C07FEA">
            <w:pPr>
              <w:pStyle w:val="Sraopastraipa"/>
              <w:numPr>
                <w:ilvl w:val="1"/>
                <w:numId w:val="39"/>
              </w:numPr>
              <w:ind w:left="763"/>
              <w:jc w:val="both"/>
              <w:rPr>
                <w:sz w:val="20"/>
              </w:rPr>
            </w:pPr>
            <w:r w:rsidRPr="01C07FEA">
              <w:rPr>
                <w:sz w:val="20"/>
              </w:rPr>
              <w:t xml:space="preserve">Neišplėtoti Lietuvos ir MSI instituciniai partnerių paieškos </w:t>
            </w:r>
            <w:proofErr w:type="spellStart"/>
            <w:r w:rsidRPr="01C07FEA">
              <w:rPr>
                <w:sz w:val="20"/>
              </w:rPr>
              <w:t>pajėgumai</w:t>
            </w:r>
            <w:proofErr w:type="spellEnd"/>
            <w:r w:rsidRPr="01C07FEA">
              <w:rPr>
                <w:sz w:val="20"/>
              </w:rPr>
              <w:t xml:space="preserve"> užsienio valstybėse siekiant atverti mokslo rinkas</w:t>
            </w:r>
          </w:p>
          <w:p w14:paraId="541F0A7A" w14:textId="59D29D50" w:rsidR="00B84DB2" w:rsidRPr="00585D6F" w:rsidRDefault="4B70F247" w:rsidP="01C07FEA">
            <w:pPr>
              <w:jc w:val="both"/>
              <w:rPr>
                <w:sz w:val="20"/>
              </w:rPr>
            </w:pPr>
            <w:r w:rsidRPr="01C07FEA">
              <w:rPr>
                <w:sz w:val="20"/>
              </w:rPr>
              <w:t>Žr. pagrindimą prie 1</w:t>
            </w:r>
            <w:r w:rsidR="282622A4" w:rsidRPr="01C07FEA">
              <w:rPr>
                <w:sz w:val="20"/>
              </w:rPr>
              <w:t xml:space="preserve"> problemos</w:t>
            </w:r>
            <w:r w:rsidRPr="01C07FEA">
              <w:rPr>
                <w:sz w:val="20"/>
              </w:rPr>
              <w:t xml:space="preserve"> </w:t>
            </w:r>
            <w:r w:rsidR="00320F4E" w:rsidRPr="01C07FEA">
              <w:rPr>
                <w:sz w:val="20"/>
              </w:rPr>
              <w:t>7</w:t>
            </w:r>
            <w:r w:rsidRPr="01C07FEA">
              <w:rPr>
                <w:sz w:val="20"/>
              </w:rPr>
              <w:t xml:space="preserve"> punkto. </w:t>
            </w:r>
            <w:r w:rsidR="3D3C122E" w:rsidRPr="01C07FEA">
              <w:rPr>
                <w:sz w:val="20"/>
              </w:rPr>
              <w:t xml:space="preserve">Jei Lietuvos tyrėjų bendradarbiaujančių su </w:t>
            </w:r>
            <w:r w:rsidR="2F12A293" w:rsidRPr="01C07FEA">
              <w:rPr>
                <w:sz w:val="20"/>
              </w:rPr>
              <w:t xml:space="preserve">neakademinėmis institucijomis (privačiu sektoriumi, valstybės institucijomis) įsikūrusiomis Lietuvoje dalis artima ES vidurkiui, tai MSI integracija į užsienio rinkas – ribota: </w:t>
            </w:r>
            <w:r w:rsidR="797608B5" w:rsidRPr="01C07FEA">
              <w:rPr>
                <w:sz w:val="20"/>
              </w:rPr>
              <w:t xml:space="preserve">atitinkamai penktadaliu ir </w:t>
            </w:r>
            <w:r w:rsidR="2F12A293" w:rsidRPr="01C07FEA">
              <w:rPr>
                <w:sz w:val="20"/>
              </w:rPr>
              <w:t>trečdaliu nuo ES valstybių narių atsiliekama pagal bendradarbiavimo su ekonominiais partneriais iš kitų ES</w:t>
            </w:r>
            <w:r w:rsidR="797608B5" w:rsidRPr="01C07FEA">
              <w:rPr>
                <w:sz w:val="20"/>
              </w:rPr>
              <w:t xml:space="preserve"> valstybių narių ir</w:t>
            </w:r>
            <w:r w:rsidR="2F12A293" w:rsidRPr="01C07FEA">
              <w:rPr>
                <w:sz w:val="20"/>
              </w:rPr>
              <w:t xml:space="preserve"> pagal partnerysčių iš trečiųjų šalių, ne ES</w:t>
            </w:r>
            <w:r w:rsidR="1AF059CE" w:rsidRPr="01C07FEA">
              <w:rPr>
                <w:sz w:val="20"/>
              </w:rPr>
              <w:t xml:space="preserve"> valstybių,</w:t>
            </w:r>
            <w:r w:rsidR="2F12A293" w:rsidRPr="01C07FEA">
              <w:rPr>
                <w:sz w:val="20"/>
              </w:rPr>
              <w:t xml:space="preserve"> dalį.</w:t>
            </w:r>
            <w:r w:rsidR="00B84DB2" w:rsidRPr="01C07FEA">
              <w:rPr>
                <w:rStyle w:val="Puslapioinaosnuoroda"/>
                <w:sz w:val="20"/>
              </w:rPr>
              <w:footnoteReference w:id="81"/>
            </w:r>
          </w:p>
          <w:p w14:paraId="237BB7FB" w14:textId="77777777" w:rsidR="00160391" w:rsidRPr="00585D6F" w:rsidRDefault="00160391" w:rsidP="00160391">
            <w:pPr>
              <w:jc w:val="both"/>
              <w:rPr>
                <w:sz w:val="20"/>
              </w:rPr>
            </w:pPr>
          </w:p>
          <w:p w14:paraId="5C4DDCAB" w14:textId="1D0B7193" w:rsidR="003855CD" w:rsidRPr="009D0E43" w:rsidRDefault="01C07FEA" w:rsidP="01C07FEA">
            <w:pPr>
              <w:pStyle w:val="Sraopastraipa"/>
              <w:numPr>
                <w:ilvl w:val="1"/>
                <w:numId w:val="39"/>
              </w:numPr>
              <w:ind w:left="763"/>
              <w:jc w:val="both"/>
              <w:rPr>
                <w:sz w:val="20"/>
              </w:rPr>
            </w:pPr>
            <w:r w:rsidRPr="01C07FEA">
              <w:rPr>
                <w:sz w:val="20"/>
              </w:rPr>
              <w:t xml:space="preserve">Ribota </w:t>
            </w:r>
            <w:proofErr w:type="spellStart"/>
            <w:r w:rsidRPr="01C07FEA">
              <w:rPr>
                <w:sz w:val="20"/>
              </w:rPr>
              <w:t>antreprenerystės</w:t>
            </w:r>
            <w:proofErr w:type="spellEnd"/>
            <w:r w:rsidRPr="01C07FEA">
              <w:rPr>
                <w:sz w:val="20"/>
              </w:rPr>
              <w:t xml:space="preserve"> kompetencijų, horizontaliųjų įgūdžių (angl. </w:t>
            </w:r>
            <w:proofErr w:type="spellStart"/>
            <w:r w:rsidRPr="01C07FEA">
              <w:rPr>
                <w:i/>
                <w:iCs/>
                <w:sz w:val="20"/>
              </w:rPr>
              <w:t>transversal</w:t>
            </w:r>
            <w:proofErr w:type="spellEnd"/>
            <w:r w:rsidRPr="01C07FEA">
              <w:rPr>
                <w:i/>
                <w:iCs/>
                <w:sz w:val="20"/>
              </w:rPr>
              <w:t xml:space="preserve"> </w:t>
            </w:r>
            <w:proofErr w:type="spellStart"/>
            <w:r w:rsidRPr="01C07FEA">
              <w:rPr>
                <w:i/>
                <w:iCs/>
                <w:sz w:val="20"/>
              </w:rPr>
              <w:t>skills</w:t>
            </w:r>
            <w:proofErr w:type="spellEnd"/>
            <w:r w:rsidRPr="01C07FEA">
              <w:rPr>
                <w:sz w:val="20"/>
              </w:rPr>
              <w:t>) ugdymo integracija į studentų, tyrėjų rengimo procesą</w:t>
            </w:r>
          </w:p>
          <w:p w14:paraId="321766B6" w14:textId="2BA5C3B4" w:rsidR="00076C7B" w:rsidRPr="00745F42" w:rsidRDefault="4FF5DE8B" w:rsidP="01C07FEA">
            <w:pPr>
              <w:jc w:val="both"/>
              <w:rPr>
                <w:sz w:val="20"/>
              </w:rPr>
            </w:pPr>
            <w:proofErr w:type="spellStart"/>
            <w:r w:rsidRPr="01C07FEA">
              <w:rPr>
                <w:sz w:val="20"/>
              </w:rPr>
              <w:t>Antreprenerystės</w:t>
            </w:r>
            <w:proofErr w:type="spellEnd"/>
            <w:r w:rsidRPr="01C07FEA">
              <w:rPr>
                <w:sz w:val="20"/>
              </w:rPr>
              <w:t xml:space="preserve"> kompetencijų ugdymas nėra horizontaliai integruotas į studijų</w:t>
            </w:r>
            <w:r w:rsidR="2A47B96D" w:rsidRPr="01C07FEA">
              <w:rPr>
                <w:sz w:val="20"/>
              </w:rPr>
              <w:t>, tyrėjų rengimo programas</w:t>
            </w:r>
            <w:r w:rsidRPr="01C07FEA">
              <w:rPr>
                <w:sz w:val="20"/>
              </w:rPr>
              <w:t xml:space="preserve">. </w:t>
            </w:r>
            <w:r w:rsidR="59A2662D" w:rsidRPr="01C07FEA">
              <w:rPr>
                <w:sz w:val="20"/>
              </w:rPr>
              <w:t xml:space="preserve">Vangiai plėtojamos ir pramoninės doktorantūros studijos. </w:t>
            </w:r>
            <w:r w:rsidR="49FAB4E0" w:rsidRPr="01C07FEA">
              <w:rPr>
                <w:sz w:val="20"/>
              </w:rPr>
              <w:t xml:space="preserve">Stinga MSI rengiamų </w:t>
            </w:r>
            <w:proofErr w:type="spellStart"/>
            <w:r w:rsidR="49FAB4E0" w:rsidRPr="01C07FEA">
              <w:rPr>
                <w:sz w:val="20"/>
              </w:rPr>
              <w:t>hakatonų</w:t>
            </w:r>
            <w:proofErr w:type="spellEnd"/>
            <w:r w:rsidR="49FAB4E0" w:rsidRPr="01C07FEA">
              <w:rPr>
                <w:sz w:val="20"/>
              </w:rPr>
              <w:t>, studentų idėjų turnyrų, kūrybinių dirbtuvių</w:t>
            </w:r>
            <w:r w:rsidR="13437E4D" w:rsidRPr="01C07FEA">
              <w:rPr>
                <w:sz w:val="20"/>
              </w:rPr>
              <w:t xml:space="preserve"> ir pan.</w:t>
            </w:r>
            <w:r w:rsidR="49FAB4E0" w:rsidRPr="01C07FEA">
              <w:rPr>
                <w:sz w:val="20"/>
              </w:rPr>
              <w:t xml:space="preserve">. </w:t>
            </w:r>
            <w:r w:rsidR="075379AA" w:rsidRPr="01C07FEA">
              <w:rPr>
                <w:sz w:val="20"/>
              </w:rPr>
              <w:t>Nors gerokai daugiau</w:t>
            </w:r>
            <w:r w:rsidR="2A47B96D" w:rsidRPr="01C07FEA">
              <w:rPr>
                <w:sz w:val="20"/>
              </w:rPr>
              <w:t xml:space="preserve"> </w:t>
            </w:r>
            <w:r w:rsidR="075379AA" w:rsidRPr="01C07FEA">
              <w:rPr>
                <w:sz w:val="20"/>
              </w:rPr>
              <w:t xml:space="preserve">Lietuvos </w:t>
            </w:r>
            <w:r w:rsidR="2A47B96D" w:rsidRPr="01C07FEA">
              <w:rPr>
                <w:sz w:val="20"/>
              </w:rPr>
              <w:t xml:space="preserve">doktorantūros studentų </w:t>
            </w:r>
            <w:r w:rsidR="075379AA" w:rsidRPr="01C07FEA">
              <w:rPr>
                <w:sz w:val="20"/>
              </w:rPr>
              <w:t xml:space="preserve">nei įprasta ES mano, kad </w:t>
            </w:r>
            <w:proofErr w:type="spellStart"/>
            <w:r w:rsidR="2A47B96D" w:rsidRPr="01C07FEA">
              <w:rPr>
                <w:sz w:val="20"/>
              </w:rPr>
              <w:t>antreprenerystės</w:t>
            </w:r>
            <w:proofErr w:type="spellEnd"/>
            <w:r w:rsidR="2A47B96D" w:rsidRPr="01C07FEA">
              <w:rPr>
                <w:sz w:val="20"/>
              </w:rPr>
              <w:t xml:space="preserve"> ir kitų kompetencijų reikalingų versle ugdymas yra svarbi tyrėjo rengimo proceso dedamoji (atitinkamai </w:t>
            </w:r>
            <w:r w:rsidR="075379AA" w:rsidRPr="01C07FEA">
              <w:rPr>
                <w:sz w:val="20"/>
              </w:rPr>
              <w:t>89,9</w:t>
            </w:r>
            <w:r w:rsidR="2A47B96D" w:rsidRPr="01C07FEA">
              <w:rPr>
                <w:sz w:val="20"/>
              </w:rPr>
              <w:t xml:space="preserve"> proc. ir </w:t>
            </w:r>
            <w:r w:rsidR="075379AA" w:rsidRPr="01C07FEA">
              <w:rPr>
                <w:sz w:val="20"/>
              </w:rPr>
              <w:t>65 proc.</w:t>
            </w:r>
            <w:r w:rsidR="2A47B96D" w:rsidRPr="01C07FEA">
              <w:rPr>
                <w:sz w:val="20"/>
              </w:rPr>
              <w:t>)</w:t>
            </w:r>
            <w:r w:rsidR="075379AA" w:rsidRPr="01C07FEA">
              <w:rPr>
                <w:sz w:val="20"/>
              </w:rPr>
              <w:t>, tik 45 proc. doktorantūros studentų sutinka, kad tokius įgūdžius įgijo savo studijų metu.</w:t>
            </w:r>
            <w:r w:rsidR="6D34C508" w:rsidRPr="01C07FEA">
              <w:rPr>
                <w:sz w:val="20"/>
              </w:rPr>
              <w:t xml:space="preserve"> Taip pat mažiau nei įprasta ES Lietuvo</w:t>
            </w:r>
            <w:r w:rsidR="6DA456EB" w:rsidRPr="01C07FEA">
              <w:rPr>
                <w:sz w:val="20"/>
              </w:rPr>
              <w:t>s</w:t>
            </w:r>
            <w:r w:rsidR="6D34C508" w:rsidRPr="01C07FEA">
              <w:rPr>
                <w:sz w:val="20"/>
              </w:rPr>
              <w:t xml:space="preserve"> MSI atsižv</w:t>
            </w:r>
            <w:r w:rsidR="6DA456EB" w:rsidRPr="01C07FEA">
              <w:rPr>
                <w:sz w:val="20"/>
              </w:rPr>
              <w:t>e</w:t>
            </w:r>
            <w:r w:rsidR="6D34C508" w:rsidRPr="01C07FEA">
              <w:rPr>
                <w:sz w:val="20"/>
              </w:rPr>
              <w:t xml:space="preserve">lgia į naujai priimamo tyrėjo </w:t>
            </w:r>
            <w:proofErr w:type="spellStart"/>
            <w:r w:rsidR="6D34C508" w:rsidRPr="01C07FEA">
              <w:rPr>
                <w:sz w:val="20"/>
              </w:rPr>
              <w:t>antreprenerystės</w:t>
            </w:r>
            <w:proofErr w:type="spellEnd"/>
            <w:r w:rsidR="6D34C508" w:rsidRPr="01C07FEA">
              <w:rPr>
                <w:sz w:val="20"/>
              </w:rPr>
              <w:t xml:space="preserve"> kompetencijas, jos turi menkesnę įtaką ir tyrėjo karjeros dinamikai Lietuvos MSI.</w:t>
            </w:r>
            <w:r w:rsidR="000E4DDC" w:rsidRPr="01C07FEA">
              <w:rPr>
                <w:rStyle w:val="Puslapioinaosnuoroda"/>
                <w:sz w:val="20"/>
              </w:rPr>
              <w:footnoteReference w:id="82"/>
            </w:r>
            <w:r w:rsidR="59A2662D" w:rsidRPr="01C07FEA">
              <w:rPr>
                <w:sz w:val="20"/>
              </w:rPr>
              <w:t xml:space="preserve"> </w:t>
            </w:r>
            <w:r w:rsidR="6D34C508" w:rsidRPr="01C07FEA">
              <w:rPr>
                <w:sz w:val="20"/>
              </w:rPr>
              <w:t>Visa t</w:t>
            </w:r>
            <w:r w:rsidR="59A2662D" w:rsidRPr="01C07FEA">
              <w:rPr>
                <w:sz w:val="20"/>
              </w:rPr>
              <w:t xml:space="preserve">ai lemia, kad perspektyvių </w:t>
            </w:r>
            <w:r w:rsidR="6D34C508" w:rsidRPr="01C07FEA">
              <w:rPr>
                <w:sz w:val="20"/>
              </w:rPr>
              <w:t xml:space="preserve">Lietuvos </w:t>
            </w:r>
            <w:r w:rsidR="59A2662D" w:rsidRPr="01C07FEA">
              <w:rPr>
                <w:sz w:val="20"/>
              </w:rPr>
              <w:t xml:space="preserve">MSI gimstančių idėjų ir </w:t>
            </w:r>
            <w:proofErr w:type="spellStart"/>
            <w:r w:rsidR="59A2662D" w:rsidRPr="01C07FEA">
              <w:rPr>
                <w:sz w:val="20"/>
              </w:rPr>
              <w:t>atžalinių</w:t>
            </w:r>
            <w:proofErr w:type="spellEnd"/>
            <w:r w:rsidR="59A2662D" w:rsidRPr="01C07FEA">
              <w:rPr>
                <w:sz w:val="20"/>
              </w:rPr>
              <w:t xml:space="preserve"> įmonių srautas yra pernelyg mažas</w:t>
            </w:r>
            <w:r w:rsidR="49FAB4E0" w:rsidRPr="01C07FEA">
              <w:rPr>
                <w:sz w:val="20"/>
              </w:rPr>
              <w:t>, tad</w:t>
            </w:r>
            <w:r w:rsidR="59A2662D" w:rsidRPr="01C07FEA">
              <w:rPr>
                <w:sz w:val="20"/>
              </w:rPr>
              <w:t xml:space="preserve"> MSI kuriamų žinių potencialas</w:t>
            </w:r>
            <w:r w:rsidR="49FAB4E0" w:rsidRPr="01C07FEA">
              <w:rPr>
                <w:sz w:val="20"/>
              </w:rPr>
              <w:t xml:space="preserve"> neišnaudojamas</w:t>
            </w:r>
            <w:r w:rsidR="59A2662D" w:rsidRPr="01C07FEA">
              <w:rPr>
                <w:sz w:val="20"/>
              </w:rPr>
              <w:t>.</w:t>
            </w:r>
            <w:r w:rsidR="00EB2C78" w:rsidRPr="01C07FEA">
              <w:rPr>
                <w:rStyle w:val="Puslapioinaosnuoroda"/>
                <w:sz w:val="20"/>
              </w:rPr>
              <w:footnoteReference w:id="83"/>
            </w:r>
          </w:p>
          <w:p w14:paraId="46CC1EBF" w14:textId="77777777" w:rsidR="000E4DDC" w:rsidRPr="00745F42" w:rsidRDefault="000E4DDC" w:rsidP="00916AE4">
            <w:pPr>
              <w:jc w:val="both"/>
              <w:rPr>
                <w:sz w:val="20"/>
              </w:rPr>
            </w:pPr>
          </w:p>
          <w:p w14:paraId="1FC45BEE" w14:textId="07D64BCB" w:rsidR="00271224" w:rsidRPr="009D0E43" w:rsidRDefault="01C07FEA" w:rsidP="01C07FEA">
            <w:pPr>
              <w:pStyle w:val="Sraopastraipa"/>
              <w:numPr>
                <w:ilvl w:val="1"/>
                <w:numId w:val="39"/>
              </w:numPr>
              <w:ind w:left="763"/>
              <w:jc w:val="both"/>
              <w:rPr>
                <w:sz w:val="20"/>
              </w:rPr>
            </w:pPr>
            <w:r w:rsidRPr="01C07FEA">
              <w:rPr>
                <w:sz w:val="20"/>
              </w:rPr>
              <w:t xml:space="preserve">Neišnaudojamos bendradarbiavimo, įsijungimo į nacionalinius ar tarptautinius MSI </w:t>
            </w:r>
            <w:proofErr w:type="spellStart"/>
            <w:r w:rsidRPr="01C07FEA">
              <w:rPr>
                <w:sz w:val="20"/>
              </w:rPr>
              <w:t>antreprenerystės</w:t>
            </w:r>
            <w:proofErr w:type="spellEnd"/>
            <w:r w:rsidRPr="01C07FEA">
              <w:rPr>
                <w:sz w:val="20"/>
              </w:rPr>
              <w:t xml:space="preserve"> tinklus, struktūras teikiamos galimybės</w:t>
            </w:r>
          </w:p>
          <w:p w14:paraId="4B078B6F" w14:textId="69595938" w:rsidR="009538A0" w:rsidRPr="00745F42" w:rsidRDefault="09869C2D" w:rsidP="01C07FEA">
            <w:pPr>
              <w:jc w:val="both"/>
              <w:rPr>
                <w:sz w:val="20"/>
              </w:rPr>
            </w:pPr>
            <w:r w:rsidRPr="01C07FEA">
              <w:rPr>
                <w:sz w:val="20"/>
              </w:rPr>
              <w:lastRenderedPageBreak/>
              <w:t>Žr. pagrindimą prie 2 problemos 5 punkto.</w:t>
            </w:r>
            <w:r w:rsidR="49FAB4E0" w:rsidRPr="01C07FEA">
              <w:rPr>
                <w:sz w:val="20"/>
              </w:rPr>
              <w:t xml:space="preserve"> </w:t>
            </w:r>
            <w:r w:rsidR="4509B75A" w:rsidRPr="01C07FEA">
              <w:rPr>
                <w:sz w:val="20"/>
              </w:rPr>
              <w:t xml:space="preserve">Stinga ne tik aktyvesnio įsitraukimo į tarptautinius tinklus, bet ribotai išnaudojamas ir šalyje esančių </w:t>
            </w:r>
            <w:r w:rsidR="3727E11C" w:rsidRPr="01C07FEA">
              <w:rPr>
                <w:sz w:val="20"/>
              </w:rPr>
              <w:t xml:space="preserve">skirtingų </w:t>
            </w:r>
            <w:r w:rsidR="4509B75A" w:rsidRPr="01C07FEA">
              <w:rPr>
                <w:sz w:val="20"/>
              </w:rPr>
              <w:t>MSI tinklas sinergijai siekti</w:t>
            </w:r>
            <w:r w:rsidR="3727E11C" w:rsidRPr="01C07FEA">
              <w:rPr>
                <w:sz w:val="20"/>
              </w:rPr>
              <w:t xml:space="preserve">, efektyviau išnaudoti turimus MTEP </w:t>
            </w:r>
            <w:proofErr w:type="spellStart"/>
            <w:r w:rsidR="3727E11C" w:rsidRPr="01C07FEA">
              <w:rPr>
                <w:sz w:val="20"/>
              </w:rPr>
              <w:t>pajėgumus</w:t>
            </w:r>
            <w:proofErr w:type="spellEnd"/>
            <w:r w:rsidR="4509B75A" w:rsidRPr="01C07FEA">
              <w:rPr>
                <w:sz w:val="20"/>
              </w:rPr>
              <w:t xml:space="preserve">. </w:t>
            </w:r>
            <w:r w:rsidR="55003B1E" w:rsidRPr="01C07FEA">
              <w:rPr>
                <w:sz w:val="20"/>
              </w:rPr>
              <w:t>Trūkst</w:t>
            </w:r>
            <w:r w:rsidR="3727E11C" w:rsidRPr="01C07FEA">
              <w:rPr>
                <w:sz w:val="20"/>
              </w:rPr>
              <w:t xml:space="preserve">a paskatų gilinti MSI </w:t>
            </w:r>
            <w:r w:rsidR="55003B1E" w:rsidRPr="01C07FEA">
              <w:rPr>
                <w:sz w:val="20"/>
              </w:rPr>
              <w:t xml:space="preserve">tarpusavio </w:t>
            </w:r>
            <w:r w:rsidR="3727E11C" w:rsidRPr="01C07FEA">
              <w:rPr>
                <w:sz w:val="20"/>
              </w:rPr>
              <w:t>bendradarbiavimą.</w:t>
            </w:r>
            <w:r w:rsidR="00870749" w:rsidRPr="01C07FEA">
              <w:rPr>
                <w:rStyle w:val="Puslapioinaosnuoroda"/>
                <w:sz w:val="20"/>
              </w:rPr>
              <w:footnoteReference w:id="84"/>
            </w:r>
            <w:r w:rsidR="3727E11C" w:rsidRPr="01C07FEA">
              <w:rPr>
                <w:sz w:val="20"/>
              </w:rPr>
              <w:t xml:space="preserve"> </w:t>
            </w:r>
            <w:r w:rsidR="4509B75A" w:rsidRPr="01C07FEA">
              <w:rPr>
                <w:sz w:val="20"/>
              </w:rPr>
              <w:t>Tik 2019 m. įkurta pirmoji asocijuota trijų nacionalinių mokslinių tyrimų institutų</w:t>
            </w:r>
            <w:r w:rsidR="3727E11C" w:rsidRPr="01C07FEA">
              <w:rPr>
                <w:sz w:val="20"/>
              </w:rPr>
              <w:t xml:space="preserve"> (</w:t>
            </w:r>
            <w:r w:rsidR="2E24E08C" w:rsidRPr="01C07FEA">
              <w:rPr>
                <w:sz w:val="20"/>
              </w:rPr>
              <w:t>Fizinių ir technologijos mokslų centras, Lietuvos energetikos institutas, Lietuvos agrarinių ir miškų mokslų centras) bei Fizikos instituto mokslo ir technologijų park</w:t>
            </w:r>
            <w:r w:rsidR="3727E11C" w:rsidRPr="01C07FEA">
              <w:rPr>
                <w:sz w:val="20"/>
              </w:rPr>
              <w:t xml:space="preserve">o </w:t>
            </w:r>
            <w:r w:rsidR="4509B75A" w:rsidRPr="01C07FEA">
              <w:rPr>
                <w:sz w:val="20"/>
              </w:rPr>
              <w:t>struktūra Mokslinių tyrimų ir technologijų organizacija. Vis dar menkai atstovaujamas tokių asocijuotų, Lietuvoje užsimezgusių struktūrų interesas užsienio valstybėse (bendrai investuojant į mokslo ir inovacijų marketingo specialistus tikslinėse valstybėse, steigiant padalinius, į struktūras įtraukiant užsienio MSI ir taip atveriant užsienio mokslo rinkas).</w:t>
            </w:r>
            <w:r w:rsidR="001E45CF" w:rsidRPr="01C07FEA">
              <w:rPr>
                <w:rStyle w:val="Puslapioinaosnuoroda"/>
                <w:sz w:val="20"/>
              </w:rPr>
              <w:footnoteReference w:id="85"/>
            </w:r>
          </w:p>
          <w:p w14:paraId="62915ED0" w14:textId="77777777" w:rsidR="00644993" w:rsidRPr="00745F42" w:rsidRDefault="00644993" w:rsidP="004352CC">
            <w:pPr>
              <w:pStyle w:val="Sraopastraipa"/>
              <w:jc w:val="both"/>
              <w:rPr>
                <w:b/>
                <w:sz w:val="20"/>
              </w:rPr>
            </w:pPr>
          </w:p>
        </w:tc>
      </w:tr>
      <w:tr w:rsidR="008921CE" w:rsidRPr="00745F42" w14:paraId="122FA2D9" w14:textId="77777777" w:rsidTr="01C07FEA">
        <w:trPr>
          <w:trHeight w:val="70"/>
        </w:trPr>
        <w:tc>
          <w:tcPr>
            <w:tcW w:w="13887" w:type="dxa"/>
            <w:shd w:val="clear" w:color="auto" w:fill="FFFFFF" w:themeFill="background1"/>
          </w:tcPr>
          <w:p w14:paraId="5CF0851D" w14:textId="77777777" w:rsidR="008921CE" w:rsidRPr="00745F42" w:rsidRDefault="008921CE" w:rsidP="008921CE">
            <w:pPr>
              <w:jc w:val="both"/>
              <w:rPr>
                <w:b/>
                <w:sz w:val="20"/>
              </w:rPr>
            </w:pPr>
          </w:p>
        </w:tc>
      </w:tr>
      <w:tr w:rsidR="008921CE" w:rsidRPr="00745F42" w14:paraId="65429E8E" w14:textId="77777777" w:rsidTr="01C07FEA">
        <w:trPr>
          <w:trHeight w:val="70"/>
        </w:trPr>
        <w:tc>
          <w:tcPr>
            <w:tcW w:w="13887" w:type="dxa"/>
            <w:shd w:val="clear" w:color="auto" w:fill="FFFFFF" w:themeFill="background1"/>
          </w:tcPr>
          <w:p w14:paraId="4887153B" w14:textId="77777777" w:rsidR="008921CE" w:rsidRPr="00745F42" w:rsidRDefault="01C07FEA" w:rsidP="01C07FEA">
            <w:pPr>
              <w:jc w:val="both"/>
              <w:rPr>
                <w:b/>
                <w:bCs/>
                <w:sz w:val="20"/>
              </w:rPr>
            </w:pPr>
            <w:r w:rsidRPr="01C07FEA">
              <w:rPr>
                <w:b/>
                <w:bCs/>
                <w:sz w:val="20"/>
              </w:rPr>
              <w:t xml:space="preserve">5 problema: </w:t>
            </w:r>
          </w:p>
          <w:p w14:paraId="01464D55" w14:textId="77777777" w:rsidR="008921CE" w:rsidRPr="00745F42" w:rsidRDefault="01C07FEA" w:rsidP="01C07FEA">
            <w:pPr>
              <w:jc w:val="both"/>
              <w:rPr>
                <w:b/>
                <w:bCs/>
                <w:sz w:val="20"/>
              </w:rPr>
            </w:pPr>
            <w:r w:rsidRPr="01C07FEA">
              <w:rPr>
                <w:b/>
                <w:bCs/>
                <w:sz w:val="20"/>
              </w:rPr>
              <w:t>Žemas verslo sektoriaus MTEP ir absorbcinis MTEP potencialas</w:t>
            </w:r>
          </w:p>
          <w:p w14:paraId="011161A4" w14:textId="77777777" w:rsidR="00644993" w:rsidRPr="006172B1" w:rsidRDefault="00644993" w:rsidP="008921CE">
            <w:pPr>
              <w:jc w:val="both"/>
              <w:rPr>
                <w:sz w:val="20"/>
              </w:rPr>
            </w:pPr>
          </w:p>
          <w:p w14:paraId="12DB870E" w14:textId="77777777" w:rsidR="006172B1" w:rsidRDefault="35B49B09" w:rsidP="01C07FEA">
            <w:pPr>
              <w:jc w:val="both"/>
              <w:rPr>
                <w:sz w:val="20"/>
              </w:rPr>
            </w:pPr>
            <w:r w:rsidRPr="01C07FEA">
              <w:rPr>
                <w:sz w:val="20"/>
              </w:rPr>
              <w:t>Mokslui imlaus verslo sektorius Lietuvoje – labai nedidelis. Pagal verslo kaip finansavimo šaltinio išlaidas MTEP Lietuva net 4 kartus atsilieka nuo ES valstybių vidurkio (Lietuva – 0,32 proc. nuo BVP, kai ES vidurkis – 1,21 proc. nuo BVP) ir šis atotrūkis tik didėja.</w:t>
            </w:r>
            <w:r w:rsidR="006A0153" w:rsidRPr="01C07FEA">
              <w:rPr>
                <w:rStyle w:val="Puslapioinaosnuoroda"/>
                <w:sz w:val="20"/>
              </w:rPr>
              <w:footnoteReference w:id="86"/>
            </w:r>
            <w:r w:rsidRPr="01C07FEA">
              <w:rPr>
                <w:sz w:val="20"/>
              </w:rPr>
              <w:t xml:space="preserve"> Apskritai, pagal šį rodiklį Lietuva užima tik 24 vietą tarp 27 ES valstybių. Lietuvos verslo menką imlumą žinioms iliustruoja ir Europos inovacijų švieslentės duomenys, kur matyti, kad pagal žinioms imlių paslaugų eksporto apimtis Lietuva užima paskutinę vietą ES, pagal vidutinių ir aukštų technologijų produktų eksporto dalį bendroje šalies eksporto struktūroje lenkia tik tris kitas ES valstybes, </w:t>
            </w:r>
            <w:r w:rsidR="317A7108" w:rsidRPr="01C07FEA">
              <w:rPr>
                <w:sz w:val="20"/>
              </w:rPr>
              <w:t>n</w:t>
            </w:r>
            <w:r w:rsidRPr="01C07FEA">
              <w:rPr>
                <w:sz w:val="20"/>
              </w:rPr>
              <w:t>o</w:t>
            </w:r>
            <w:r w:rsidR="317A7108" w:rsidRPr="01C07FEA">
              <w:rPr>
                <w:sz w:val="20"/>
              </w:rPr>
              <w:t>rs</w:t>
            </w:r>
            <w:r w:rsidRPr="01C07FEA">
              <w:rPr>
                <w:sz w:val="20"/>
              </w:rPr>
              <w:t>, pabrėžtina, pagal investicijas į ne MTEP grįstas i</w:t>
            </w:r>
            <w:r w:rsidR="7776C785" w:rsidRPr="01C07FEA">
              <w:rPr>
                <w:sz w:val="20"/>
              </w:rPr>
              <w:t>n</w:t>
            </w:r>
            <w:r w:rsidRPr="01C07FEA">
              <w:rPr>
                <w:sz w:val="20"/>
              </w:rPr>
              <w:t>ovacijas Lietuva yra pirma visoje ES</w:t>
            </w:r>
            <w:r w:rsidR="317A7108" w:rsidRPr="01C07FEA">
              <w:rPr>
                <w:sz w:val="20"/>
              </w:rPr>
              <w:t xml:space="preserve"> – visgi</w:t>
            </w:r>
            <w:r w:rsidR="71A34F72" w:rsidRPr="01C07FEA">
              <w:rPr>
                <w:sz w:val="20"/>
              </w:rPr>
              <w:t xml:space="preserve"> tokios pridėtinės vertės kaip investicijos į MTEP tai nesukuria.</w:t>
            </w:r>
            <w:r w:rsidR="006A0153" w:rsidRPr="01C07FEA">
              <w:rPr>
                <w:rStyle w:val="Puslapioinaosnuoroda"/>
                <w:sz w:val="20"/>
              </w:rPr>
              <w:footnoteReference w:id="87"/>
            </w:r>
          </w:p>
          <w:p w14:paraId="0AD8E516" w14:textId="41BC522C" w:rsidR="003B2A85" w:rsidRDefault="1AE58C66" w:rsidP="01C07FEA">
            <w:pPr>
              <w:jc w:val="both"/>
              <w:rPr>
                <w:sz w:val="20"/>
              </w:rPr>
            </w:pPr>
            <w:r w:rsidRPr="01C07FEA">
              <w:rPr>
                <w:sz w:val="20"/>
              </w:rPr>
              <w:t xml:space="preserve">Pagal tyrėjų skaičių privačiame sektoriuje Lietuva nuo ES taip pat atsilieka bene dvigubai (atitinkamai </w:t>
            </w:r>
            <w:r w:rsidR="008C0568" w:rsidRPr="01C07FEA">
              <w:rPr>
                <w:sz w:val="20"/>
              </w:rPr>
              <w:t xml:space="preserve">0,23 proc. ir 0,52 proc. </w:t>
            </w:r>
            <w:r w:rsidR="00025BBE" w:rsidRPr="01C07FEA">
              <w:rPr>
                <w:sz w:val="20"/>
              </w:rPr>
              <w:t>skaičiuojant</w:t>
            </w:r>
            <w:r w:rsidRPr="01C07FEA">
              <w:rPr>
                <w:sz w:val="20"/>
              </w:rPr>
              <w:t xml:space="preserve"> </w:t>
            </w:r>
            <w:r w:rsidR="008C0568" w:rsidRPr="01C07FEA">
              <w:rPr>
                <w:sz w:val="20"/>
              </w:rPr>
              <w:t xml:space="preserve">nuo </w:t>
            </w:r>
            <w:r w:rsidRPr="01C07FEA">
              <w:rPr>
                <w:sz w:val="20"/>
              </w:rPr>
              <w:t>visos darbo jėgos visos darbo dienos ekvivalentu</w:t>
            </w:r>
            <w:r w:rsidR="008C0568" w:rsidRPr="01C07FEA">
              <w:rPr>
                <w:sz w:val="20"/>
              </w:rPr>
              <w:t xml:space="preserve">; nuo visų tyrėjų tyrėjai verslo sektoriuje Lietuvoje sudaro 29 proc., ES vidurkis – </w:t>
            </w:r>
            <w:r w:rsidRPr="01C07FEA">
              <w:rPr>
                <w:sz w:val="20"/>
              </w:rPr>
              <w:t xml:space="preserve">51 proc.). Menki </w:t>
            </w:r>
            <w:r w:rsidR="00C461EA" w:rsidRPr="01C07FEA">
              <w:rPr>
                <w:sz w:val="20"/>
              </w:rPr>
              <w:t xml:space="preserve">paties verslo </w:t>
            </w:r>
            <w:r w:rsidRPr="01C07FEA">
              <w:rPr>
                <w:sz w:val="20"/>
              </w:rPr>
              <w:t xml:space="preserve">MTEP vidiniai </w:t>
            </w:r>
            <w:proofErr w:type="spellStart"/>
            <w:r w:rsidRPr="01C07FEA">
              <w:rPr>
                <w:sz w:val="20"/>
              </w:rPr>
              <w:t>pajėgumai</w:t>
            </w:r>
            <w:proofErr w:type="spellEnd"/>
            <w:r w:rsidRPr="01C07FEA">
              <w:rPr>
                <w:sz w:val="20"/>
              </w:rPr>
              <w:t xml:space="preserve">, supratimas apie MTEP rezultatų (ekonominę) vertę sąlygoja menką verslo pasiryžimą investuoti į MTEP, menkus absorbcinius MTEP </w:t>
            </w:r>
            <w:proofErr w:type="spellStart"/>
            <w:r w:rsidRPr="01C07FEA">
              <w:rPr>
                <w:sz w:val="20"/>
              </w:rPr>
              <w:t>pajėgumus</w:t>
            </w:r>
            <w:proofErr w:type="spellEnd"/>
            <w:r w:rsidRPr="01C07FEA">
              <w:rPr>
                <w:sz w:val="20"/>
              </w:rPr>
              <w:t xml:space="preserve">. </w:t>
            </w:r>
            <w:r w:rsidR="317A7108" w:rsidRPr="01C07FEA">
              <w:rPr>
                <w:sz w:val="20"/>
              </w:rPr>
              <w:t>Šalyje vis dar dominuoja ne mokslu grįstas, o į pigių gamybos veiksnių išnaudojimą orientuotas verslo modelis.</w:t>
            </w:r>
            <w:r w:rsidR="003B2A85" w:rsidRPr="01C07FEA">
              <w:rPr>
                <w:rStyle w:val="Puslapioinaosnuoroda"/>
                <w:sz w:val="20"/>
              </w:rPr>
              <w:footnoteReference w:id="88"/>
            </w:r>
            <w:r w:rsidR="317A7108" w:rsidRPr="01C07FEA">
              <w:rPr>
                <w:sz w:val="20"/>
              </w:rPr>
              <w:t xml:space="preserve"> Nedidelis esamas mokslui imlaus verslo sektorius Lietuvoje sudarytas daugiausiai iš nedidelio kapitalo įmonių. </w:t>
            </w:r>
            <w:r w:rsidRPr="01C07FEA">
              <w:rPr>
                <w:sz w:val="20"/>
              </w:rPr>
              <w:t xml:space="preserve">Apskritai, </w:t>
            </w:r>
            <w:r w:rsidR="317A7108" w:rsidRPr="01C07FEA">
              <w:rPr>
                <w:sz w:val="20"/>
              </w:rPr>
              <w:t xml:space="preserve">Lietuvos </w:t>
            </w:r>
            <w:r w:rsidR="35AF2ED1" w:rsidRPr="01C07FEA">
              <w:rPr>
                <w:sz w:val="20"/>
              </w:rPr>
              <w:t>atvejis</w:t>
            </w:r>
            <w:r w:rsidR="317A7108" w:rsidRPr="01C07FEA">
              <w:rPr>
                <w:sz w:val="20"/>
              </w:rPr>
              <w:t xml:space="preserve"> rodo, kad mokslui imlūs sektoriai šalyje gimsta visų pirma iš MSI ir jose susikūrusių </w:t>
            </w:r>
            <w:proofErr w:type="spellStart"/>
            <w:r w:rsidR="317A7108" w:rsidRPr="01C07FEA">
              <w:rPr>
                <w:sz w:val="20"/>
              </w:rPr>
              <w:t>atžalinių</w:t>
            </w:r>
            <w:proofErr w:type="spellEnd"/>
            <w:r w:rsidR="317A7108" w:rsidRPr="01C07FEA">
              <w:rPr>
                <w:sz w:val="20"/>
              </w:rPr>
              <w:t xml:space="preserve"> įmonių plėtros (sėkmės pavyzdžiai – biotechnologijų, lazerių sektoriai).</w:t>
            </w:r>
            <w:r w:rsidR="317A7108" w:rsidRPr="01C07FEA">
              <w:rPr>
                <w:rStyle w:val="Puslapioinaosnuoroda"/>
                <w:sz w:val="20"/>
              </w:rPr>
              <w:t xml:space="preserve"> </w:t>
            </w:r>
            <w:r w:rsidR="003B2A85" w:rsidRPr="01C07FEA">
              <w:rPr>
                <w:rStyle w:val="Puslapioinaosnuoroda"/>
                <w:sz w:val="20"/>
              </w:rPr>
              <w:footnoteReference w:id="89"/>
            </w:r>
            <w:r w:rsidR="22B97165" w:rsidRPr="01C07FEA">
              <w:rPr>
                <w:sz w:val="20"/>
              </w:rPr>
              <w:t xml:space="preserve"> Remiantis </w:t>
            </w:r>
            <w:proofErr w:type="spellStart"/>
            <w:r w:rsidR="22B97165" w:rsidRPr="01C07FEA">
              <w:rPr>
                <w:sz w:val="20"/>
              </w:rPr>
              <w:t>E</w:t>
            </w:r>
            <w:r w:rsidR="008C4F54" w:rsidRPr="01C07FEA">
              <w:rPr>
                <w:sz w:val="20"/>
              </w:rPr>
              <w:t>urostat</w:t>
            </w:r>
            <w:proofErr w:type="spellEnd"/>
            <w:r w:rsidR="008C4F54" w:rsidRPr="01C07FEA">
              <w:rPr>
                <w:sz w:val="20"/>
              </w:rPr>
              <w:t xml:space="preserve"> duomenimis</w:t>
            </w:r>
            <w:r w:rsidR="22B97165" w:rsidRPr="01C07FEA">
              <w:rPr>
                <w:sz w:val="20"/>
              </w:rPr>
              <w:t xml:space="preserve">, taip pat matyti, kad </w:t>
            </w:r>
            <w:r w:rsidR="008C4F54" w:rsidRPr="01C07FEA">
              <w:rPr>
                <w:sz w:val="20"/>
              </w:rPr>
              <w:t xml:space="preserve">ES </w:t>
            </w:r>
            <w:r w:rsidR="22B97165" w:rsidRPr="01C07FEA">
              <w:rPr>
                <w:sz w:val="20"/>
              </w:rPr>
              <w:t>valstybėse, kuriose iš valstybės nacionalinio biudžeto MTEP sričiai skiriama bent 0,5-0,7 proc. nuo BVP, t.</w:t>
            </w:r>
            <w:r w:rsidR="5CE1F6FF" w:rsidRPr="01C07FEA">
              <w:rPr>
                <w:sz w:val="20"/>
              </w:rPr>
              <w:t xml:space="preserve"> </w:t>
            </w:r>
            <w:r w:rsidR="22B97165" w:rsidRPr="01C07FEA">
              <w:rPr>
                <w:sz w:val="20"/>
              </w:rPr>
              <w:t>y. valstybė pati yra pasiryžusi investuoti į visad rizikingą MTEP veiklą, sukuriama kritinė investicijų, kompetencijų masė ir verslo kaip finansavimo šaltinio išlaidos MTEP ima viršyti valstybės biudžeto skiriamų lėšų dalį.</w:t>
            </w:r>
            <w:r w:rsidR="00941434" w:rsidRPr="01C07FEA">
              <w:rPr>
                <w:rStyle w:val="Puslapioinaosnuoroda"/>
                <w:sz w:val="20"/>
              </w:rPr>
              <w:footnoteReference w:id="90"/>
            </w:r>
          </w:p>
          <w:p w14:paraId="3DD942A3" w14:textId="77777777" w:rsidR="003B2A85" w:rsidRDefault="003B2A85" w:rsidP="008921CE">
            <w:pPr>
              <w:jc w:val="both"/>
              <w:rPr>
                <w:sz w:val="20"/>
              </w:rPr>
            </w:pPr>
          </w:p>
          <w:p w14:paraId="52DE4DE7" w14:textId="7F221C10" w:rsidR="00756E96" w:rsidRDefault="01C07FEA" w:rsidP="01C07FEA">
            <w:pPr>
              <w:jc w:val="both"/>
              <w:rPr>
                <w:sz w:val="20"/>
              </w:rPr>
            </w:pPr>
            <w:r w:rsidRPr="01C07FEA">
              <w:rPr>
                <w:sz w:val="20"/>
              </w:rPr>
              <w:t>Siekiamas pokytis: mokslui imlaus verslo sektoriaus plėtra Lietuvoje.</w:t>
            </w:r>
          </w:p>
          <w:p w14:paraId="355F819E" w14:textId="77777777" w:rsidR="00756E96" w:rsidRPr="00745F42" w:rsidRDefault="00756E96" w:rsidP="00756E96">
            <w:pPr>
              <w:jc w:val="both"/>
              <w:rPr>
                <w:sz w:val="20"/>
              </w:rPr>
            </w:pPr>
          </w:p>
          <w:p w14:paraId="0AA46099" w14:textId="370176A9" w:rsidR="00756E96" w:rsidRDefault="01C07FEA" w:rsidP="01C07FEA">
            <w:pPr>
              <w:jc w:val="both"/>
              <w:rPr>
                <w:sz w:val="20"/>
              </w:rPr>
            </w:pPr>
            <w:r w:rsidRPr="01C07FEA">
              <w:rPr>
                <w:sz w:val="20"/>
              </w:rPr>
              <w:lastRenderedPageBreak/>
              <w:t>Į priežasčių analizę įtraukti partneriai: mokslo ir studijų institucijų atstovai, Mokslinių tyrimų ir technologijų organizacija, Lietuvos lazerių asociacija, Lietuvos mokslo taryba, Lietuvos universitetų rektorių konferencija, Lietuvos mokslų akademija, Lietuvos Respublikos ekonomikos ir inovacijų ministerija.</w:t>
            </w:r>
          </w:p>
          <w:p w14:paraId="2B4F2FC6" w14:textId="77777777" w:rsidR="00552F6E" w:rsidRPr="00745F42" w:rsidRDefault="00552F6E" w:rsidP="00756E96">
            <w:pPr>
              <w:jc w:val="both"/>
              <w:rPr>
                <w:sz w:val="20"/>
              </w:rPr>
            </w:pPr>
          </w:p>
          <w:p w14:paraId="5F1A7D03" w14:textId="77777777" w:rsidR="00756E96"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01C5DE48" w14:textId="068A30FC" w:rsidR="00EF18CD" w:rsidRDefault="00EF18CD" w:rsidP="00EF18CD">
            <w:pPr>
              <w:jc w:val="both"/>
              <w:rPr>
                <w:sz w:val="20"/>
              </w:rPr>
            </w:pPr>
            <w:r w:rsidRPr="001A6F34">
              <w:rPr>
                <w:sz w:val="20"/>
              </w:rPr>
              <w:t xml:space="preserve">Nagrinėjama problema aktuali Lietuvos Respublikos teritorijos bendrojo plano (toliau – LRBP) sprendiniui „202. Vystant inovacijas ir mokslinius tyrimus, didinti įmonių inovacijų vykdymo </w:t>
            </w:r>
            <w:proofErr w:type="spellStart"/>
            <w:r w:rsidRPr="001A6F34">
              <w:rPr>
                <w:sz w:val="20"/>
              </w:rPr>
              <w:t>pajėgumus</w:t>
            </w:r>
            <w:proofErr w:type="spellEnd"/>
            <w:r w:rsidRPr="001A6F34">
              <w:rPr>
                <w:sz w:val="20"/>
              </w:rPr>
              <w:t xml:space="preserve">, kurti kompetencijų centrus, orientuotus į inovacijų vystymą, skatinti aukštojo mokslo institucijų ir įmonių bendradarbiavimą vykdant mokslinius tyrimus, eksperimentinę plėtrą ir inovacijas (toliau – MTEPI) ir </w:t>
            </w:r>
            <w:proofErr w:type="spellStart"/>
            <w:r w:rsidRPr="001A6F34">
              <w:rPr>
                <w:sz w:val="20"/>
              </w:rPr>
              <w:t>komercializuojant</w:t>
            </w:r>
            <w:proofErr w:type="spellEnd"/>
            <w:r w:rsidRPr="001A6F34">
              <w:rPr>
                <w:sz w:val="20"/>
              </w:rPr>
              <w:t xml:space="preserve"> sukurtus sprendimus“ ir „202.2.3. Technologijų perdavimo, bendradarbiavimo su verslu gebėjimų stiprinimui</w:t>
            </w:r>
            <w:r w:rsidR="003A6AAB" w:rsidRPr="001A6F34">
              <w:rPr>
                <w:sz w:val="20"/>
              </w:rPr>
              <w:t>“</w:t>
            </w:r>
            <w:r w:rsidRPr="001A6F34">
              <w:rPr>
                <w:sz w:val="20"/>
              </w:rPr>
              <w:t>.</w:t>
            </w:r>
            <w:r w:rsidR="001A6F34" w:rsidRPr="001A6F34">
              <w:rPr>
                <w:rStyle w:val="Puslapioinaosnuoroda"/>
                <w:sz w:val="20"/>
              </w:rPr>
              <w:footnoteReference w:id="91"/>
            </w:r>
          </w:p>
          <w:p w14:paraId="163AB51C" w14:textId="77777777" w:rsidR="008921CE" w:rsidRPr="00745F42" w:rsidRDefault="008921CE" w:rsidP="008921CE">
            <w:pPr>
              <w:jc w:val="both"/>
              <w:rPr>
                <w:b/>
                <w:sz w:val="20"/>
              </w:rPr>
            </w:pPr>
          </w:p>
        </w:tc>
      </w:tr>
      <w:tr w:rsidR="008921CE" w:rsidRPr="00745F42" w14:paraId="2BAE529D" w14:textId="77777777" w:rsidTr="01C07FEA">
        <w:trPr>
          <w:trHeight w:val="70"/>
        </w:trPr>
        <w:tc>
          <w:tcPr>
            <w:tcW w:w="13887" w:type="dxa"/>
            <w:shd w:val="clear" w:color="auto" w:fill="FFFFFF" w:themeFill="background1"/>
          </w:tcPr>
          <w:p w14:paraId="47C98DF2" w14:textId="77777777" w:rsidR="008921CE" w:rsidRPr="00745F42" w:rsidRDefault="01C07FEA" w:rsidP="01C07FEA">
            <w:pPr>
              <w:jc w:val="both"/>
              <w:rPr>
                <w:b/>
                <w:bCs/>
                <w:sz w:val="20"/>
              </w:rPr>
            </w:pPr>
            <w:r w:rsidRPr="01C07FEA">
              <w:rPr>
                <w:b/>
                <w:bCs/>
                <w:sz w:val="20"/>
              </w:rPr>
              <w:lastRenderedPageBreak/>
              <w:t>Problemos priežastys:</w:t>
            </w:r>
          </w:p>
          <w:p w14:paraId="1A574705" w14:textId="77777777" w:rsidR="00A870BA" w:rsidRPr="00745F42" w:rsidRDefault="00A870BA" w:rsidP="008921CE">
            <w:pPr>
              <w:jc w:val="both"/>
              <w:rPr>
                <w:b/>
                <w:sz w:val="20"/>
              </w:rPr>
            </w:pPr>
          </w:p>
          <w:p w14:paraId="017E8670" w14:textId="69E7B133" w:rsidR="0043237E" w:rsidRPr="009D0E43" w:rsidRDefault="01C07FEA" w:rsidP="01C07FEA">
            <w:pPr>
              <w:pStyle w:val="Sraopastraipa"/>
              <w:numPr>
                <w:ilvl w:val="1"/>
                <w:numId w:val="40"/>
              </w:numPr>
              <w:ind w:left="763"/>
              <w:jc w:val="both"/>
              <w:rPr>
                <w:sz w:val="20"/>
              </w:rPr>
            </w:pPr>
            <w:r w:rsidRPr="01C07FEA">
              <w:rPr>
                <w:sz w:val="20"/>
              </w:rPr>
              <w:t>Pagalbos mokslui imlių verslo įmonių augimui stygius (</w:t>
            </w:r>
            <w:r w:rsidRPr="01C07FEA">
              <w:rPr>
                <w:i/>
                <w:iCs/>
                <w:sz w:val="20"/>
              </w:rPr>
              <w:t>Ši priežastis sprendžiama EIM verslo konkurencingumo plėtros programoje</w:t>
            </w:r>
            <w:r w:rsidRPr="01C07FEA">
              <w:rPr>
                <w:sz w:val="20"/>
              </w:rPr>
              <w:t>)</w:t>
            </w:r>
          </w:p>
          <w:p w14:paraId="361914C5" w14:textId="05B9FEC1" w:rsidR="0043237E" w:rsidRDefault="6AA3F11A" w:rsidP="01C07FEA">
            <w:pPr>
              <w:jc w:val="both"/>
              <w:rPr>
                <w:sz w:val="20"/>
              </w:rPr>
            </w:pPr>
            <w:r w:rsidRPr="01C07FEA">
              <w:rPr>
                <w:sz w:val="20"/>
              </w:rPr>
              <w:t>Daugelis Lietuvos verslo įmonių – nedidelio kapitalo. Net 81 proc. visų šalies įmonių yra labai mažos (jose įdarbinti ne daugiau nei 9 darbuotojai). Dar daugiau, labai mažų įmonių skaičius per dešimtmetį išaugo 40 proc..</w:t>
            </w:r>
            <w:r w:rsidR="0043237E" w:rsidRPr="01C07FEA">
              <w:rPr>
                <w:rStyle w:val="Puslapioinaosnuoroda"/>
                <w:sz w:val="20"/>
              </w:rPr>
              <w:footnoteReference w:id="92"/>
            </w:r>
            <w:r w:rsidRPr="01C07FEA">
              <w:rPr>
                <w:sz w:val="20"/>
              </w:rPr>
              <w:t xml:space="preserve"> Viena vertus, tai rodo išaugusį žmonių verslumą, verslo įkūrimo galimybių ir sąlygų tam plėtrą, tačiau kartu reiškia, kad su problemomis susiduriama plečiant įmonę (taip pat ir mokslui imlią), iš labai mažos tampant smulkia, vidutine ir, galiausiai, didele. Mažos įmonės yra mažiau našios ir </w:t>
            </w:r>
            <w:proofErr w:type="spellStart"/>
            <w:r w:rsidRPr="01C07FEA">
              <w:rPr>
                <w:sz w:val="20"/>
              </w:rPr>
              <w:t>inovatyvios</w:t>
            </w:r>
            <w:proofErr w:type="spellEnd"/>
            <w:r w:rsidRPr="01C07FEA">
              <w:rPr>
                <w:sz w:val="20"/>
              </w:rPr>
              <w:t xml:space="preserve">, darbuotojams moka </w:t>
            </w:r>
            <w:r w:rsidR="6F1278AC" w:rsidRPr="01C07FEA">
              <w:rPr>
                <w:sz w:val="20"/>
              </w:rPr>
              <w:t>maže</w:t>
            </w:r>
            <w:r w:rsidRPr="01C07FEA">
              <w:rPr>
                <w:sz w:val="20"/>
              </w:rPr>
              <w:t>snį darbo užmokestį, mažiau investuoja į žmogiškuosius išteklius ir technologijas – t. y. neturi reikiamo kapitalo investuoti į rizikingą, bet sėkmės atveju didelę grąžą kuriančią MTEP veiklą, reikiamą nuosavą MTEP infrastruktūrą ir intelektinės nuosavybės apsaugą.</w:t>
            </w:r>
            <w:r w:rsidR="0043237E" w:rsidRPr="01C07FEA">
              <w:rPr>
                <w:rStyle w:val="Puslapioinaosnuoroda"/>
                <w:sz w:val="20"/>
              </w:rPr>
              <w:footnoteReference w:id="93"/>
            </w:r>
            <w:r w:rsidRPr="01C07FEA">
              <w:rPr>
                <w:sz w:val="20"/>
              </w:rPr>
              <w:t xml:space="preserve"> Į verslo poreikius orientuotų agentūrų tinklo fragmentacija riboja valstybės galimybes efektyviai prisidėti ir prie mažų mokslui imlių, MSI </w:t>
            </w:r>
            <w:proofErr w:type="spellStart"/>
            <w:r w:rsidRPr="01C07FEA">
              <w:rPr>
                <w:sz w:val="20"/>
              </w:rPr>
              <w:t>atžalinių</w:t>
            </w:r>
            <w:proofErr w:type="spellEnd"/>
            <w:r w:rsidRPr="01C07FEA">
              <w:rPr>
                <w:sz w:val="20"/>
              </w:rPr>
              <w:t xml:space="preserve"> įmonių plėtros, augimo, kartu ir eksporto rinkų atvėrimo, integracijos į tarptautines vertės grandines (Lietuva užima paskutinę vietą ES pagal mokslui imlių paslaugų eksportą ir 24 vietą pagal vidutinių ir aukštųjų technologijų produktų eksportą).</w:t>
            </w:r>
            <w:r w:rsidR="0043237E" w:rsidRPr="01C07FEA">
              <w:rPr>
                <w:rStyle w:val="Puslapioinaosnuoroda"/>
                <w:sz w:val="20"/>
              </w:rPr>
              <w:footnoteReference w:id="94"/>
            </w:r>
          </w:p>
          <w:p w14:paraId="5F84C6BC" w14:textId="77777777" w:rsidR="0043237E" w:rsidRDefault="0043237E" w:rsidP="0043237E">
            <w:pPr>
              <w:jc w:val="both"/>
              <w:rPr>
                <w:sz w:val="20"/>
              </w:rPr>
            </w:pPr>
          </w:p>
          <w:p w14:paraId="214C56F2" w14:textId="1C47FBFF" w:rsidR="00A870BA" w:rsidRPr="009D0E43" w:rsidRDefault="01C07FEA" w:rsidP="01C07FEA">
            <w:pPr>
              <w:pStyle w:val="Sraopastraipa"/>
              <w:numPr>
                <w:ilvl w:val="1"/>
                <w:numId w:val="40"/>
              </w:numPr>
              <w:ind w:left="763"/>
              <w:jc w:val="both"/>
              <w:rPr>
                <w:sz w:val="20"/>
              </w:rPr>
            </w:pPr>
            <w:r w:rsidRPr="01C07FEA">
              <w:rPr>
                <w:sz w:val="20"/>
              </w:rPr>
              <w:t xml:space="preserve">Neišplėtota nacionalinė MSI kompleksinės paramos sistema studentų, tyrėjų </w:t>
            </w:r>
            <w:proofErr w:type="spellStart"/>
            <w:r w:rsidRPr="01C07FEA">
              <w:rPr>
                <w:sz w:val="20"/>
              </w:rPr>
              <w:t>atžalinėms</w:t>
            </w:r>
            <w:proofErr w:type="spellEnd"/>
            <w:r w:rsidRPr="01C07FEA">
              <w:rPr>
                <w:sz w:val="20"/>
              </w:rPr>
              <w:t xml:space="preserve"> įmonėms</w:t>
            </w:r>
          </w:p>
          <w:p w14:paraId="4BB2762B" w14:textId="110DC4D7" w:rsidR="0043237E" w:rsidRPr="00745F42" w:rsidRDefault="3F5CE2AA" w:rsidP="01C07FEA">
            <w:pPr>
              <w:jc w:val="both"/>
              <w:rPr>
                <w:sz w:val="20"/>
              </w:rPr>
            </w:pPr>
            <w:r w:rsidRPr="01C07FEA">
              <w:rPr>
                <w:sz w:val="20"/>
              </w:rPr>
              <w:t>N</w:t>
            </w:r>
            <w:r w:rsidR="0BFB27DB" w:rsidRPr="01C07FEA">
              <w:rPr>
                <w:sz w:val="20"/>
              </w:rPr>
              <w:t>edidelis Lietuvos mokslui imlaus verslo sektoriu</w:t>
            </w:r>
            <w:r w:rsidR="00C60BB2" w:rsidRPr="01C07FEA">
              <w:rPr>
                <w:sz w:val="20"/>
              </w:rPr>
              <w:t>s</w:t>
            </w:r>
            <w:r w:rsidR="0BFB27DB" w:rsidRPr="01C07FEA">
              <w:rPr>
                <w:sz w:val="20"/>
              </w:rPr>
              <w:t xml:space="preserve"> negeba absorbuoti ir įdarbinti šalies intelektualinio potencialo</w:t>
            </w:r>
            <w:r w:rsidRPr="01C07FEA">
              <w:rPr>
                <w:sz w:val="20"/>
              </w:rPr>
              <w:t xml:space="preserve"> jiems suteikdamas tyrėjo pozicijas</w:t>
            </w:r>
            <w:r w:rsidR="0BFB27DB" w:rsidRPr="01C07FEA">
              <w:rPr>
                <w:sz w:val="20"/>
              </w:rPr>
              <w:t>, tačiau š</w:t>
            </w:r>
            <w:r w:rsidRPr="01C07FEA">
              <w:rPr>
                <w:sz w:val="20"/>
              </w:rPr>
              <w:t>is</w:t>
            </w:r>
            <w:r w:rsidR="0BFB27DB" w:rsidRPr="01C07FEA">
              <w:rPr>
                <w:sz w:val="20"/>
              </w:rPr>
              <w:t xml:space="preserve"> </w:t>
            </w:r>
            <w:r w:rsidRPr="01C07FEA">
              <w:rPr>
                <w:sz w:val="20"/>
              </w:rPr>
              <w:t xml:space="preserve">MSI turimų talentų </w:t>
            </w:r>
            <w:r w:rsidR="0BFB27DB" w:rsidRPr="01C07FEA">
              <w:rPr>
                <w:sz w:val="20"/>
              </w:rPr>
              <w:t xml:space="preserve">potencialas vis dar ribotai išnaudojamas </w:t>
            </w:r>
            <w:r w:rsidRPr="01C07FEA">
              <w:rPr>
                <w:sz w:val="20"/>
              </w:rPr>
              <w:t xml:space="preserve">ir </w:t>
            </w:r>
            <w:r w:rsidR="779DE43D" w:rsidRPr="01C07FEA">
              <w:rPr>
                <w:sz w:val="20"/>
              </w:rPr>
              <w:t xml:space="preserve">visiškai </w:t>
            </w:r>
            <w:r w:rsidR="0BFB27DB" w:rsidRPr="01C07FEA">
              <w:rPr>
                <w:sz w:val="20"/>
              </w:rPr>
              <w:t xml:space="preserve">naujų darbo vietų – </w:t>
            </w:r>
            <w:proofErr w:type="spellStart"/>
            <w:r w:rsidR="0BFB27DB" w:rsidRPr="01C07FEA">
              <w:rPr>
                <w:sz w:val="20"/>
              </w:rPr>
              <w:t>atžalinių</w:t>
            </w:r>
            <w:proofErr w:type="spellEnd"/>
            <w:r w:rsidR="0BFB27DB" w:rsidRPr="01C07FEA">
              <w:rPr>
                <w:sz w:val="20"/>
              </w:rPr>
              <w:t xml:space="preserve"> įmonių – kūrimui</w:t>
            </w:r>
            <w:r w:rsidR="000D0670" w:rsidRPr="01C07FEA">
              <w:rPr>
                <w:sz w:val="20"/>
              </w:rPr>
              <w:t xml:space="preserve"> (ES 2021-2027 m. periode paremtas 68 </w:t>
            </w:r>
            <w:proofErr w:type="spellStart"/>
            <w:r w:rsidR="000D0670" w:rsidRPr="01C07FEA">
              <w:rPr>
                <w:sz w:val="20"/>
              </w:rPr>
              <w:t>atžalinių</w:t>
            </w:r>
            <w:proofErr w:type="spellEnd"/>
            <w:r w:rsidR="000D0670" w:rsidRPr="01C07FEA">
              <w:rPr>
                <w:sz w:val="20"/>
              </w:rPr>
              <w:t xml:space="preserve"> įmonių įsteigimas)</w:t>
            </w:r>
            <w:r w:rsidR="000D0670" w:rsidRPr="01C07FEA">
              <w:rPr>
                <w:rStyle w:val="Puslapioinaosnuoroda"/>
                <w:sz w:val="20"/>
              </w:rPr>
              <w:footnoteReference w:id="95"/>
            </w:r>
            <w:r w:rsidR="0BFB27DB" w:rsidRPr="01C07FEA">
              <w:rPr>
                <w:sz w:val="20"/>
              </w:rPr>
              <w:t xml:space="preserve">. </w:t>
            </w:r>
            <w:r w:rsidR="07201A70" w:rsidRPr="01C07FEA">
              <w:rPr>
                <w:sz w:val="20"/>
              </w:rPr>
              <w:t xml:space="preserve">MSI nėra pakankamai išplėtotos paramos </w:t>
            </w:r>
            <w:r w:rsidR="44A37036" w:rsidRPr="01C07FEA">
              <w:rPr>
                <w:sz w:val="20"/>
              </w:rPr>
              <w:t xml:space="preserve">sistemos </w:t>
            </w:r>
            <w:r w:rsidRPr="01C07FEA">
              <w:rPr>
                <w:sz w:val="20"/>
              </w:rPr>
              <w:t xml:space="preserve">studentų, </w:t>
            </w:r>
            <w:r w:rsidR="07201A70" w:rsidRPr="01C07FEA">
              <w:rPr>
                <w:sz w:val="20"/>
              </w:rPr>
              <w:t xml:space="preserve">tyrėjų </w:t>
            </w:r>
            <w:proofErr w:type="spellStart"/>
            <w:r w:rsidR="07201A70" w:rsidRPr="01C07FEA">
              <w:rPr>
                <w:sz w:val="20"/>
              </w:rPr>
              <w:t>atžalinėms</w:t>
            </w:r>
            <w:proofErr w:type="spellEnd"/>
            <w:r w:rsidR="07201A70" w:rsidRPr="01C07FEA">
              <w:rPr>
                <w:sz w:val="20"/>
              </w:rPr>
              <w:t xml:space="preserve"> įmonėms bei </w:t>
            </w:r>
            <w:r w:rsidR="33177C77" w:rsidRPr="01C07FEA">
              <w:rPr>
                <w:sz w:val="20"/>
              </w:rPr>
              <w:t xml:space="preserve">žinių perdavimo ir </w:t>
            </w:r>
            <w:r w:rsidR="07201A70" w:rsidRPr="01C07FEA">
              <w:rPr>
                <w:sz w:val="20"/>
              </w:rPr>
              <w:t xml:space="preserve">intelektinės nuosavybės valdymo </w:t>
            </w:r>
            <w:r w:rsidR="44A37036" w:rsidRPr="01C07FEA">
              <w:rPr>
                <w:sz w:val="20"/>
              </w:rPr>
              <w:t>procedūros</w:t>
            </w:r>
            <w:r w:rsidR="031E6729" w:rsidRPr="01C07FEA">
              <w:rPr>
                <w:sz w:val="20"/>
              </w:rPr>
              <w:t xml:space="preserve">, stinga </w:t>
            </w:r>
            <w:proofErr w:type="spellStart"/>
            <w:r w:rsidR="031E6729" w:rsidRPr="01C07FEA">
              <w:rPr>
                <w:sz w:val="20"/>
              </w:rPr>
              <w:t>atžalinių</w:t>
            </w:r>
            <w:proofErr w:type="spellEnd"/>
            <w:r w:rsidR="031E6729" w:rsidRPr="01C07FEA">
              <w:rPr>
                <w:sz w:val="20"/>
              </w:rPr>
              <w:t xml:space="preserve"> įmonių inkubatorių</w:t>
            </w:r>
            <w:r w:rsidR="07201A70" w:rsidRPr="01C07FEA">
              <w:rPr>
                <w:sz w:val="20"/>
              </w:rPr>
              <w:t xml:space="preserve">. </w:t>
            </w:r>
            <w:r w:rsidR="396441DE" w:rsidRPr="01C07FEA">
              <w:rPr>
                <w:sz w:val="20"/>
              </w:rPr>
              <w:t>N</w:t>
            </w:r>
            <w:r w:rsidR="07201A70" w:rsidRPr="01C07FEA">
              <w:rPr>
                <w:sz w:val="20"/>
              </w:rPr>
              <w:t xml:space="preserve">ors </w:t>
            </w:r>
            <w:r w:rsidR="44A37036" w:rsidRPr="01C07FEA">
              <w:rPr>
                <w:sz w:val="20"/>
              </w:rPr>
              <w:t>oficialus</w:t>
            </w:r>
            <w:r w:rsidR="07201A70" w:rsidRPr="01C07FEA">
              <w:rPr>
                <w:sz w:val="20"/>
              </w:rPr>
              <w:t xml:space="preserve"> MSI </w:t>
            </w:r>
            <w:proofErr w:type="spellStart"/>
            <w:r w:rsidR="07201A70" w:rsidRPr="01C07FEA">
              <w:rPr>
                <w:sz w:val="20"/>
              </w:rPr>
              <w:t>atž</w:t>
            </w:r>
            <w:r w:rsidR="44A37036" w:rsidRPr="01C07FEA">
              <w:rPr>
                <w:sz w:val="20"/>
              </w:rPr>
              <w:t>alinių</w:t>
            </w:r>
            <w:proofErr w:type="spellEnd"/>
            <w:r w:rsidR="44A37036" w:rsidRPr="01C07FEA">
              <w:rPr>
                <w:sz w:val="20"/>
              </w:rPr>
              <w:t xml:space="preserve"> įmonių skaičius yra nedidelis, nemaža dalis</w:t>
            </w:r>
            <w:r w:rsidR="07201A70" w:rsidRPr="01C07FEA">
              <w:rPr>
                <w:sz w:val="20"/>
              </w:rPr>
              <w:t xml:space="preserve"> tyrėjų yra </w:t>
            </w:r>
            <w:r w:rsidR="44A37036" w:rsidRPr="01C07FEA">
              <w:rPr>
                <w:sz w:val="20"/>
              </w:rPr>
              <w:t>įsteigę savo įmones. Tai reiškia, kad, v</w:t>
            </w:r>
            <w:r w:rsidR="07201A70" w:rsidRPr="01C07FEA">
              <w:rPr>
                <w:sz w:val="20"/>
              </w:rPr>
              <w:t>iena vertus, tyrėjai kurdami įmones negauna profesionalios paramos</w:t>
            </w:r>
            <w:r w:rsidR="44A37036" w:rsidRPr="01C07FEA">
              <w:rPr>
                <w:sz w:val="20"/>
              </w:rPr>
              <w:t xml:space="preserve"> ir taip apriboja naujai sukurto savo mokslui imlaus verslo plėtros galimybes, o</w:t>
            </w:r>
            <w:r w:rsidR="07201A70" w:rsidRPr="01C07FEA">
              <w:rPr>
                <w:sz w:val="20"/>
              </w:rPr>
              <w:t xml:space="preserve"> MSI nerimauja, kad įmonės naudojasi jų savininkų</w:t>
            </w:r>
            <w:r w:rsidR="44A37036" w:rsidRPr="01C07FEA">
              <w:rPr>
                <w:sz w:val="20"/>
              </w:rPr>
              <w:t xml:space="preserve"> – MSI tyrėjų –</w:t>
            </w:r>
            <w:r w:rsidR="07201A70" w:rsidRPr="01C07FEA">
              <w:rPr>
                <w:sz w:val="20"/>
              </w:rPr>
              <w:t xml:space="preserve"> darbo MSI metu sukurta intelektine nuosavybe</w:t>
            </w:r>
            <w:r w:rsidR="779DE43D" w:rsidRPr="01C07FEA">
              <w:rPr>
                <w:sz w:val="20"/>
              </w:rPr>
              <w:t xml:space="preserve"> ir</w:t>
            </w:r>
            <w:r w:rsidR="44A37036" w:rsidRPr="01C07FEA">
              <w:rPr>
                <w:sz w:val="20"/>
              </w:rPr>
              <w:t xml:space="preserve"> MSI už tai nieko negauna</w:t>
            </w:r>
            <w:r w:rsidR="07201A70" w:rsidRPr="01C07FEA">
              <w:rPr>
                <w:sz w:val="20"/>
              </w:rPr>
              <w:t xml:space="preserve">. </w:t>
            </w:r>
            <w:r w:rsidR="44A37036" w:rsidRPr="01C07FEA">
              <w:rPr>
                <w:sz w:val="20"/>
              </w:rPr>
              <w:t xml:space="preserve">Kita vertus, fragmentuota paramos </w:t>
            </w:r>
            <w:proofErr w:type="spellStart"/>
            <w:r w:rsidR="44A37036" w:rsidRPr="01C07FEA">
              <w:rPr>
                <w:sz w:val="20"/>
              </w:rPr>
              <w:t>atžalinėms</w:t>
            </w:r>
            <w:proofErr w:type="spellEnd"/>
            <w:r w:rsidR="44A37036" w:rsidRPr="01C07FEA">
              <w:rPr>
                <w:sz w:val="20"/>
              </w:rPr>
              <w:t xml:space="preserve"> įmonėms sistema taip pat reiškia, kad dėl ribotų išteklių MSI</w:t>
            </w:r>
            <w:r w:rsidR="779DE43D" w:rsidRPr="01C07FEA">
              <w:rPr>
                <w:sz w:val="20"/>
              </w:rPr>
              <w:t xml:space="preserve"> </w:t>
            </w:r>
            <w:r w:rsidR="44A37036" w:rsidRPr="01C07FEA">
              <w:rPr>
                <w:sz w:val="20"/>
              </w:rPr>
              <w:t xml:space="preserve">negali suteikti </w:t>
            </w:r>
            <w:proofErr w:type="spellStart"/>
            <w:r w:rsidR="779DE43D" w:rsidRPr="01C07FEA">
              <w:rPr>
                <w:sz w:val="20"/>
              </w:rPr>
              <w:t>pre</w:t>
            </w:r>
            <w:r w:rsidR="44A37036" w:rsidRPr="01C07FEA">
              <w:rPr>
                <w:sz w:val="20"/>
              </w:rPr>
              <w:t>ak</w:t>
            </w:r>
            <w:r w:rsidR="34778056" w:rsidRPr="01C07FEA">
              <w:rPr>
                <w:sz w:val="20"/>
              </w:rPr>
              <w:t>c</w:t>
            </w:r>
            <w:r w:rsidR="44A37036" w:rsidRPr="01C07FEA">
              <w:rPr>
                <w:sz w:val="20"/>
              </w:rPr>
              <w:t>eleruojamoms</w:t>
            </w:r>
            <w:proofErr w:type="spellEnd"/>
            <w:r w:rsidR="779DE43D" w:rsidRPr="01C07FEA">
              <w:rPr>
                <w:sz w:val="20"/>
              </w:rPr>
              <w:t xml:space="preserve">, </w:t>
            </w:r>
            <w:proofErr w:type="spellStart"/>
            <w:r w:rsidR="779DE43D" w:rsidRPr="01C07FEA">
              <w:rPr>
                <w:sz w:val="20"/>
              </w:rPr>
              <w:t>inkubuojamoms</w:t>
            </w:r>
            <w:proofErr w:type="spellEnd"/>
            <w:r w:rsidR="44A37036" w:rsidRPr="01C07FEA">
              <w:rPr>
                <w:sz w:val="20"/>
              </w:rPr>
              <w:t xml:space="preserve"> įmonėms </w:t>
            </w:r>
            <w:proofErr w:type="spellStart"/>
            <w:r w:rsidR="44A37036" w:rsidRPr="01C07FEA">
              <w:rPr>
                <w:sz w:val="20"/>
              </w:rPr>
              <w:t>mikro</w:t>
            </w:r>
            <w:proofErr w:type="spellEnd"/>
            <w:r w:rsidR="44A37036" w:rsidRPr="01C07FEA">
              <w:rPr>
                <w:sz w:val="20"/>
              </w:rPr>
              <w:t xml:space="preserve">-finansavimo, platesnio </w:t>
            </w:r>
            <w:proofErr w:type="spellStart"/>
            <w:r w:rsidR="44A37036" w:rsidRPr="01C07FEA">
              <w:rPr>
                <w:sz w:val="20"/>
              </w:rPr>
              <w:t>mentorystės</w:t>
            </w:r>
            <w:proofErr w:type="spellEnd"/>
            <w:r w:rsidR="44A37036" w:rsidRPr="01C07FEA">
              <w:rPr>
                <w:sz w:val="20"/>
              </w:rPr>
              <w:t xml:space="preserve"> ir verslo vystymo paslaugų rato.</w:t>
            </w:r>
            <w:r w:rsidR="00776FA5" w:rsidRPr="01C07FEA">
              <w:rPr>
                <w:rStyle w:val="Puslapioinaosnuoroda"/>
                <w:sz w:val="20"/>
              </w:rPr>
              <w:footnoteReference w:id="96"/>
            </w:r>
          </w:p>
          <w:p w14:paraId="6E21EAC9" w14:textId="4299D9FA" w:rsidR="003A5F0B" w:rsidRDefault="003A5F0B" w:rsidP="00FF5DE4">
            <w:pPr>
              <w:jc w:val="both"/>
              <w:rPr>
                <w:sz w:val="20"/>
              </w:rPr>
            </w:pPr>
          </w:p>
          <w:p w14:paraId="5A998BCE" w14:textId="4323A323" w:rsidR="0043237E" w:rsidRPr="009D0E43" w:rsidRDefault="01C07FEA" w:rsidP="01C07FEA">
            <w:pPr>
              <w:pStyle w:val="Sraopastraipa"/>
              <w:numPr>
                <w:ilvl w:val="1"/>
                <w:numId w:val="40"/>
              </w:numPr>
              <w:ind w:left="763"/>
              <w:jc w:val="both"/>
              <w:rPr>
                <w:sz w:val="20"/>
              </w:rPr>
            </w:pPr>
            <w:r w:rsidRPr="01C07FEA">
              <w:rPr>
                <w:sz w:val="20"/>
              </w:rPr>
              <w:t>Mokslu grįstų inovacijų kultūros ir jų vertės supratimo versle stygius(</w:t>
            </w:r>
            <w:r w:rsidRPr="01C07FEA">
              <w:rPr>
                <w:i/>
                <w:iCs/>
                <w:sz w:val="20"/>
              </w:rPr>
              <w:t>Ši priežastis sprendžiama EIM verslo konkurencingumo plėtros programoje</w:t>
            </w:r>
            <w:r w:rsidRPr="01C07FEA">
              <w:rPr>
                <w:sz w:val="20"/>
              </w:rPr>
              <w:t>)</w:t>
            </w:r>
          </w:p>
          <w:p w14:paraId="4F954E61" w14:textId="3E09552E" w:rsidR="0043237E" w:rsidRDefault="6AA3F11A" w:rsidP="01C07FEA">
            <w:pPr>
              <w:jc w:val="both"/>
              <w:rPr>
                <w:sz w:val="20"/>
              </w:rPr>
            </w:pPr>
            <w:r w:rsidRPr="01C07FEA">
              <w:rPr>
                <w:sz w:val="20"/>
              </w:rPr>
              <w:t>Lietuvos ekonomikos struktūroje vis dar dominuoja į pigių darbo veiksnių išnaudojimą orientuotas verslo modelis. Vis dar tik vos 1,05 proc. visų verslo įmonių investuoja į MTEP, yra laikytinos mokslui imliomis.</w:t>
            </w:r>
            <w:r w:rsidR="0043237E" w:rsidRPr="01C07FEA">
              <w:rPr>
                <w:rStyle w:val="Puslapioinaosnuoroda"/>
                <w:sz w:val="20"/>
              </w:rPr>
              <w:footnoteReference w:id="97"/>
            </w:r>
            <w:r w:rsidRPr="01C07FEA">
              <w:rPr>
                <w:sz w:val="20"/>
              </w:rPr>
              <w:t xml:space="preserve"> Žvelgiant į atskirus sektorius, pavyzdžiui., matyti, kad pramonės sektoriuje Lietuvoje ir ES dirba panaši dalis visų dirbančiųjų (Lietuva – 16 proc., kai ES vidurkis – 15,4 proc.), tačiau pažangiųjų ir vidutiniškai pažangių technologijų gamybos sektoriuose dirbantieji Lietuvoje tesudaro vos 2,2 proc. visų dirbančiųjų, kai vidutiniškai ES – 5,5 proc..</w:t>
            </w:r>
            <w:r w:rsidR="0043237E" w:rsidRPr="01C07FEA">
              <w:rPr>
                <w:rStyle w:val="Puslapioinaosnuoroda"/>
                <w:sz w:val="20"/>
              </w:rPr>
              <w:footnoteReference w:id="98"/>
            </w:r>
            <w:r w:rsidRPr="01C07FEA">
              <w:rPr>
                <w:sz w:val="20"/>
              </w:rPr>
              <w:t xml:space="preserve"> Tai reiškia, kad Lietuvos pramonėje tik kas aštunta darbo vieta yra aukštesnę vertę kurianti, kai ES tokių – trečdalis. Stingant valstybės lyderystės reikšmingai investuoti į visad rizikingą MTEP sritį</w:t>
            </w:r>
            <w:r w:rsidR="7434CC58" w:rsidRPr="01C07FEA">
              <w:rPr>
                <w:sz w:val="20"/>
              </w:rPr>
              <w:t xml:space="preserve"> ir paskatų</w:t>
            </w:r>
            <w:r w:rsidRPr="01C07FEA">
              <w:rPr>
                <w:sz w:val="20"/>
              </w:rPr>
              <w:t xml:space="preserve">, nesukuriamas „pirmojo pasekėjo efektas“ – </w:t>
            </w:r>
            <w:r w:rsidR="7434CC58" w:rsidRPr="01C07FEA">
              <w:rPr>
                <w:sz w:val="20"/>
              </w:rPr>
              <w:t>dominuojan</w:t>
            </w:r>
            <w:r w:rsidR="7CAEBC7F" w:rsidRPr="01C07FEA">
              <w:rPr>
                <w:sz w:val="20"/>
              </w:rPr>
              <w:t>tis</w:t>
            </w:r>
            <w:r w:rsidRPr="01C07FEA">
              <w:rPr>
                <w:sz w:val="20"/>
              </w:rPr>
              <w:t xml:space="preserve"> verslo </w:t>
            </w:r>
            <w:r w:rsidR="7434CC58" w:rsidRPr="01C07FEA">
              <w:rPr>
                <w:sz w:val="20"/>
              </w:rPr>
              <w:t>modeli</w:t>
            </w:r>
            <w:r w:rsidR="7CAEBC7F" w:rsidRPr="01C07FEA">
              <w:rPr>
                <w:sz w:val="20"/>
              </w:rPr>
              <w:t>s</w:t>
            </w:r>
            <w:r w:rsidR="7434CC58" w:rsidRPr="01C07FEA">
              <w:rPr>
                <w:sz w:val="20"/>
              </w:rPr>
              <w:t xml:space="preserve"> </w:t>
            </w:r>
            <w:r w:rsidR="7CAEBC7F" w:rsidRPr="01C07FEA">
              <w:rPr>
                <w:sz w:val="20"/>
              </w:rPr>
              <w:t>nekinta</w:t>
            </w:r>
            <w:r w:rsidRPr="01C07FEA">
              <w:rPr>
                <w:sz w:val="20"/>
              </w:rPr>
              <w:t xml:space="preserve">, </w:t>
            </w:r>
            <w:r w:rsidR="7CAEBC7F" w:rsidRPr="01C07FEA">
              <w:rPr>
                <w:sz w:val="20"/>
              </w:rPr>
              <w:t xml:space="preserve">t. y. vis dar kuriamos „tradicinės“ verslo įmonės matant </w:t>
            </w:r>
            <w:r w:rsidRPr="01C07FEA">
              <w:rPr>
                <w:sz w:val="20"/>
              </w:rPr>
              <w:t xml:space="preserve">didesnę riziką patiems investuoti į MTEP, nei kad likus prie pigių darbo veiksnių išnaudojimo modelio rizikuoti pralaimėti konkurencinę kovą dėl varžovų konkurencinių </w:t>
            </w:r>
            <w:proofErr w:type="spellStart"/>
            <w:r w:rsidRPr="01C07FEA">
              <w:rPr>
                <w:sz w:val="20"/>
              </w:rPr>
              <w:t>pranašumų</w:t>
            </w:r>
            <w:proofErr w:type="spellEnd"/>
            <w:r w:rsidRPr="01C07FEA">
              <w:rPr>
                <w:sz w:val="20"/>
              </w:rPr>
              <w:t xml:space="preserve"> įgytų dėka jų investicijų į MTEP.</w:t>
            </w:r>
          </w:p>
          <w:p w14:paraId="7E826082" w14:textId="248DEA60" w:rsidR="0043237E" w:rsidRDefault="0043237E" w:rsidP="00FF5DE4">
            <w:pPr>
              <w:jc w:val="both"/>
              <w:rPr>
                <w:sz w:val="20"/>
              </w:rPr>
            </w:pPr>
          </w:p>
          <w:p w14:paraId="38D3E926" w14:textId="7B473B6D" w:rsidR="0043237E" w:rsidRPr="009D0E43" w:rsidRDefault="01C07FEA" w:rsidP="01C07FEA">
            <w:pPr>
              <w:pStyle w:val="Sraopastraipa"/>
              <w:numPr>
                <w:ilvl w:val="1"/>
                <w:numId w:val="40"/>
              </w:numPr>
              <w:ind w:left="763"/>
              <w:jc w:val="both"/>
              <w:rPr>
                <w:sz w:val="20"/>
              </w:rPr>
            </w:pPr>
            <w:r w:rsidRPr="01C07FEA">
              <w:rPr>
                <w:sz w:val="20"/>
              </w:rPr>
              <w:t>Neišnaudotos tiesioginių užsienio investicijų į MTEP pritraukimo galimybės (</w:t>
            </w:r>
            <w:r w:rsidRPr="01C07FEA">
              <w:rPr>
                <w:i/>
                <w:iCs/>
                <w:sz w:val="20"/>
              </w:rPr>
              <w:t>Ši priežastis sprendžiama EIM verslo konkurencingumo plėtros programoje</w:t>
            </w:r>
            <w:r w:rsidRPr="01C07FEA">
              <w:rPr>
                <w:sz w:val="20"/>
              </w:rPr>
              <w:t>)</w:t>
            </w:r>
          </w:p>
          <w:p w14:paraId="34A429C0" w14:textId="33B78510" w:rsidR="0043237E" w:rsidRPr="0043237E" w:rsidRDefault="6AA3F11A" w:rsidP="01C07FEA">
            <w:pPr>
              <w:jc w:val="both"/>
              <w:rPr>
                <w:sz w:val="20"/>
              </w:rPr>
            </w:pPr>
            <w:r w:rsidRPr="01C07FEA">
              <w:rPr>
                <w:sz w:val="20"/>
              </w:rPr>
              <w:t>Pritrauktų tiesioginių užsienio investicijų (toliau – TUI) į vidutinių ir aukštųjų technologijų sektorius dalis nuo visų TUI 2017 m. siekė tik 5,7%, nors 2013 m. ir 2014 m. buvo lygus atitinkamai  8,8% ir 9,1 % visų TUI.</w:t>
            </w:r>
            <w:r w:rsidR="0043237E" w:rsidRPr="01C07FEA">
              <w:rPr>
                <w:rStyle w:val="Puslapioinaosnuoroda"/>
                <w:sz w:val="20"/>
              </w:rPr>
              <w:footnoteReference w:id="99"/>
            </w:r>
            <w:r w:rsidRPr="01C07FEA">
              <w:rPr>
                <w:sz w:val="20"/>
              </w:rPr>
              <w:t xml:space="preserve"> Vis dar sunkiai sekasi pritraukti didelio kapitalo mokslui imlias įmones, kurios iškart galėtų investuoti į MTEP veiklas</w:t>
            </w:r>
            <w:r w:rsidR="150B8B88" w:rsidRPr="01C07FEA">
              <w:rPr>
                <w:sz w:val="20"/>
              </w:rPr>
              <w:t xml:space="preserve"> ar perkeltų į Lietuvą savo </w:t>
            </w:r>
            <w:r w:rsidR="35BA42FE" w:rsidRPr="01C07FEA">
              <w:rPr>
                <w:sz w:val="20"/>
              </w:rPr>
              <w:t>MTEP vykdymui skirtus</w:t>
            </w:r>
            <w:r w:rsidR="150B8B88" w:rsidRPr="01C07FEA">
              <w:rPr>
                <w:sz w:val="20"/>
              </w:rPr>
              <w:t xml:space="preserve"> padalinius</w:t>
            </w:r>
            <w:r w:rsidRPr="01C07FEA">
              <w:rPr>
                <w:sz w:val="20"/>
              </w:rPr>
              <w:t>, iš užsienio į Lietuvos rinką. Tai reiškia, jog esant tik ribotam mokslui imlaus užsienio verslo įmonių atėjimui į Lietuvos rinką vietos įmonėms nekuriamas konkurencinis spaudimas pereiti prie žiniomis grįsto verslo modelio, neperimama geroji užsienio praktika sėkmingai plėtojant tokį – mokslu grįstą – verslą.</w:t>
            </w:r>
          </w:p>
          <w:p w14:paraId="46A46472" w14:textId="77777777" w:rsidR="00A870BA" w:rsidRPr="00745F42" w:rsidRDefault="00A870BA" w:rsidP="00312AA4">
            <w:pPr>
              <w:jc w:val="both"/>
              <w:rPr>
                <w:b/>
                <w:sz w:val="20"/>
              </w:rPr>
            </w:pPr>
          </w:p>
        </w:tc>
      </w:tr>
      <w:tr w:rsidR="008921CE" w:rsidRPr="00745F42" w14:paraId="0A302380" w14:textId="77777777" w:rsidTr="01C07FEA">
        <w:trPr>
          <w:trHeight w:val="70"/>
        </w:trPr>
        <w:tc>
          <w:tcPr>
            <w:tcW w:w="13887" w:type="dxa"/>
            <w:shd w:val="clear" w:color="auto" w:fill="FFFFFF" w:themeFill="background1"/>
          </w:tcPr>
          <w:p w14:paraId="59A42BC6" w14:textId="77777777" w:rsidR="008921CE" w:rsidRPr="00745F42" w:rsidRDefault="008921CE" w:rsidP="008921CE">
            <w:pPr>
              <w:jc w:val="both"/>
              <w:rPr>
                <w:b/>
                <w:sz w:val="20"/>
              </w:rPr>
            </w:pPr>
          </w:p>
        </w:tc>
      </w:tr>
      <w:tr w:rsidR="008921CE" w:rsidRPr="00745F42" w14:paraId="52DF4942" w14:textId="77777777" w:rsidTr="01C07FEA">
        <w:trPr>
          <w:trHeight w:val="70"/>
        </w:trPr>
        <w:tc>
          <w:tcPr>
            <w:tcW w:w="13887" w:type="dxa"/>
            <w:shd w:val="clear" w:color="auto" w:fill="DBE5F1" w:themeFill="accent1" w:themeFillTint="33"/>
          </w:tcPr>
          <w:p w14:paraId="73CE8D6F" w14:textId="77777777" w:rsidR="008921CE" w:rsidRPr="00745F42" w:rsidRDefault="01C07FEA" w:rsidP="01C07FEA">
            <w:pPr>
              <w:jc w:val="both"/>
              <w:rPr>
                <w:b/>
                <w:bCs/>
                <w:sz w:val="20"/>
              </w:rPr>
            </w:pPr>
            <w:r w:rsidRPr="01C07FEA">
              <w:rPr>
                <w:b/>
                <w:bCs/>
                <w:sz w:val="20"/>
              </w:rPr>
              <w:t>NPP uždavinys:</w:t>
            </w:r>
          </w:p>
          <w:p w14:paraId="5614D468" w14:textId="77777777" w:rsidR="008921CE" w:rsidRPr="00745F42" w:rsidRDefault="01C07FEA" w:rsidP="01C07FEA">
            <w:pPr>
              <w:jc w:val="both"/>
              <w:rPr>
                <w:b/>
                <w:bCs/>
                <w:sz w:val="20"/>
                <w:lang w:eastAsia="lt-LT"/>
              </w:rPr>
            </w:pPr>
            <w:r w:rsidRPr="01C07FEA">
              <w:rPr>
                <w:b/>
                <w:bCs/>
                <w:sz w:val="20"/>
              </w:rPr>
              <w:t xml:space="preserve">3.7. </w:t>
            </w:r>
            <w:r w:rsidRPr="01C07FEA">
              <w:rPr>
                <w:b/>
                <w:bCs/>
                <w:sz w:val="20"/>
                <w:lang w:eastAsia="lt-LT"/>
              </w:rPr>
              <w:t>Plėtoti mokslu grįstas studijas, geriau panaudojant laisvųjų mokslinių tyrimų potencialą, ir prisidėti prie Lietuvai ir pasauliui aktualių iššūkių sprendimo</w:t>
            </w:r>
          </w:p>
          <w:p w14:paraId="782587FF" w14:textId="77777777" w:rsidR="008921CE" w:rsidRPr="00745F42" w:rsidRDefault="008921CE" w:rsidP="008921CE">
            <w:pPr>
              <w:jc w:val="both"/>
              <w:rPr>
                <w:b/>
                <w:sz w:val="20"/>
              </w:rPr>
            </w:pPr>
          </w:p>
        </w:tc>
      </w:tr>
      <w:tr w:rsidR="008921CE" w:rsidRPr="00745F42" w14:paraId="61ECE534" w14:textId="77777777" w:rsidTr="01C07FEA">
        <w:trPr>
          <w:trHeight w:val="70"/>
        </w:trPr>
        <w:tc>
          <w:tcPr>
            <w:tcW w:w="13887" w:type="dxa"/>
            <w:shd w:val="clear" w:color="auto" w:fill="FFFFFF" w:themeFill="background1"/>
          </w:tcPr>
          <w:p w14:paraId="5B0A3A1F" w14:textId="77777777" w:rsidR="008921CE" w:rsidRPr="00745F42" w:rsidRDefault="01C07FEA" w:rsidP="01C07FEA">
            <w:pPr>
              <w:jc w:val="both"/>
              <w:rPr>
                <w:b/>
                <w:bCs/>
                <w:sz w:val="20"/>
              </w:rPr>
            </w:pPr>
            <w:r w:rsidRPr="01C07FEA">
              <w:rPr>
                <w:b/>
                <w:bCs/>
                <w:sz w:val="20"/>
              </w:rPr>
              <w:t xml:space="preserve">6 problema: </w:t>
            </w:r>
          </w:p>
          <w:p w14:paraId="3264AC9A" w14:textId="523B9C8A" w:rsidR="008921CE" w:rsidRPr="00745F42" w:rsidRDefault="01C07FEA" w:rsidP="01C07FEA">
            <w:pPr>
              <w:jc w:val="both"/>
              <w:rPr>
                <w:b/>
                <w:bCs/>
                <w:sz w:val="20"/>
              </w:rPr>
            </w:pPr>
            <w:r w:rsidRPr="01C07FEA">
              <w:rPr>
                <w:b/>
                <w:bCs/>
                <w:sz w:val="20"/>
              </w:rPr>
              <w:t>Nepanaudojamas Lietuvos mokslo potencialas sprendžiant valstybei bei visuomenei kylančius iššūkius ir didinant studijų kokybę</w:t>
            </w:r>
          </w:p>
          <w:p w14:paraId="5B3E54A7" w14:textId="77777777" w:rsidR="008921CE" w:rsidRDefault="008921CE" w:rsidP="008921CE">
            <w:pPr>
              <w:jc w:val="both"/>
              <w:rPr>
                <w:sz w:val="20"/>
              </w:rPr>
            </w:pPr>
          </w:p>
          <w:p w14:paraId="01427A2A" w14:textId="0715AC84" w:rsidR="00D451C9" w:rsidRDefault="6FCA0EA6" w:rsidP="01C07FEA">
            <w:pPr>
              <w:jc w:val="both"/>
              <w:rPr>
                <w:sz w:val="20"/>
              </w:rPr>
            </w:pPr>
            <w:r w:rsidRPr="01C07FEA">
              <w:rPr>
                <w:sz w:val="20"/>
              </w:rPr>
              <w:t xml:space="preserve">Lietuvos </w:t>
            </w:r>
            <w:r w:rsidR="3680AFE7" w:rsidRPr="01C07FEA">
              <w:rPr>
                <w:sz w:val="20"/>
              </w:rPr>
              <w:t>aukštosios mokyklos</w:t>
            </w:r>
            <w:r w:rsidRPr="01C07FEA">
              <w:rPr>
                <w:sz w:val="20"/>
              </w:rPr>
              <w:t xml:space="preserve"> save suvokia ir yra matomos vis dar visų pirma ir labiausiai kaip išimtinai studijų institucijos. Nesant plataus mokslui imlaus verslo sektoriaus Lietuvoje, verslui aktualus studentų, t. y. reikiamų specialistų</w:t>
            </w:r>
            <w:r w:rsidR="32741E19" w:rsidRPr="01C07FEA">
              <w:rPr>
                <w:sz w:val="20"/>
              </w:rPr>
              <w:t>,</w:t>
            </w:r>
            <w:r w:rsidRPr="01C07FEA">
              <w:rPr>
                <w:sz w:val="20"/>
              </w:rPr>
              <w:t xml:space="preserve"> parengimas, o ne MSI kuriami MTEP rezultatai. </w:t>
            </w:r>
            <w:r w:rsidR="07DE1911" w:rsidRPr="01C07FEA">
              <w:rPr>
                <w:sz w:val="20"/>
              </w:rPr>
              <w:t xml:space="preserve">Aukštosios mokyklos prie visuomenės vystymosi, </w:t>
            </w:r>
            <w:r w:rsidR="32741E19" w:rsidRPr="01C07FEA">
              <w:rPr>
                <w:sz w:val="20"/>
              </w:rPr>
              <w:t xml:space="preserve">šalies ir pasaulio </w:t>
            </w:r>
            <w:r w:rsidR="07DE1911" w:rsidRPr="01C07FEA">
              <w:rPr>
                <w:sz w:val="20"/>
              </w:rPr>
              <w:t xml:space="preserve">ekonominių ir socialinių problemų sprendimo Lietuvos atveju vis dar pirmiausia prisideda per švietimo/studijų dimensiją. </w:t>
            </w:r>
            <w:r w:rsidRPr="01C07FEA">
              <w:rPr>
                <w:sz w:val="20"/>
              </w:rPr>
              <w:t>Tačiau ir čia svarbu tai, kad kokybiškos aukštąjį išsilavinimą suteikiančios studijos neįmanomos jų negrindžiant MSI sutelktu mokslo potencialu.</w:t>
            </w:r>
            <w:r w:rsidR="00341B55" w:rsidRPr="01C07FEA">
              <w:rPr>
                <w:rStyle w:val="Puslapioinaosnuoroda"/>
                <w:sz w:val="20"/>
              </w:rPr>
              <w:footnoteReference w:id="100"/>
            </w:r>
            <w:r w:rsidR="553A80E7" w:rsidRPr="01C07FEA">
              <w:rPr>
                <w:sz w:val="20"/>
              </w:rPr>
              <w:t xml:space="preserve"> Š</w:t>
            </w:r>
            <w:r w:rsidR="2875B58B" w:rsidRPr="01C07FEA">
              <w:rPr>
                <w:sz w:val="20"/>
              </w:rPr>
              <w:t>iuo metu tendenc</w:t>
            </w:r>
            <w:r w:rsidR="553A80E7" w:rsidRPr="01C07FEA">
              <w:rPr>
                <w:sz w:val="20"/>
              </w:rPr>
              <w:t xml:space="preserve">ija priešinga – aukštosios mokyklos </w:t>
            </w:r>
            <w:proofErr w:type="spellStart"/>
            <w:r w:rsidR="553A80E7" w:rsidRPr="01C07FEA">
              <w:rPr>
                <w:sz w:val="20"/>
              </w:rPr>
              <w:t>varžydamosis</w:t>
            </w:r>
            <w:proofErr w:type="spellEnd"/>
            <w:r w:rsidR="553A80E7" w:rsidRPr="01C07FEA">
              <w:rPr>
                <w:sz w:val="20"/>
              </w:rPr>
              <w:t xml:space="preserve"> dėl studentų krepšelių (tad ir finansavimo) kuria populiarių pavadinimų studijų programas </w:t>
            </w:r>
            <w:r w:rsidR="2875B58B" w:rsidRPr="01C07FEA">
              <w:rPr>
                <w:sz w:val="20"/>
              </w:rPr>
              <w:t xml:space="preserve">srityse, kuriose neturi mokslinio potencialo ir aukštojo mokslo studijų lygmenį atitinkančio mokymo proceso ir žinių studentams pasiūlyti </w:t>
            </w:r>
            <w:r w:rsidR="00A22A4E" w:rsidRPr="01C07FEA">
              <w:rPr>
                <w:sz w:val="20"/>
              </w:rPr>
              <w:t>negali</w:t>
            </w:r>
            <w:r w:rsidR="2875B58B" w:rsidRPr="01C07FEA">
              <w:rPr>
                <w:sz w:val="20"/>
              </w:rPr>
              <w:t>.</w:t>
            </w:r>
          </w:p>
          <w:p w14:paraId="6E555B85" w14:textId="6083E798" w:rsidR="00341B55" w:rsidRDefault="6FCA0EA6" w:rsidP="01C07FEA">
            <w:pPr>
              <w:jc w:val="both"/>
              <w:rPr>
                <w:sz w:val="20"/>
              </w:rPr>
            </w:pPr>
            <w:r w:rsidRPr="01C07FEA">
              <w:rPr>
                <w:sz w:val="20"/>
              </w:rPr>
              <w:t>MSI taip pat tik labai fragmentuotai atlieka ir kitą</w:t>
            </w:r>
            <w:r w:rsidR="32741E19" w:rsidRPr="01C07FEA">
              <w:rPr>
                <w:sz w:val="20"/>
              </w:rPr>
              <w:t>,</w:t>
            </w:r>
            <w:r w:rsidRPr="01C07FEA">
              <w:rPr>
                <w:sz w:val="20"/>
              </w:rPr>
              <w:t xml:space="preserve"> žinių perdavimo visuomenei</w:t>
            </w:r>
            <w:r w:rsidR="32741E19" w:rsidRPr="01C07FEA">
              <w:rPr>
                <w:sz w:val="20"/>
              </w:rPr>
              <w:t>,</w:t>
            </w:r>
            <w:r w:rsidRPr="01C07FEA">
              <w:rPr>
                <w:sz w:val="20"/>
              </w:rPr>
              <w:t xml:space="preserve"> funkciją – vangi MSI vykdoma mokslo komunikacija neprisideda prie visiems prieinamų mokslo rezultatų viešinimo, mokslu grįstų inovacijų kultūros skleidimo </w:t>
            </w:r>
            <w:r w:rsidR="07DE1911" w:rsidRPr="01C07FEA">
              <w:rPr>
                <w:sz w:val="20"/>
              </w:rPr>
              <w:t xml:space="preserve">šalyje, neišnaudojamos galimybės prisidėti prie mąstymo pokyčių valstybės valdyme ir keičiant </w:t>
            </w:r>
            <w:r w:rsidR="07DE1911" w:rsidRPr="01C07FEA">
              <w:rPr>
                <w:sz w:val="20"/>
              </w:rPr>
              <w:lastRenderedPageBreak/>
              <w:t>dominuojantį pigių darbo veiksnių išnaudojimo verslo modelį.</w:t>
            </w:r>
            <w:r w:rsidR="003A634C" w:rsidRPr="01C07FEA">
              <w:rPr>
                <w:rStyle w:val="Puslapioinaosnuoroda"/>
                <w:sz w:val="20"/>
              </w:rPr>
              <w:footnoteReference w:id="101"/>
            </w:r>
            <w:r w:rsidR="25CA5035" w:rsidRPr="01C07FEA">
              <w:rPr>
                <w:sz w:val="20"/>
              </w:rPr>
              <w:t xml:space="preserve"> </w:t>
            </w:r>
            <w:r w:rsidR="2C321FFB" w:rsidRPr="01C07FEA">
              <w:rPr>
                <w:sz w:val="20"/>
              </w:rPr>
              <w:t>Kaip pabrėžiama ir Europos Komisijos komunikate dėl Europos mokslinių tyrimų erdvės 2030, mokslo sistemos rolė yra gerokai didesnė nei tik naujų (gerai apmokamų) darbo vietų kūrimas.</w:t>
            </w:r>
            <w:r w:rsidR="003A2011" w:rsidRPr="01C07FEA">
              <w:rPr>
                <w:rStyle w:val="Puslapioinaosnuoroda"/>
                <w:sz w:val="20"/>
              </w:rPr>
              <w:footnoteReference w:id="102"/>
            </w:r>
            <w:r w:rsidR="2C321FFB" w:rsidRPr="01C07FEA">
              <w:rPr>
                <w:sz w:val="20"/>
              </w:rPr>
              <w:t xml:space="preserve"> </w:t>
            </w:r>
            <w:r w:rsidR="25CA5035" w:rsidRPr="01C07FEA">
              <w:rPr>
                <w:sz w:val="20"/>
              </w:rPr>
              <w:t xml:space="preserve">Apskritai, šalyje dar </w:t>
            </w:r>
            <w:r w:rsidR="32741E19" w:rsidRPr="01C07FEA">
              <w:rPr>
                <w:sz w:val="20"/>
              </w:rPr>
              <w:t>gajus</w:t>
            </w:r>
            <w:r w:rsidR="25CA5035" w:rsidRPr="01C07FEA">
              <w:rPr>
                <w:sz w:val="20"/>
              </w:rPr>
              <w:t xml:space="preserve"> </w:t>
            </w:r>
            <w:r w:rsidR="2CA6B745" w:rsidRPr="01C07FEA">
              <w:rPr>
                <w:sz w:val="20"/>
              </w:rPr>
              <w:t xml:space="preserve">itin </w:t>
            </w:r>
            <w:proofErr w:type="spellStart"/>
            <w:r w:rsidR="25CA5035" w:rsidRPr="01C07FEA">
              <w:rPr>
                <w:sz w:val="20"/>
              </w:rPr>
              <w:t>ekonomizuotas</w:t>
            </w:r>
            <w:proofErr w:type="spellEnd"/>
            <w:r w:rsidR="25CA5035" w:rsidRPr="01C07FEA">
              <w:rPr>
                <w:sz w:val="20"/>
              </w:rPr>
              <w:t xml:space="preserve"> požiūris į mokslą</w:t>
            </w:r>
            <w:r w:rsidR="2CA6B745" w:rsidRPr="01C07FEA">
              <w:rPr>
                <w:sz w:val="20"/>
              </w:rPr>
              <w:t xml:space="preserve">, jo rezultatus, taip tarsi atmetant poreikį spręsti fundamentalius </w:t>
            </w:r>
            <w:r w:rsidR="2C321FFB" w:rsidRPr="01C07FEA">
              <w:rPr>
                <w:sz w:val="20"/>
              </w:rPr>
              <w:t xml:space="preserve">paties </w:t>
            </w:r>
            <w:r w:rsidR="2CA6B745" w:rsidRPr="01C07FEA">
              <w:rPr>
                <w:sz w:val="20"/>
              </w:rPr>
              <w:t>mokslo ir visuomenės klausimus</w:t>
            </w:r>
            <w:r w:rsidR="32741E19" w:rsidRPr="01C07FEA">
              <w:rPr>
                <w:sz w:val="20"/>
              </w:rPr>
              <w:t xml:space="preserve"> </w:t>
            </w:r>
            <w:r w:rsidR="7B3887D0" w:rsidRPr="01C07FEA">
              <w:rPr>
                <w:sz w:val="20"/>
              </w:rPr>
              <w:t xml:space="preserve">(lituanistikos </w:t>
            </w:r>
            <w:r w:rsidR="6E337C4D" w:rsidRPr="01C07FEA">
              <w:rPr>
                <w:sz w:val="20"/>
              </w:rPr>
              <w:t>aspektas vykdomuose MTEP</w:t>
            </w:r>
            <w:r w:rsidR="159415DB" w:rsidRPr="01C07FEA">
              <w:rPr>
                <w:sz w:val="20"/>
              </w:rPr>
              <w:t>, lyties dėmens integravimas</w:t>
            </w:r>
            <w:r w:rsidR="7B3887D0" w:rsidRPr="01C07FEA">
              <w:rPr>
                <w:sz w:val="20"/>
              </w:rPr>
              <w:t>)</w:t>
            </w:r>
            <w:r w:rsidR="00D3682F" w:rsidRPr="01C07FEA">
              <w:rPr>
                <w:rStyle w:val="Puslapioinaosnuoroda"/>
                <w:sz w:val="20"/>
              </w:rPr>
              <w:footnoteReference w:id="103"/>
            </w:r>
            <w:r w:rsidR="7B3887D0" w:rsidRPr="01C07FEA">
              <w:rPr>
                <w:sz w:val="20"/>
              </w:rPr>
              <w:t xml:space="preserve">, klausimus </w:t>
            </w:r>
            <w:r w:rsidR="32741E19" w:rsidRPr="01C07FEA">
              <w:rPr>
                <w:sz w:val="20"/>
              </w:rPr>
              <w:t>aktualius ir pasauliniu lygiu</w:t>
            </w:r>
            <w:r w:rsidR="2CA6B745" w:rsidRPr="01C07FEA">
              <w:rPr>
                <w:sz w:val="20"/>
              </w:rPr>
              <w:t>, susitelkiant tik į greito komercinio rezultato poreikį. Tačiau net ir EBPO ekspertai pabrėžia, kad būtent fundamentinių mokslinių tyrimų atveriamas potencialas yra esamų ir naujų verslo nišų pagrindas.</w:t>
            </w:r>
            <w:r w:rsidR="32741E19" w:rsidRPr="01C07FEA">
              <w:rPr>
                <w:sz w:val="20"/>
              </w:rPr>
              <w:t xml:space="preserve"> MSI vystoma įvairių formų veikla turi tiesioginę įtaką visuomenės gerovei – pavyzdžiui, net ir su privačiu verslu organizuojami MTEP projektai turi didesnę </w:t>
            </w:r>
            <w:proofErr w:type="spellStart"/>
            <w:r w:rsidR="32741E19" w:rsidRPr="01C07FEA">
              <w:rPr>
                <w:sz w:val="20"/>
              </w:rPr>
              <w:t>socioekonominę</w:t>
            </w:r>
            <w:proofErr w:type="spellEnd"/>
            <w:r w:rsidR="32741E19" w:rsidRPr="01C07FEA">
              <w:rPr>
                <w:sz w:val="20"/>
              </w:rPr>
              <w:t xml:space="preserve"> įtaką vis</w:t>
            </w:r>
            <w:r w:rsidR="0AC9BE49" w:rsidRPr="01C07FEA">
              <w:rPr>
                <w:sz w:val="20"/>
              </w:rPr>
              <w:t>a</w:t>
            </w:r>
            <w:r w:rsidR="32741E19" w:rsidRPr="01C07FEA">
              <w:rPr>
                <w:sz w:val="20"/>
              </w:rPr>
              <w:t xml:space="preserve">i ekonomikai nei konkrečiai MTEP vykdančiai įmonei (privati grąža siekia 15 proc., </w:t>
            </w:r>
            <w:proofErr w:type="spellStart"/>
            <w:r w:rsidR="32741E19" w:rsidRPr="01C07FEA">
              <w:rPr>
                <w:sz w:val="20"/>
              </w:rPr>
              <w:t>socioekonominė</w:t>
            </w:r>
            <w:proofErr w:type="spellEnd"/>
            <w:r w:rsidR="32741E19" w:rsidRPr="01C07FEA">
              <w:rPr>
                <w:sz w:val="20"/>
              </w:rPr>
              <w:t xml:space="preserve"> grąža visai visuomenei – 60 proc.).</w:t>
            </w:r>
            <w:r w:rsidR="32741E19" w:rsidRPr="01C07FEA">
              <w:rPr>
                <w:rStyle w:val="Puslapioinaosnuoroda"/>
                <w:sz w:val="20"/>
              </w:rPr>
              <w:t xml:space="preserve"> </w:t>
            </w:r>
            <w:r w:rsidR="00B2067B" w:rsidRPr="01C07FEA">
              <w:rPr>
                <w:rStyle w:val="Puslapioinaosnuoroda"/>
                <w:sz w:val="20"/>
              </w:rPr>
              <w:footnoteReference w:id="104"/>
            </w:r>
          </w:p>
          <w:p w14:paraId="2BA0DC5C" w14:textId="77777777" w:rsidR="00F979F9" w:rsidRDefault="00F979F9" w:rsidP="00B2067B">
            <w:pPr>
              <w:jc w:val="both"/>
              <w:rPr>
                <w:sz w:val="20"/>
              </w:rPr>
            </w:pPr>
          </w:p>
          <w:p w14:paraId="634B5847" w14:textId="44DABCB8" w:rsidR="00B2067B" w:rsidRDefault="01C07FEA" w:rsidP="01C07FEA">
            <w:pPr>
              <w:jc w:val="both"/>
              <w:rPr>
                <w:sz w:val="20"/>
              </w:rPr>
            </w:pPr>
            <w:r w:rsidRPr="01C07FEA">
              <w:rPr>
                <w:sz w:val="20"/>
              </w:rPr>
              <w:t>Siekiamas pokytis: stiprėjančią Lietuvos MSI teikiamų mokslu grįstų studijų pasiūlą sąlygos didesnis dėmesys MSI vystomiems fundamentalių mokslo ir visuomenės klausimų sprendimams, tai kartu lems reikšmingesnį Lietuvos tyrėjų vaidmenį tarptautinėje mokslo bendruomenėje.</w:t>
            </w:r>
          </w:p>
          <w:p w14:paraId="5C86788E" w14:textId="77777777" w:rsidR="00B2067B" w:rsidRPr="00745F42" w:rsidRDefault="00B2067B" w:rsidP="00B2067B">
            <w:pPr>
              <w:jc w:val="both"/>
              <w:rPr>
                <w:sz w:val="20"/>
              </w:rPr>
            </w:pPr>
          </w:p>
          <w:p w14:paraId="7AD7A4CD" w14:textId="249F3416" w:rsidR="00B2067B"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4B064B8B" w14:textId="77777777" w:rsidR="00552F6E" w:rsidRPr="00745F42" w:rsidRDefault="00552F6E" w:rsidP="00B2067B">
            <w:pPr>
              <w:jc w:val="both"/>
              <w:rPr>
                <w:sz w:val="20"/>
              </w:rPr>
            </w:pPr>
          </w:p>
          <w:p w14:paraId="3DDA4FAC" w14:textId="77777777" w:rsidR="00B2067B"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7B2F556B" w14:textId="77777777" w:rsidR="00B84DB2" w:rsidRPr="00745F42" w:rsidRDefault="00B84DB2" w:rsidP="008921CE">
            <w:pPr>
              <w:jc w:val="both"/>
              <w:rPr>
                <w:b/>
                <w:sz w:val="20"/>
              </w:rPr>
            </w:pPr>
          </w:p>
        </w:tc>
      </w:tr>
      <w:tr w:rsidR="008921CE" w:rsidRPr="00745F42" w14:paraId="21FD423E" w14:textId="77777777" w:rsidTr="01C07FEA">
        <w:trPr>
          <w:trHeight w:val="70"/>
        </w:trPr>
        <w:tc>
          <w:tcPr>
            <w:tcW w:w="13887" w:type="dxa"/>
            <w:shd w:val="clear" w:color="auto" w:fill="FFFFFF" w:themeFill="background1"/>
          </w:tcPr>
          <w:p w14:paraId="5821D521" w14:textId="77777777" w:rsidR="008921CE" w:rsidRPr="00745F42" w:rsidRDefault="01C07FEA" w:rsidP="01C07FEA">
            <w:pPr>
              <w:jc w:val="both"/>
              <w:rPr>
                <w:b/>
                <w:bCs/>
                <w:sz w:val="20"/>
              </w:rPr>
            </w:pPr>
            <w:r w:rsidRPr="01C07FEA">
              <w:rPr>
                <w:b/>
                <w:bCs/>
                <w:sz w:val="20"/>
              </w:rPr>
              <w:lastRenderedPageBreak/>
              <w:t>Problemos priežastys:</w:t>
            </w:r>
          </w:p>
          <w:p w14:paraId="24FA39A4" w14:textId="77777777" w:rsidR="00644993" w:rsidRPr="00745F42" w:rsidRDefault="00644993" w:rsidP="008921CE">
            <w:pPr>
              <w:jc w:val="both"/>
              <w:rPr>
                <w:b/>
                <w:sz w:val="20"/>
              </w:rPr>
            </w:pPr>
          </w:p>
          <w:p w14:paraId="2E821C93" w14:textId="3779812C" w:rsidR="00644993" w:rsidRPr="009D0E43" w:rsidRDefault="01C07FEA" w:rsidP="01C07FEA">
            <w:pPr>
              <w:pStyle w:val="Sraopastraipa"/>
              <w:numPr>
                <w:ilvl w:val="1"/>
                <w:numId w:val="41"/>
              </w:numPr>
              <w:ind w:left="763"/>
              <w:jc w:val="both"/>
              <w:rPr>
                <w:sz w:val="20"/>
              </w:rPr>
            </w:pPr>
            <w:r w:rsidRPr="01C07FEA">
              <w:rPr>
                <w:sz w:val="20"/>
              </w:rPr>
              <w:t>Mokslo veiklų bazinis finansavimas išlieka itin mažas, kai studijų veiklų finansavimas artimas ES vidurkiui</w:t>
            </w:r>
          </w:p>
          <w:p w14:paraId="508EFEA1" w14:textId="77777777" w:rsidR="004046F1" w:rsidRPr="00745F42" w:rsidRDefault="01C07FEA" w:rsidP="01C07FEA">
            <w:pPr>
              <w:jc w:val="both"/>
              <w:rPr>
                <w:sz w:val="20"/>
              </w:rPr>
            </w:pPr>
            <w:r w:rsidRPr="01C07FEA">
              <w:rPr>
                <w:sz w:val="20"/>
              </w:rPr>
              <w:t>Žr. pagrindimą prie 1 problemos 1 punkto.</w:t>
            </w:r>
          </w:p>
          <w:p w14:paraId="0B44C53B" w14:textId="77777777" w:rsidR="009D0E43" w:rsidRDefault="009D0E43" w:rsidP="009D0E43">
            <w:pPr>
              <w:jc w:val="both"/>
              <w:rPr>
                <w:sz w:val="20"/>
              </w:rPr>
            </w:pPr>
          </w:p>
          <w:p w14:paraId="7DAE035B" w14:textId="030DF8C4" w:rsidR="004046F1" w:rsidRPr="009D0E43" w:rsidRDefault="01C07FEA" w:rsidP="01C07FEA">
            <w:pPr>
              <w:pStyle w:val="Sraopastraipa"/>
              <w:numPr>
                <w:ilvl w:val="1"/>
                <w:numId w:val="41"/>
              </w:numPr>
              <w:ind w:left="763"/>
              <w:jc w:val="both"/>
              <w:rPr>
                <w:sz w:val="20"/>
              </w:rPr>
            </w:pPr>
            <w:r w:rsidRPr="01C07FEA">
              <w:rPr>
                <w:sz w:val="20"/>
              </w:rPr>
              <w:t>Nepakankamas studijų kokybės užtikrinimo veiksmingumas (</w:t>
            </w:r>
            <w:r w:rsidRPr="01C07FEA">
              <w:rPr>
                <w:i/>
                <w:iCs/>
                <w:sz w:val="20"/>
              </w:rPr>
              <w:t>Ši priežastis sprendžiama ŠMSM švietimo plėtros programoje</w:t>
            </w:r>
            <w:r w:rsidRPr="01C07FEA">
              <w:rPr>
                <w:sz w:val="20"/>
              </w:rPr>
              <w:t>)</w:t>
            </w:r>
          </w:p>
          <w:p w14:paraId="60BA2AFA" w14:textId="11FF7A4C" w:rsidR="00337143" w:rsidRPr="00337143" w:rsidRDefault="5881FB88" w:rsidP="01C07FEA">
            <w:pPr>
              <w:jc w:val="both"/>
              <w:rPr>
                <w:sz w:val="20"/>
              </w:rPr>
            </w:pPr>
            <w:r w:rsidRPr="01C07FEA">
              <w:rPr>
                <w:sz w:val="20"/>
              </w:rPr>
              <w:t xml:space="preserve">Aukštosios mokyklos siūlo studijų programas stojantiesiems ir rengia specialistus ne pagal realų specialistų poreikį rinkai, o pagal jų populiarumą, nes nuo to priklauso studijų finansavimas, t. y. nuo kiekybinio mato – studentų skaičiaus. Patiriamas didelis spaudimas didinti bendrą valstybės finansuojamų studijų vietų skaičių, dėl to iškraipomos proporcijos tarp profesinio mokymo, koleginio ir universitetinio sektorių. Nepaisant to, kad šalies darbo rinkoje nėra pakankamos darbų pasiūlos aukštąjį mokslą baigusių studentų kvalifikacijai, </w:t>
            </w:r>
            <w:r w:rsidR="1CBEA076" w:rsidRPr="01C07FEA">
              <w:rPr>
                <w:sz w:val="20"/>
              </w:rPr>
              <w:t xml:space="preserve">o </w:t>
            </w:r>
            <w:r w:rsidRPr="01C07FEA">
              <w:rPr>
                <w:sz w:val="20"/>
              </w:rPr>
              <w:t xml:space="preserve">mokyklas baigusiųjų abiturientų skaičius kasmet mažėja, universitetai ir kolegijos, užuot struktūriškai optimizavę savo veiklą ir programas, siekia užsitikrinti finansavimą, pritraukdamos silpnesnius studentus. </w:t>
            </w:r>
            <w:r w:rsidR="004F5F88" w:rsidRPr="01C07FEA">
              <w:rPr>
                <w:sz w:val="20"/>
              </w:rPr>
              <w:t>To pasek</w:t>
            </w:r>
            <w:r w:rsidR="00734409" w:rsidRPr="01C07FEA">
              <w:rPr>
                <w:sz w:val="20"/>
              </w:rPr>
              <w:t>mė</w:t>
            </w:r>
            <w:r w:rsidR="004F5F88" w:rsidRPr="01C07FEA">
              <w:rPr>
                <w:sz w:val="20"/>
              </w:rPr>
              <w:t xml:space="preserve">, </w:t>
            </w:r>
            <w:r w:rsidRPr="01C07FEA">
              <w:rPr>
                <w:sz w:val="20"/>
              </w:rPr>
              <w:t>Eurostato duomenimis, Lietuva yra ketvirta tarp šalių, kuriose vienam studentui tenka mažiausiai lėšų</w:t>
            </w:r>
            <w:r w:rsidR="004F5F88" w:rsidRPr="01C07FEA">
              <w:rPr>
                <w:sz w:val="20"/>
              </w:rPr>
              <w:t>, nors bendras valstybės skiriamas finansavimas studijoms yra artimas ES vidurkiui</w:t>
            </w:r>
            <w:r w:rsidRPr="01C07FEA">
              <w:rPr>
                <w:sz w:val="20"/>
              </w:rPr>
              <w:t xml:space="preserve">. </w:t>
            </w:r>
            <w:r w:rsidR="1CBEA076" w:rsidRPr="01C07FEA">
              <w:rPr>
                <w:sz w:val="20"/>
              </w:rPr>
              <w:t xml:space="preserve">Studijų kokybės vertinimo centras išanalizavo LAMA BPO 2019 m. bendrojo priėmimo į pirmosios pakopos ir vientisąsias studijų programas duomenis ir nustatė, kad iš 614 pirmos pakopos ir vientisųjų studijų programų, kurias tais metais pasiūlė Lietuvos aukštosios mokyklos, geriausius ekspertų </w:t>
            </w:r>
            <w:proofErr w:type="spellStart"/>
            <w:r w:rsidR="1CBEA076" w:rsidRPr="01C07FEA">
              <w:rPr>
                <w:sz w:val="20"/>
              </w:rPr>
              <w:t>įvertinimus</w:t>
            </w:r>
            <w:proofErr w:type="spellEnd"/>
            <w:r w:rsidR="1CBEA076" w:rsidRPr="01C07FEA">
              <w:rPr>
                <w:sz w:val="20"/>
              </w:rPr>
              <w:t xml:space="preserve"> buvo gavusios tik 30 programų, t. y. mažiau nei 5 proc. visų programų.</w:t>
            </w:r>
            <w:r w:rsidR="001116DD" w:rsidRPr="01C07FEA">
              <w:rPr>
                <w:rStyle w:val="Puslapioinaosnuoroda"/>
                <w:sz w:val="20"/>
              </w:rPr>
              <w:footnoteReference w:id="105"/>
            </w:r>
            <w:r w:rsidR="1CBEA076" w:rsidRPr="01C07FEA">
              <w:rPr>
                <w:sz w:val="20"/>
              </w:rPr>
              <w:t xml:space="preserve"> Student</w:t>
            </w:r>
            <w:r w:rsidR="3F7B7315" w:rsidRPr="01C07FEA">
              <w:rPr>
                <w:sz w:val="20"/>
              </w:rPr>
              <w:t xml:space="preserve">ų </w:t>
            </w:r>
            <w:r w:rsidR="3F7B7315" w:rsidRPr="01C07FEA">
              <w:rPr>
                <w:sz w:val="20"/>
              </w:rPr>
              <w:lastRenderedPageBreak/>
              <w:t>skaičiaus gausinimo strategijos rezultatai</w:t>
            </w:r>
            <w:r w:rsidR="1CBEA076" w:rsidRPr="01C07FEA">
              <w:rPr>
                <w:sz w:val="20"/>
              </w:rPr>
              <w:t xml:space="preserve"> didinant dirbtinai </w:t>
            </w:r>
            <w:r w:rsidR="3F7B7315" w:rsidRPr="01C07FEA">
              <w:rPr>
                <w:sz w:val="20"/>
              </w:rPr>
              <w:t>susmulkintų</w:t>
            </w:r>
            <w:r w:rsidR="1CBEA076" w:rsidRPr="01C07FEA">
              <w:rPr>
                <w:sz w:val="20"/>
              </w:rPr>
              <w:t xml:space="preserve"> ir populiarių</w:t>
            </w:r>
            <w:r w:rsidR="3F7B7315" w:rsidRPr="01C07FEA">
              <w:rPr>
                <w:sz w:val="20"/>
              </w:rPr>
              <w:t xml:space="preserve"> pavadinimų</w:t>
            </w:r>
            <w:r w:rsidR="1CBEA076" w:rsidRPr="01C07FEA">
              <w:rPr>
                <w:sz w:val="20"/>
              </w:rPr>
              <w:t xml:space="preserve">, bet MSI mokslinės kompetencijos neatspindinčių studijų programų skaičių taip prisitaikant prie esamos MSI vertinimo ir finansavimo sistemos matyti ir tarptautiniuose reitinguose – į 1000 geriausių </w:t>
            </w:r>
            <w:r w:rsidR="1CBEA076" w:rsidRPr="01C07FEA">
              <w:rPr>
                <w:i/>
                <w:iCs/>
                <w:sz w:val="20"/>
              </w:rPr>
              <w:t xml:space="preserve">QS </w:t>
            </w:r>
            <w:proofErr w:type="spellStart"/>
            <w:r w:rsidR="3F7B7315" w:rsidRPr="01C07FEA">
              <w:rPr>
                <w:i/>
                <w:iCs/>
                <w:sz w:val="20"/>
              </w:rPr>
              <w:t>World</w:t>
            </w:r>
            <w:proofErr w:type="spellEnd"/>
            <w:r w:rsidR="3F7B7315" w:rsidRPr="01C07FEA">
              <w:rPr>
                <w:i/>
                <w:iCs/>
                <w:sz w:val="20"/>
              </w:rPr>
              <w:t xml:space="preserve"> </w:t>
            </w:r>
            <w:proofErr w:type="spellStart"/>
            <w:r w:rsidR="1CBEA076" w:rsidRPr="01C07FEA">
              <w:rPr>
                <w:i/>
                <w:iCs/>
                <w:sz w:val="20"/>
              </w:rPr>
              <w:t>university</w:t>
            </w:r>
            <w:proofErr w:type="spellEnd"/>
            <w:r w:rsidR="1CBEA076" w:rsidRPr="01C07FEA">
              <w:rPr>
                <w:i/>
                <w:iCs/>
                <w:sz w:val="20"/>
              </w:rPr>
              <w:t xml:space="preserve"> </w:t>
            </w:r>
            <w:proofErr w:type="spellStart"/>
            <w:r w:rsidR="1CBEA076" w:rsidRPr="01C07FEA">
              <w:rPr>
                <w:i/>
                <w:iCs/>
                <w:sz w:val="20"/>
              </w:rPr>
              <w:t>ranking</w:t>
            </w:r>
            <w:proofErr w:type="spellEnd"/>
            <w:r w:rsidR="1CBEA076" w:rsidRPr="01C07FEA">
              <w:rPr>
                <w:sz w:val="20"/>
              </w:rPr>
              <w:t xml:space="preserve"> MSI patenka vos keturios Lietuvos aukštosios mokyklos, į top500 – tik viena.</w:t>
            </w:r>
            <w:r w:rsidR="00255977" w:rsidRPr="01C07FEA">
              <w:rPr>
                <w:rStyle w:val="Puslapioinaosnuoroda"/>
                <w:sz w:val="20"/>
              </w:rPr>
              <w:footnoteReference w:id="106"/>
            </w:r>
          </w:p>
          <w:p w14:paraId="1D8FC09F" w14:textId="77777777" w:rsidR="00337143" w:rsidRPr="00745F42" w:rsidRDefault="00337143" w:rsidP="004046F1">
            <w:pPr>
              <w:jc w:val="both"/>
              <w:rPr>
                <w:sz w:val="20"/>
              </w:rPr>
            </w:pPr>
          </w:p>
          <w:p w14:paraId="17C3C8A6" w14:textId="6441A224" w:rsidR="00644993" w:rsidRPr="009D0E43" w:rsidRDefault="01C07FEA" w:rsidP="01C07FEA">
            <w:pPr>
              <w:pStyle w:val="Sraopastraipa"/>
              <w:numPr>
                <w:ilvl w:val="1"/>
                <w:numId w:val="41"/>
              </w:numPr>
              <w:ind w:left="763"/>
              <w:jc w:val="both"/>
              <w:rPr>
                <w:sz w:val="20"/>
              </w:rPr>
            </w:pPr>
            <w:r w:rsidRPr="01C07FEA">
              <w:rPr>
                <w:sz w:val="20"/>
              </w:rPr>
              <w:t>I, II pakopų ir vientisųjų studijų studentai menkai įtraukiami į MTEP veiklas</w:t>
            </w:r>
          </w:p>
          <w:p w14:paraId="4CF55541" w14:textId="20081DC6" w:rsidR="00491FE3" w:rsidRDefault="01C07FEA" w:rsidP="01C07FEA">
            <w:pPr>
              <w:jc w:val="both"/>
              <w:rPr>
                <w:sz w:val="20"/>
              </w:rPr>
            </w:pPr>
            <w:r w:rsidRPr="01C07FEA">
              <w:rPr>
                <w:sz w:val="20"/>
              </w:rPr>
              <w:t>Žr. pagrindimą prie 1 problemos 8 punkto.</w:t>
            </w:r>
          </w:p>
          <w:p w14:paraId="726AED33" w14:textId="77777777" w:rsidR="00337143" w:rsidRPr="00745F42" w:rsidRDefault="00337143" w:rsidP="00491FE3">
            <w:pPr>
              <w:jc w:val="both"/>
              <w:rPr>
                <w:sz w:val="20"/>
              </w:rPr>
            </w:pPr>
          </w:p>
          <w:p w14:paraId="1481557B" w14:textId="3CDDD8FA" w:rsidR="00337143" w:rsidRPr="009D0E43" w:rsidRDefault="01C07FEA" w:rsidP="01C07FEA">
            <w:pPr>
              <w:pStyle w:val="Sraopastraipa"/>
              <w:numPr>
                <w:ilvl w:val="1"/>
                <w:numId w:val="41"/>
              </w:numPr>
              <w:ind w:left="763"/>
              <w:jc w:val="both"/>
              <w:rPr>
                <w:sz w:val="20"/>
              </w:rPr>
            </w:pPr>
            <w:r w:rsidRPr="01C07FEA">
              <w:rPr>
                <w:sz w:val="20"/>
              </w:rPr>
              <w:t>Menkai išreikštas valstybės institucijų poreikis MTEP paslaugoms</w:t>
            </w:r>
          </w:p>
          <w:p w14:paraId="40B90ED9" w14:textId="77777777" w:rsidR="00337143" w:rsidRPr="00745F42" w:rsidRDefault="01C07FEA" w:rsidP="01C07FEA">
            <w:pPr>
              <w:jc w:val="both"/>
              <w:rPr>
                <w:sz w:val="20"/>
              </w:rPr>
            </w:pPr>
            <w:r w:rsidRPr="01C07FEA">
              <w:rPr>
                <w:sz w:val="20"/>
              </w:rPr>
              <w:t>Žr. pagrindimą prie 1 problemos 2 punkto.</w:t>
            </w:r>
          </w:p>
          <w:p w14:paraId="7AD48D5B" w14:textId="77777777" w:rsidR="00491FE3" w:rsidRPr="00745F42" w:rsidRDefault="00491FE3" w:rsidP="00491FE3">
            <w:pPr>
              <w:jc w:val="both"/>
              <w:rPr>
                <w:sz w:val="20"/>
              </w:rPr>
            </w:pPr>
          </w:p>
          <w:p w14:paraId="473FC7BB" w14:textId="226204EC" w:rsidR="00644993" w:rsidRPr="009D0E43" w:rsidRDefault="01C07FEA" w:rsidP="01C07FEA">
            <w:pPr>
              <w:pStyle w:val="Sraopastraipa"/>
              <w:numPr>
                <w:ilvl w:val="1"/>
                <w:numId w:val="41"/>
              </w:numPr>
              <w:ind w:left="763"/>
              <w:jc w:val="both"/>
              <w:rPr>
                <w:sz w:val="20"/>
              </w:rPr>
            </w:pPr>
            <w:r w:rsidRPr="01C07FEA">
              <w:rPr>
                <w:sz w:val="20"/>
              </w:rPr>
              <w:t>Menkai panaudojamos įsitraukimo į nacionalinius bei tarptautinius MSI tinklus suteikiamos galimybės</w:t>
            </w:r>
          </w:p>
          <w:p w14:paraId="74DE2B85" w14:textId="593A1C26" w:rsidR="00890CC4" w:rsidRPr="00745F42" w:rsidRDefault="01C07FEA" w:rsidP="01C07FEA">
            <w:pPr>
              <w:jc w:val="both"/>
              <w:rPr>
                <w:sz w:val="20"/>
              </w:rPr>
            </w:pPr>
            <w:r w:rsidRPr="01C07FEA">
              <w:rPr>
                <w:sz w:val="20"/>
              </w:rPr>
              <w:t>Žr. pagrindimą prie 2 problemos 5 punkto, 4 problemos 7 punkto. Siekiant didinti studijų kokybę būtina išnaudoti kitų gerąją kitų šalių patirtį aukštąsias mokyklas matant kaip stiprius studijų ir kartu mokslo centrus – t. y. iš geriausių, patirtį turinčių universitetų vykdant bendras veiklas perimti įgūdžius diegti novatorišką, į studentą orientuotą ir moksliniais tyrimais paremtą mokymą/-</w:t>
            </w:r>
            <w:proofErr w:type="spellStart"/>
            <w:r w:rsidRPr="01C07FEA">
              <w:rPr>
                <w:sz w:val="20"/>
              </w:rPr>
              <w:t>si</w:t>
            </w:r>
            <w:proofErr w:type="spellEnd"/>
            <w:r w:rsidRPr="01C07FEA">
              <w:rPr>
                <w:sz w:val="20"/>
              </w:rPr>
              <w:t>, stiprinti mokymo, mokslinių tyrimų ir inovacijų bei žinių perdavimo sąsają, gerinti mokslinių tyrimų kokybę, jaunųjų mokslininkų ugdymą ir gerinti studijų kokybę, stiprinti socialinę partnerystę su įvairiomis bendruomenėmis sprendžiant visuomenės iššūkius ir kartu ieškant naujoviškų sprendimų visuomenei aktualioms problemoms (tokių bendradarbiavimo tinklų pavyzdys – Europos universitetų aljansai). (</w:t>
            </w:r>
            <w:r w:rsidRPr="01C07FEA">
              <w:rPr>
                <w:i/>
                <w:iCs/>
                <w:sz w:val="20"/>
              </w:rPr>
              <w:t>Ši priežastis sprendžiama ir ŠMSM švietimo plėtros programoje</w:t>
            </w:r>
            <w:r w:rsidRPr="01C07FEA">
              <w:rPr>
                <w:sz w:val="20"/>
              </w:rPr>
              <w:t>)</w:t>
            </w:r>
          </w:p>
          <w:p w14:paraId="0A387E50" w14:textId="77777777" w:rsidR="00890CC4" w:rsidRPr="00745F42" w:rsidRDefault="00890CC4" w:rsidP="00890CC4">
            <w:pPr>
              <w:jc w:val="both"/>
              <w:rPr>
                <w:sz w:val="20"/>
              </w:rPr>
            </w:pPr>
          </w:p>
          <w:p w14:paraId="3452733E" w14:textId="05F0BD7D" w:rsidR="00803C53" w:rsidRPr="009D0E43" w:rsidRDefault="01C07FEA" w:rsidP="01C07FEA">
            <w:pPr>
              <w:pStyle w:val="Sraopastraipa"/>
              <w:numPr>
                <w:ilvl w:val="1"/>
                <w:numId w:val="41"/>
              </w:numPr>
              <w:ind w:left="763"/>
              <w:jc w:val="both"/>
              <w:rPr>
                <w:sz w:val="20"/>
              </w:rPr>
            </w:pPr>
            <w:r w:rsidRPr="01C07FEA">
              <w:rPr>
                <w:sz w:val="20"/>
              </w:rPr>
              <w:t xml:space="preserve">Nedidelės finansinės apimties konkursinės prioritetinių mokslinių tyrimų programos, menka laisvųjų mokslinių tyrimų (angl. </w:t>
            </w:r>
            <w:proofErr w:type="spellStart"/>
            <w:r w:rsidRPr="01C07FEA">
              <w:rPr>
                <w:i/>
                <w:iCs/>
                <w:sz w:val="20"/>
              </w:rPr>
              <w:t>blue</w:t>
            </w:r>
            <w:proofErr w:type="spellEnd"/>
            <w:r w:rsidRPr="01C07FEA">
              <w:rPr>
                <w:i/>
                <w:iCs/>
                <w:sz w:val="20"/>
              </w:rPr>
              <w:t xml:space="preserve"> </w:t>
            </w:r>
            <w:proofErr w:type="spellStart"/>
            <w:r w:rsidRPr="01C07FEA">
              <w:rPr>
                <w:i/>
                <w:iCs/>
                <w:sz w:val="20"/>
              </w:rPr>
              <w:t>sky</w:t>
            </w:r>
            <w:proofErr w:type="spellEnd"/>
            <w:r w:rsidRPr="01C07FEA">
              <w:rPr>
                <w:i/>
                <w:iCs/>
                <w:sz w:val="20"/>
              </w:rPr>
              <w:t xml:space="preserve"> </w:t>
            </w:r>
            <w:proofErr w:type="spellStart"/>
            <w:r w:rsidRPr="01C07FEA">
              <w:rPr>
                <w:i/>
                <w:iCs/>
                <w:sz w:val="20"/>
              </w:rPr>
              <w:t>research</w:t>
            </w:r>
            <w:proofErr w:type="spellEnd"/>
            <w:r w:rsidRPr="01C07FEA">
              <w:rPr>
                <w:sz w:val="20"/>
              </w:rPr>
              <w:t>) aprėptis</w:t>
            </w:r>
          </w:p>
          <w:p w14:paraId="67F39720" w14:textId="576F5142" w:rsidR="00B25559" w:rsidRDefault="6A93A73F" w:rsidP="01C07FEA">
            <w:pPr>
              <w:jc w:val="both"/>
              <w:rPr>
                <w:sz w:val="20"/>
              </w:rPr>
            </w:pPr>
            <w:r w:rsidRPr="01C07FEA">
              <w:rPr>
                <w:sz w:val="20"/>
              </w:rPr>
              <w:t>MTEP finansavimo politika, sąlygota itin mažo nacionalinio valstybės biudžeto finansavimo MTEP (0,33 proc. nuo BVP, kai ES vidurkis dvigubai didesnis ir siekia 0,63 proc.)</w:t>
            </w:r>
            <w:r w:rsidR="00155A79" w:rsidRPr="01C07FEA">
              <w:rPr>
                <w:rStyle w:val="Puslapioinaosnuoroda"/>
                <w:sz w:val="20"/>
              </w:rPr>
              <w:footnoteReference w:id="107"/>
            </w:r>
            <w:r w:rsidRPr="01C07FEA">
              <w:rPr>
                <w:sz w:val="20"/>
              </w:rPr>
              <w:t xml:space="preserve"> ir to lemtos priklausomybės nuo ES struktūrinių fondų finansavimo, </w:t>
            </w:r>
            <w:r w:rsidR="145765AE" w:rsidRPr="01C07FEA">
              <w:rPr>
                <w:sz w:val="20"/>
              </w:rPr>
              <w:t xml:space="preserve">daugiausiai </w:t>
            </w:r>
            <w:r w:rsidRPr="01C07FEA">
              <w:rPr>
                <w:sz w:val="20"/>
              </w:rPr>
              <w:t>orientuota į komercinį potencialą turinčių MTEP rezultatų kūrimą. Todėl MTEP investicijos nukreipiamos į dabarties aktualijų sprendimus ir ypač dabarties verslo poreikius.</w:t>
            </w:r>
            <w:r w:rsidR="002B636F" w:rsidRPr="01C07FEA">
              <w:rPr>
                <w:rStyle w:val="Puslapioinaosnuoroda"/>
                <w:sz w:val="20"/>
              </w:rPr>
              <w:footnoteReference w:id="108"/>
            </w:r>
            <w:r w:rsidRPr="01C07FEA">
              <w:rPr>
                <w:sz w:val="20"/>
              </w:rPr>
              <w:t xml:space="preserve"> Tačiau nevystant fundamentinių mokslinių tyrimų</w:t>
            </w:r>
            <w:r w:rsidR="006861EC" w:rsidRPr="01C07FEA">
              <w:rPr>
                <w:sz w:val="20"/>
              </w:rPr>
              <w:t>, apskritai viso MTEP ciklo neorientuoto</w:t>
            </w:r>
            <w:r w:rsidRPr="01C07FEA">
              <w:rPr>
                <w:sz w:val="20"/>
              </w:rPr>
              <w:t xml:space="preserve"> </w:t>
            </w:r>
            <w:r w:rsidR="009F720C" w:rsidRPr="01C07FEA">
              <w:rPr>
                <w:sz w:val="20"/>
              </w:rPr>
              <w:t xml:space="preserve">vien </w:t>
            </w:r>
            <w:r w:rsidRPr="01C07FEA">
              <w:rPr>
                <w:sz w:val="20"/>
              </w:rPr>
              <w:t xml:space="preserve">į esamą rinkos poreikį </w:t>
            </w:r>
            <w:r w:rsidR="145765AE" w:rsidRPr="01C07FEA">
              <w:rPr>
                <w:sz w:val="20"/>
              </w:rPr>
              <w:t>užkertamos Lietuvos mokslo galimybės prisidėti prie ateities iššūkių sprendimo, naujų, dar neegzistuojančių mokslo ir verslo nišų kūrimo.</w:t>
            </w:r>
            <w:r w:rsidR="00655489" w:rsidRPr="01C07FEA">
              <w:rPr>
                <w:sz w:val="20"/>
              </w:rPr>
              <w:t xml:space="preserve"> </w:t>
            </w:r>
            <w:r w:rsidR="411AB16C" w:rsidRPr="01C07FEA">
              <w:rPr>
                <w:sz w:val="20"/>
              </w:rPr>
              <w:t>Ilgalaikei valstybės ir visuomenės raidai strateginės svarbos mokslo klausimams spręsti Lietuvoje kasmet skiriama tik po nepilną milijoną eurų.</w:t>
            </w:r>
            <w:r w:rsidR="00B25559" w:rsidRPr="01C07FEA">
              <w:rPr>
                <w:rStyle w:val="Puslapioinaosnuoroda"/>
                <w:sz w:val="20"/>
              </w:rPr>
              <w:footnoteReference w:id="109"/>
            </w:r>
            <w:r w:rsidR="411AB16C" w:rsidRPr="01C07FEA">
              <w:rPr>
                <w:sz w:val="20"/>
              </w:rPr>
              <w:t xml:space="preserve"> Tai reiškia, kad </w:t>
            </w:r>
            <w:r w:rsidR="6EA15E7A" w:rsidRPr="01C07FEA">
              <w:rPr>
                <w:sz w:val="20"/>
              </w:rPr>
              <w:t xml:space="preserve">turimas </w:t>
            </w:r>
            <w:r w:rsidR="411AB16C" w:rsidRPr="01C07FEA">
              <w:rPr>
                <w:sz w:val="20"/>
              </w:rPr>
              <w:t>mokslo potencialas vis dar neįdarbinamas gerovei valstyb</w:t>
            </w:r>
            <w:r w:rsidR="19F6813F" w:rsidRPr="01C07FEA">
              <w:rPr>
                <w:sz w:val="20"/>
              </w:rPr>
              <w:t>ėje kurti</w:t>
            </w:r>
            <w:r w:rsidR="006861EC" w:rsidRPr="01C07FEA">
              <w:rPr>
                <w:sz w:val="20"/>
              </w:rPr>
              <w:t>, kylantiems iššūkiams spręsti</w:t>
            </w:r>
            <w:r w:rsidR="19F6813F" w:rsidRPr="01C07FEA">
              <w:rPr>
                <w:sz w:val="20"/>
              </w:rPr>
              <w:t>.</w:t>
            </w:r>
          </w:p>
          <w:p w14:paraId="06F98AE2" w14:textId="77777777" w:rsidR="00B25559" w:rsidRDefault="00B25559" w:rsidP="004D10F1">
            <w:pPr>
              <w:jc w:val="both"/>
              <w:rPr>
                <w:sz w:val="20"/>
              </w:rPr>
            </w:pPr>
          </w:p>
          <w:p w14:paraId="25EE421C" w14:textId="60A0D179" w:rsidR="00271224" w:rsidRPr="009D0E43" w:rsidRDefault="01C07FEA" w:rsidP="01C07FEA">
            <w:pPr>
              <w:pStyle w:val="Sraopastraipa"/>
              <w:numPr>
                <w:ilvl w:val="1"/>
                <w:numId w:val="41"/>
              </w:numPr>
              <w:ind w:left="763"/>
              <w:jc w:val="both"/>
              <w:rPr>
                <w:sz w:val="20"/>
              </w:rPr>
            </w:pPr>
            <w:r w:rsidRPr="01C07FEA">
              <w:rPr>
                <w:sz w:val="20"/>
              </w:rPr>
              <w:t>Neaktyvus įsitraukimas į atvirojo mokslo iniciatyvas (atviri duomenys, atviros prieigos publikacijos, duomenų archyvai)</w:t>
            </w:r>
          </w:p>
          <w:p w14:paraId="406B0124" w14:textId="77777777" w:rsidR="00A87A27" w:rsidRPr="00745F42" w:rsidRDefault="01C07FEA" w:rsidP="01C07FEA">
            <w:pPr>
              <w:jc w:val="both"/>
              <w:rPr>
                <w:sz w:val="20"/>
              </w:rPr>
            </w:pPr>
            <w:r w:rsidRPr="01C07FEA">
              <w:rPr>
                <w:sz w:val="20"/>
              </w:rPr>
              <w:t>Žr. pagrindimą prie 2 problemos 4 punkto.</w:t>
            </w:r>
          </w:p>
          <w:p w14:paraId="64179B2A" w14:textId="77777777" w:rsidR="00A87A27" w:rsidRPr="00745F42" w:rsidRDefault="00A87A27" w:rsidP="00A87A27">
            <w:pPr>
              <w:jc w:val="both"/>
              <w:rPr>
                <w:sz w:val="20"/>
              </w:rPr>
            </w:pPr>
          </w:p>
          <w:p w14:paraId="78A89955" w14:textId="72AA4125" w:rsidR="00271224" w:rsidRPr="009D0E43" w:rsidRDefault="01C07FEA" w:rsidP="01C07FEA">
            <w:pPr>
              <w:pStyle w:val="Sraopastraipa"/>
              <w:numPr>
                <w:ilvl w:val="1"/>
                <w:numId w:val="41"/>
              </w:numPr>
              <w:ind w:left="763"/>
              <w:jc w:val="both"/>
              <w:rPr>
                <w:sz w:val="20"/>
              </w:rPr>
            </w:pPr>
            <w:r w:rsidRPr="01C07FEA">
              <w:rPr>
                <w:sz w:val="20"/>
              </w:rPr>
              <w:t>Stinga visuomenei patrauklios mokslo svarbos ir rezultatų sklaidos</w:t>
            </w:r>
          </w:p>
          <w:p w14:paraId="770F547A" w14:textId="3D1FCC8A" w:rsidR="00780CD2" w:rsidRDefault="4B98C2BB" w:rsidP="01C07FEA">
            <w:pPr>
              <w:jc w:val="both"/>
              <w:rPr>
                <w:sz w:val="20"/>
              </w:rPr>
            </w:pPr>
            <w:r w:rsidRPr="01C07FEA">
              <w:rPr>
                <w:sz w:val="20"/>
              </w:rPr>
              <w:lastRenderedPageBreak/>
              <w:t>MSI tik fragmentiškai vykdo mokslo komunikaciją su plačiąja visuomene, ribotai prisideda prie mokslo populiarinimo, mokslo misijos sklaidos, inovacijų kultūros formavimo viešojoje erdvėje.</w:t>
            </w:r>
            <w:r w:rsidR="00391AB3" w:rsidRPr="01C07FEA">
              <w:rPr>
                <w:rStyle w:val="Puslapioinaosnuoroda"/>
                <w:sz w:val="20"/>
              </w:rPr>
              <w:footnoteReference w:id="110"/>
            </w:r>
            <w:r w:rsidRPr="01C07FEA">
              <w:rPr>
                <w:sz w:val="20"/>
              </w:rPr>
              <w:t xml:space="preserve"> </w:t>
            </w:r>
            <w:r w:rsidR="142D162D" w:rsidRPr="01C07FEA">
              <w:rPr>
                <w:sz w:val="20"/>
              </w:rPr>
              <w:t xml:space="preserve">Menkai viešinami ir atskirų MTEP projektų rezultatai, jų svarba ir nauda visuomenei. </w:t>
            </w:r>
            <w:r w:rsidRPr="01C07FEA">
              <w:rPr>
                <w:sz w:val="20"/>
              </w:rPr>
              <w:t>Neišnaudojamas mokslo žinių sklaidos kaip viešosios gėrybės modelis, kuomet viešai prieinamais MSI MTEP veiklos rezultatais be jokių apribojimų gali pasinaudoti visos suinteresuotos šalys.</w:t>
            </w:r>
            <w:r w:rsidR="00391AB3" w:rsidRPr="01C07FEA">
              <w:rPr>
                <w:rStyle w:val="Puslapioinaosnuoroda"/>
                <w:sz w:val="20"/>
              </w:rPr>
              <w:footnoteReference w:id="111"/>
            </w:r>
          </w:p>
          <w:p w14:paraId="2228BD3D" w14:textId="77777777" w:rsidR="003A5F0B" w:rsidRPr="00745F42" w:rsidRDefault="003A5F0B" w:rsidP="005E27D1">
            <w:pPr>
              <w:jc w:val="both"/>
              <w:rPr>
                <w:sz w:val="20"/>
              </w:rPr>
            </w:pPr>
          </w:p>
          <w:p w14:paraId="0FF09CD0" w14:textId="75730D2B" w:rsidR="00644993" w:rsidRPr="009D0E43" w:rsidRDefault="01C07FEA" w:rsidP="01C07FEA">
            <w:pPr>
              <w:pStyle w:val="Sraopastraipa"/>
              <w:numPr>
                <w:ilvl w:val="1"/>
                <w:numId w:val="41"/>
              </w:numPr>
              <w:ind w:left="763"/>
              <w:jc w:val="both"/>
              <w:rPr>
                <w:sz w:val="20"/>
              </w:rPr>
            </w:pPr>
            <w:r w:rsidRPr="01C07FEA">
              <w:rPr>
                <w:sz w:val="20"/>
              </w:rPr>
              <w:t>Vystant nacionalinius prioritetus (pvz., lituanistika), kartu ir kitose srityse vis dar trūksta nacionalinių priemonių glaudesnės sąsajos (kur įmanoma) su tarptautinėmis programomis</w:t>
            </w:r>
          </w:p>
          <w:p w14:paraId="5D56EF30" w14:textId="77777777" w:rsidR="00644993" w:rsidRDefault="43C6D9E4" w:rsidP="01C07FEA">
            <w:pPr>
              <w:jc w:val="both"/>
              <w:rPr>
                <w:sz w:val="20"/>
              </w:rPr>
            </w:pPr>
            <w:r w:rsidRPr="01C07FEA">
              <w:rPr>
                <w:sz w:val="20"/>
              </w:rPr>
              <w:t>Žr. pagrindimą prie 3 problemos 7 punkto.</w:t>
            </w:r>
            <w:r w:rsidR="6F1278AC" w:rsidRPr="01C07FEA">
              <w:rPr>
                <w:sz w:val="20"/>
              </w:rPr>
              <w:t xml:space="preserve"> Ieškant glaudesnių sąsajų su tarptautinėmis </w:t>
            </w:r>
            <w:r w:rsidR="7836E868" w:rsidRPr="01C07FEA">
              <w:rPr>
                <w:sz w:val="20"/>
              </w:rPr>
              <w:t xml:space="preserve">mokslo </w:t>
            </w:r>
            <w:r w:rsidR="6F1278AC" w:rsidRPr="01C07FEA">
              <w:rPr>
                <w:sz w:val="20"/>
              </w:rPr>
              <w:t>programomis, taip pat būtina įvertinti nacionalinius Lietuvos valstybės ir visuomenės interesus ir ieškoti balanso, kad negilėtų takoskyra, skatinti mokslinę veiklą nacionalinės reikšmės srityse (pvz., lituanistikoje).</w:t>
            </w:r>
            <w:r w:rsidR="007158CB" w:rsidRPr="01C07FEA">
              <w:rPr>
                <w:rStyle w:val="Puslapioinaosnuoroda"/>
                <w:sz w:val="20"/>
              </w:rPr>
              <w:footnoteReference w:id="112"/>
            </w:r>
          </w:p>
          <w:p w14:paraId="657704BA" w14:textId="16E4A9E8" w:rsidR="00624730" w:rsidRPr="00745F42" w:rsidRDefault="00624730" w:rsidP="00624730">
            <w:pPr>
              <w:jc w:val="both"/>
              <w:rPr>
                <w:b/>
                <w:sz w:val="20"/>
              </w:rPr>
            </w:pPr>
          </w:p>
        </w:tc>
      </w:tr>
      <w:tr w:rsidR="008921CE" w:rsidRPr="00745F42" w14:paraId="1EF1B6EC" w14:textId="77777777" w:rsidTr="01C07FEA">
        <w:trPr>
          <w:trHeight w:val="70"/>
        </w:trPr>
        <w:tc>
          <w:tcPr>
            <w:tcW w:w="13887" w:type="dxa"/>
            <w:shd w:val="clear" w:color="auto" w:fill="FFFFFF" w:themeFill="background1"/>
          </w:tcPr>
          <w:p w14:paraId="0BE302DE" w14:textId="77777777" w:rsidR="008921CE" w:rsidRPr="00745F42" w:rsidRDefault="008921CE" w:rsidP="008921CE">
            <w:pPr>
              <w:jc w:val="both"/>
              <w:rPr>
                <w:b/>
                <w:sz w:val="20"/>
              </w:rPr>
            </w:pPr>
          </w:p>
        </w:tc>
      </w:tr>
    </w:tbl>
    <w:p w14:paraId="3A033F05" w14:textId="77777777" w:rsidR="008D03CB" w:rsidRPr="00745F42" w:rsidRDefault="008D03CB">
      <w:pPr>
        <w:rPr>
          <w:sz w:val="20"/>
        </w:rPr>
      </w:pPr>
    </w:p>
    <w:sectPr w:rsidR="008D03CB" w:rsidRPr="00745F42" w:rsidSect="00A406A0">
      <w:footerReference w:type="default" r:id="rId11"/>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11721D" w16cex:dateUtc="2021-04-02T07:36:00Z"/>
  <w16cex:commentExtensible w16cex:durableId="241172BD" w16cex:dateUtc="2021-04-02T07:38:00Z"/>
  <w16cex:commentExtensible w16cex:durableId="241175E9" w16cex:dateUtc="2021-04-02T07:52:00Z"/>
  <w16cex:commentExtensible w16cex:durableId="24117408" w16cex:dateUtc="2021-04-02T07:44:00Z"/>
  <w16cex:commentExtensible w16cex:durableId="241176E1" w16cex:dateUtc="2021-04-02T07:56:00Z"/>
  <w16cex:commentExtensible w16cex:durableId="2411784A" w16cex:dateUtc="2021-04-02T08:02:00Z"/>
  <w16cex:commentExtensible w16cex:durableId="24118670" w16cex:dateUtc="2021-04-02T09:02:00Z"/>
  <w16cex:commentExtensible w16cex:durableId="24117CCE" w16cex:dateUtc="2021-04-02T08:21:00Z"/>
  <w16cex:commentExtensible w16cex:durableId="24117DF6" w16cex:dateUtc="2021-04-02T08:26:00Z"/>
  <w16cex:commentExtensible w16cex:durableId="24117F64" w16cex:dateUtc="2021-04-02T08:32:00Z"/>
  <w16cex:commentExtensible w16cex:durableId="2411818B" w16cex:dateUtc="2021-04-02T08:42:00Z"/>
  <w16cex:commentExtensible w16cex:durableId="24117C77" w16cex:dateUtc="2021-04-02T08:20:00Z"/>
  <w16cex:commentExtensible w16cex:durableId="241180FF" w16cex:dateUtc="2021-04-02T08:39:00Z"/>
  <w16cex:commentExtensible w16cex:durableId="241187D5" w16cex:dateUtc="2021-04-02T09:08:00Z"/>
  <w16cex:commentExtensible w16cex:durableId="24118862" w16cex:dateUtc="2021-04-02T09:11:00Z"/>
  <w16cex:commentExtensible w16cex:durableId="24118776" w16cex:dateUtc="2021-04-02T09:07:00Z"/>
  <w16cex:commentExtensible w16cex:durableId="241188E1" w16cex:dateUtc="2021-04-02T09:13:00Z"/>
  <w16cex:commentExtensible w16cex:durableId="24118F51" w16cex:dateUtc="2021-04-02T09:40:00Z"/>
  <w16cex:commentExtensible w16cex:durableId="24119691" w16cex:dateUtc="2021-04-02T10:11:00Z"/>
  <w16cex:commentExtensible w16cex:durableId="2411898A" w16cex:dateUtc="2021-04-02T09:16:00Z"/>
  <w16cex:commentExtensible w16cex:durableId="24118AA9" w16cex:dateUtc="2021-04-02T09:20:00Z"/>
  <w16cex:commentExtensible w16cex:durableId="24118C33" w16cex:dateUtc="2021-04-02T09:27:00Z"/>
  <w16cex:commentExtensible w16cex:durableId="24118ED1" w16cex:dateUtc="2021-04-02T09:38:00Z"/>
  <w16cex:commentExtensible w16cex:durableId="241190D1" w16cex:dateUtc="2021-04-02T09:47:00Z"/>
  <w16cex:commentExtensible w16cex:durableId="24119059" w16cex:dateUtc="2021-04-02T09:45:00Z"/>
  <w16cex:commentExtensible w16cex:durableId="241191E9" w16cex:dateUtc="2021-04-02T09:51:00Z"/>
  <w16cex:commentExtensible w16cex:durableId="241193C1" w16cex:dateUtc="2021-04-02T09:59:00Z"/>
  <w16cex:commentExtensible w16cex:durableId="24119728" w16cex:dateUtc="2021-04-02T10:14:00Z"/>
  <w16cex:commentExtensible w16cex:durableId="24119961" w16cex:dateUtc="2021-04-02T10:23:00Z"/>
  <w16cex:commentExtensible w16cex:durableId="241199A6" w16cex:dateUtc="2021-04-02T10:24:00Z"/>
  <w16cex:commentExtensible w16cex:durableId="24119D9C" w16cex:dateUtc="2021-04-02T10:41:00Z"/>
  <w16cex:commentExtensible w16cex:durableId="24119E9A" w16cex:dateUtc="2021-04-02T10:46:00Z"/>
</w16cex:commentsExtensible>
</file>

<file path=word/commentsIds.xml><?xml version="1.0" encoding="utf-8"?>
<w16cid:commentsIds xmlns:mc="http://schemas.openxmlformats.org/markup-compatibility/2006" xmlns:w16cid="http://schemas.microsoft.com/office/word/2016/wordml/cid" mc:Ignorable="w16cid">
  <w16cid:commentId w16cid:paraId="4BF4EF84" w16cid:durableId="24116C38"/>
  <w16cid:commentId w16cid:paraId="547FF7E6" w16cid:durableId="24116C39"/>
  <w16cid:commentId w16cid:paraId="22041875" w16cid:durableId="24116C3A"/>
  <w16cid:commentId w16cid:paraId="5F3C647D" w16cid:durableId="2411721D"/>
  <w16cid:commentId w16cid:paraId="4BE715FC" w16cid:durableId="24116C3B"/>
  <w16cid:commentId w16cid:paraId="0CBD79E7" w16cid:durableId="241172BD"/>
  <w16cid:commentId w16cid:paraId="50A94F3F" w16cid:durableId="24116C3C"/>
  <w16cid:commentId w16cid:paraId="55518BBB" w16cid:durableId="24116C3D"/>
  <w16cid:commentId w16cid:paraId="087B74CF" w16cid:durableId="241175E9"/>
  <w16cid:commentId w16cid:paraId="13682931" w16cid:durableId="24116C3E"/>
  <w16cid:commentId w16cid:paraId="19A78E51" w16cid:durableId="24116C3F"/>
  <w16cid:commentId w16cid:paraId="308072B1" w16cid:durableId="24117408"/>
  <w16cid:commentId w16cid:paraId="38F17870" w16cid:durableId="24116C40"/>
  <w16cid:commentId w16cid:paraId="0BCCDAD8" w16cid:durableId="24116C41"/>
  <w16cid:commentId w16cid:paraId="7C26DD9A" w16cid:durableId="24116C42"/>
  <w16cid:commentId w16cid:paraId="61BFB66A" w16cid:durableId="24116C43"/>
  <w16cid:commentId w16cid:paraId="70029685" w16cid:durableId="241176E1"/>
  <w16cid:commentId w16cid:paraId="16FE230C" w16cid:durableId="2411784A"/>
  <w16cid:commentId w16cid:paraId="2BE5F067" w16cid:durableId="24118670"/>
  <w16cid:commentId w16cid:paraId="0272AFB3" w16cid:durableId="24117CCE"/>
  <w16cid:commentId w16cid:paraId="4D582EB8" w16cid:durableId="24117DF6"/>
  <w16cid:commentId w16cid:paraId="6A3CD83B" w16cid:durableId="24117F64"/>
  <w16cid:commentId w16cid:paraId="76499AE8" w16cid:durableId="2411818B"/>
  <w16cid:commentId w16cid:paraId="227398FC" w16cid:durableId="24117C77"/>
  <w16cid:commentId w16cid:paraId="3C94828D" w16cid:durableId="241180FF"/>
  <w16cid:commentId w16cid:paraId="2F2FF364" w16cid:durableId="241187D5"/>
  <w16cid:commentId w16cid:paraId="29E27D04" w16cid:durableId="24118862"/>
  <w16cid:commentId w16cid:paraId="47BF2F2E" w16cid:durableId="24118776"/>
  <w16cid:commentId w16cid:paraId="3456840B" w16cid:durableId="241188E1"/>
  <w16cid:commentId w16cid:paraId="1CE4084F" w16cid:durableId="24116C44"/>
  <w16cid:commentId w16cid:paraId="11EC9012" w16cid:durableId="24118F51"/>
  <w16cid:commentId w16cid:paraId="14CA8280" w16cid:durableId="24119691"/>
  <w16cid:commentId w16cid:paraId="0F88B7F7" w16cid:durableId="2411898A"/>
  <w16cid:commentId w16cid:paraId="5909D822" w16cid:durableId="24118AA9"/>
  <w16cid:commentId w16cid:paraId="707B742A" w16cid:durableId="24118C33"/>
  <w16cid:commentId w16cid:paraId="417D4D03" w16cid:durableId="24116C45"/>
  <w16cid:commentId w16cid:paraId="4CAE3516" w16cid:durableId="24118ED1"/>
  <w16cid:commentId w16cid:paraId="3C213651" w16cid:durableId="24116C46"/>
  <w16cid:commentId w16cid:paraId="613A803F" w16cid:durableId="241190D1"/>
  <w16cid:commentId w16cid:paraId="03CC983F" w16cid:durableId="24119059"/>
  <w16cid:commentId w16cid:paraId="67C29F0C" w16cid:durableId="241191E9"/>
  <w16cid:commentId w16cid:paraId="5B395EAF" w16cid:durableId="24116C47"/>
  <w16cid:commentId w16cid:paraId="3DCC8ED9" w16cid:durableId="241193C1"/>
  <w16cid:commentId w16cid:paraId="2A277523" w16cid:durableId="24119728"/>
  <w16cid:commentId w16cid:paraId="2EE4449E" w16cid:durableId="24119961"/>
  <w16cid:commentId w16cid:paraId="6526E216" w16cid:durableId="241199A6"/>
  <w16cid:commentId w16cid:paraId="5B50205A" w16cid:durableId="24119D9C"/>
  <w16cid:commentId w16cid:paraId="797BF2BD" w16cid:durableId="24119E9A"/>
  <w16cid:commentId w16cid:paraId="5ED50040" w16cid:durableId="1F712730"/>
  <w16cid:commentId w16cid:paraId="789DF769" w16cid:durableId="0EE96349"/>
  <w16cid:commentId w16cid:paraId="7E7F055A" w16cid:durableId="6EB8AE5D"/>
  <w16cid:commentId w16cid:paraId="20C279AD" w16cid:durableId="7B210832"/>
  <w16cid:commentId w16cid:paraId="4595A3E5" w16cid:durableId="27607B69"/>
  <w16cid:commentId w16cid:paraId="52E13F3D" w16cid:durableId="6DF3C5B2"/>
  <w16cid:commentId w16cid:paraId="228E3D16" w16cid:durableId="11C5BDA4"/>
  <w16cid:commentId w16cid:paraId="529CED23" w16cid:durableId="34721679"/>
  <w16cid:commentId w16cid:paraId="2C469E4D" w16cid:durableId="6D0BF087"/>
  <w16cid:commentId w16cid:paraId="12758F37" w16cid:durableId="68BC320C"/>
  <w16cid:commentId w16cid:paraId="66373481" w16cid:durableId="5BE527F5"/>
  <w16cid:commentId w16cid:paraId="6532011B" w16cid:durableId="67AC66FC"/>
  <w16cid:commentId w16cid:paraId="3243FA3F" w16cid:durableId="7641849A"/>
  <w16cid:commentId w16cid:paraId="41182DC6" w16cid:durableId="62539669"/>
  <w16cid:commentId w16cid:paraId="7FBA2576" w16cid:durableId="148A4633"/>
  <w16cid:commentId w16cid:paraId="6E03826C" w16cid:durableId="616E462B"/>
  <w16cid:commentId w16cid:paraId="427CAC94" w16cid:durableId="0F371C29"/>
  <w16cid:commentId w16cid:paraId="7DE20A5D" w16cid:durableId="5B56E357"/>
  <w16cid:commentId w16cid:paraId="587AA776" w16cid:durableId="6C9AA0F4"/>
  <w16cid:commentId w16cid:paraId="54DEB5C6" w16cid:durableId="289985A5"/>
  <w16cid:commentId w16cid:paraId="79990CF1" w16cid:durableId="19990DAF"/>
  <w16cid:commentId w16cid:paraId="0E92E28A" w16cid:durableId="7FBCD414"/>
  <w16cid:commentId w16cid:paraId="4FEF2DFC" w16cid:durableId="738C58FD"/>
  <w16cid:commentId w16cid:paraId="4EFB042B" w16cid:durableId="50880080"/>
  <w16cid:commentId w16cid:paraId="74E1C558" w16cid:durableId="2FAEED7B"/>
  <w16cid:commentId w16cid:paraId="5B55C6A6" w16cid:durableId="609958C4"/>
  <w16cid:commentId w16cid:paraId="241277F3" w16cid:durableId="642AB7C2"/>
  <w16cid:commentId w16cid:paraId="705902C9" w16cid:durableId="25536B50"/>
  <w16cid:commentId w16cid:paraId="63CB7439" w16cid:durableId="5D964B85"/>
  <w16cid:commentId w16cid:paraId="19EB4FDE" w16cid:durableId="34A3E436"/>
  <w16cid:commentId w16cid:paraId="492E5EAF" w16cid:durableId="5898A576"/>
  <w16cid:commentId w16cid:paraId="1E5E0D00" w16cid:durableId="791F1DCA"/>
  <w16cid:commentId w16cid:paraId="6ACF47A7" w16cid:durableId="31AC0E68"/>
  <w16cid:commentId w16cid:paraId="1CE3082C" w16cid:durableId="22225011"/>
  <w16cid:commentId w16cid:paraId="6049C3F2" w16cid:durableId="37947077"/>
  <w16cid:commentId w16cid:paraId="22C99DC4" w16cid:durableId="5CA480EA"/>
  <w16cid:commentId w16cid:paraId="0831183D" w16cid:durableId="05345605"/>
  <w16cid:commentId w16cid:paraId="2FCB3B1D" w16cid:durableId="204D19EC"/>
  <w16cid:commentId w16cid:paraId="629375E8" w16cid:durableId="0D4A7E11"/>
  <w16cid:commentId w16cid:paraId="5D2797FE" w16cid:durableId="020450D9"/>
  <w16cid:commentId w16cid:paraId="52B7C6EB" w16cid:durableId="4327540A"/>
  <w16cid:commentId w16cid:paraId="3BDCF2B2" w16cid:durableId="154BAAD7"/>
  <w16cid:commentId w16cid:paraId="373347FD" w16cid:durableId="2955A153"/>
  <w16cid:commentId w16cid:paraId="51918BD7" w16cid:durableId="3F8DE95A"/>
  <w16cid:commentId w16cid:paraId="7299920E" w16cid:durableId="683B7C44"/>
  <w16cid:commentId w16cid:paraId="6B1DAAC5" w16cid:durableId="37CA44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2380" w14:textId="77777777" w:rsidR="00C039C3" w:rsidRDefault="00C039C3" w:rsidP="00517930">
      <w:r>
        <w:separator/>
      </w:r>
    </w:p>
  </w:endnote>
  <w:endnote w:type="continuationSeparator" w:id="0">
    <w:p w14:paraId="427A2BBB" w14:textId="77777777" w:rsidR="00C039C3" w:rsidRDefault="00C039C3"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177201"/>
      <w:docPartObj>
        <w:docPartGallery w:val="Page Numbers (Bottom of Page)"/>
        <w:docPartUnique/>
      </w:docPartObj>
    </w:sdtPr>
    <w:sdtEndPr/>
    <w:sdtContent>
      <w:p w14:paraId="3F99EAB5" w14:textId="140CEDED" w:rsidR="00514C96" w:rsidRDefault="00514C96">
        <w:pPr>
          <w:pStyle w:val="Porat"/>
          <w:jc w:val="right"/>
        </w:pPr>
        <w:r>
          <w:fldChar w:fldCharType="begin"/>
        </w:r>
        <w:r>
          <w:instrText>PAGE   \* MERGEFORMAT</w:instrText>
        </w:r>
        <w:r>
          <w:fldChar w:fldCharType="separate"/>
        </w:r>
        <w:r w:rsidR="001352BF">
          <w:rPr>
            <w:noProof/>
          </w:rPr>
          <w:t>2</w:t>
        </w:r>
        <w:r>
          <w:fldChar w:fldCharType="end"/>
        </w:r>
      </w:p>
    </w:sdtContent>
  </w:sdt>
  <w:p w14:paraId="0ECDEC9C" w14:textId="77777777" w:rsidR="00514C96" w:rsidRDefault="00514C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AB841" w14:textId="77777777" w:rsidR="00C039C3" w:rsidRDefault="00C039C3" w:rsidP="00517930">
      <w:r>
        <w:separator/>
      </w:r>
    </w:p>
  </w:footnote>
  <w:footnote w:type="continuationSeparator" w:id="0">
    <w:p w14:paraId="1D055D43" w14:textId="77777777" w:rsidR="00C039C3" w:rsidRDefault="00C039C3" w:rsidP="00517930">
      <w:r>
        <w:continuationSeparator/>
      </w:r>
    </w:p>
  </w:footnote>
  <w:footnote w:id="1">
    <w:p w14:paraId="68109BFE" w14:textId="75CC6BFD" w:rsidR="00514C96" w:rsidRDefault="00514C96">
      <w:pPr>
        <w:pStyle w:val="Puslapioinaostekstas"/>
      </w:pPr>
      <w:r>
        <w:rPr>
          <w:rStyle w:val="Puslapioinaosnuoroda"/>
        </w:rPr>
        <w:footnoteRef/>
      </w:r>
      <w:r>
        <w:t xml:space="preserve"> </w:t>
      </w:r>
      <w:r w:rsidRPr="00517930">
        <w:t>Teikiama</w:t>
      </w:r>
      <w:r>
        <w:t>s</w:t>
      </w:r>
      <w:r w:rsidRPr="00517930">
        <w:t xml:space="preserve"> kartu su plėtros progra</w:t>
      </w:r>
      <w:r>
        <w:t>mos lydinčiaisiais dokumentais.</w:t>
      </w:r>
    </w:p>
  </w:footnote>
  <w:footnote w:id="2">
    <w:p w14:paraId="603D3B82"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European</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scoreboard</w:t>
      </w:r>
      <w:proofErr w:type="spellEnd"/>
      <w:r w:rsidRPr="01C07FEA">
        <w:rPr>
          <w:i/>
          <w:iCs/>
        </w:rPr>
        <w:t xml:space="preserve"> 2020</w:t>
      </w:r>
      <w:r>
        <w:t xml:space="preserve">, </w:t>
      </w:r>
      <w:proofErr w:type="spellStart"/>
      <w:r w:rsidRPr="00007927">
        <w:t>Luxembourg</w:t>
      </w:r>
      <w:proofErr w:type="spellEnd"/>
      <w:r w:rsidRPr="00007927">
        <w:t xml:space="preserve">: </w:t>
      </w:r>
      <w:proofErr w:type="spellStart"/>
      <w:r w:rsidRPr="00007927">
        <w:t>Publications</w:t>
      </w:r>
      <w:proofErr w:type="spellEnd"/>
      <w:r w:rsidRPr="00007927">
        <w:t xml:space="preserve"> Office </w:t>
      </w:r>
      <w:proofErr w:type="spellStart"/>
      <w:r w:rsidRPr="00007927">
        <w:t>of</w:t>
      </w:r>
      <w:proofErr w:type="spellEnd"/>
      <w:r w:rsidRPr="00007927">
        <w:t xml:space="preserve"> </w:t>
      </w:r>
      <w:proofErr w:type="spellStart"/>
      <w:r w:rsidRPr="00007927">
        <w:t>the</w:t>
      </w:r>
      <w:proofErr w:type="spellEnd"/>
      <w:r w:rsidRPr="00007927">
        <w:t xml:space="preserve"> </w:t>
      </w:r>
      <w:proofErr w:type="spellStart"/>
      <w:r w:rsidRPr="00007927">
        <w:t>European</w:t>
      </w:r>
      <w:proofErr w:type="spellEnd"/>
      <w:r w:rsidRPr="00007927">
        <w:t xml:space="preserve"> </w:t>
      </w:r>
      <w:proofErr w:type="spellStart"/>
      <w:r w:rsidRPr="00007927">
        <w:t>Union</w:t>
      </w:r>
      <w:proofErr w:type="spellEnd"/>
      <w:r w:rsidRPr="00007927">
        <w:t>, 2020</w:t>
      </w:r>
      <w:r>
        <w:t>, 15.</w:t>
      </w:r>
    </w:p>
  </w:footnote>
  <w:footnote w:id="3">
    <w:p w14:paraId="44AB0D57" w14:textId="48FD8F3A" w:rsidR="00514C96" w:rsidRDefault="00514C96">
      <w:pPr>
        <w:pStyle w:val="Puslapioinaostekstas"/>
      </w:pPr>
      <w:r>
        <w:rPr>
          <w:rStyle w:val="Puslapioinaosnuoroda"/>
        </w:rPr>
        <w:footnoteRef/>
      </w:r>
      <w:r>
        <w:t xml:space="preserve"> </w:t>
      </w:r>
      <w:r w:rsidRPr="00AC0483">
        <w:t>Tyrėjų verslo sektoriuje klausimas nagrinėjamas 1.3 uždavinyje.</w:t>
      </w:r>
    </w:p>
  </w:footnote>
  <w:footnote w:id="4">
    <w:p w14:paraId="2820DB12" w14:textId="5BD907BC" w:rsidR="00514C96" w:rsidRDefault="00514C96">
      <w:pPr>
        <w:pStyle w:val="Puslapioinaostekstas"/>
      </w:pPr>
      <w:r>
        <w:rPr>
          <w:rStyle w:val="Puslapioinaosnuoroda"/>
        </w:rPr>
        <w:footnoteRef/>
      </w:r>
      <w:r>
        <w:t xml:space="preserve"> </w:t>
      </w:r>
      <w:proofErr w:type="spellStart"/>
      <w:r>
        <w:t>Eurostat</w:t>
      </w:r>
      <w:proofErr w:type="spellEnd"/>
      <w:r>
        <w:t>, &lt;</w:t>
      </w:r>
      <w:hyperlink r:id="rId1" w:history="1">
        <w:r w:rsidRPr="00882895">
          <w:rPr>
            <w:rStyle w:val="Hipersaitas"/>
          </w:rPr>
          <w:t>https://appsso.eurostat.ec.europa.eu/nui/show.do?dataset=rd_p_perslf&amp;lang=en</w:t>
        </w:r>
      </w:hyperlink>
      <w:r>
        <w:t>&gt; [Žiūrėta: 2021-05-04]</w:t>
      </w:r>
    </w:p>
  </w:footnote>
  <w:footnote w:id="5">
    <w:p w14:paraId="0F810A26" w14:textId="77777777" w:rsidR="00514C96" w:rsidRDefault="00514C96">
      <w:pPr>
        <w:pStyle w:val="Puslapioinaostekstas"/>
      </w:pPr>
      <w:r>
        <w:rPr>
          <w:rStyle w:val="Puslapioinaosnuoroda"/>
        </w:rPr>
        <w:footnoteRef/>
      </w:r>
      <w:r>
        <w:t xml:space="preserve"> MORE3, rodiklis „</w:t>
      </w:r>
      <w:proofErr w:type="spellStart"/>
      <w:r>
        <w:t>Age</w:t>
      </w:r>
      <w:proofErr w:type="spellEnd"/>
      <w:r>
        <w:t>“, &lt;</w:t>
      </w:r>
      <w:hyperlink r:id="rId2" w:history="1">
        <w:r w:rsidRPr="00882895">
          <w:rPr>
            <w:rStyle w:val="Hipersaitas"/>
          </w:rPr>
          <w:t>https://www.more3.eu/online-indicator-tool?view=deliver</w:t>
        </w:r>
      </w:hyperlink>
      <w:r>
        <w:t>&gt; [Žiūrėta: 2020-08-04]</w:t>
      </w:r>
    </w:p>
  </w:footnote>
  <w:footnote w:id="6">
    <w:p w14:paraId="646F07A7"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3" w:history="1">
        <w:r w:rsidRPr="00882895">
          <w:rPr>
            <w:rStyle w:val="Hipersaitas"/>
          </w:rPr>
          <w:t>https://appsso.eurostat.ec.europa.eu/nui/show.do?dataset=rd_p_perslf&amp;lang=en</w:t>
        </w:r>
      </w:hyperlink>
      <w:r>
        <w:t>&gt; ir &lt;</w:t>
      </w:r>
      <w:hyperlink r:id="rId4" w:history="1">
        <w:r w:rsidRPr="00882895">
          <w:rPr>
            <w:rStyle w:val="Hipersaitas"/>
          </w:rPr>
          <w:t>https://appsso.eurostat.ec.europa.eu/nui/show.do?dataset=rd_e_gerdfund&amp;lang=en</w:t>
        </w:r>
      </w:hyperlink>
      <w:r>
        <w:t>&gt; [Žiūrėta: 2020-08-04]</w:t>
      </w:r>
    </w:p>
  </w:footnote>
  <w:footnote w:id="7">
    <w:p w14:paraId="1285862F" w14:textId="2EA8168F" w:rsidR="00514C96" w:rsidRDefault="00514C96">
      <w:pPr>
        <w:pStyle w:val="Puslapioinaostekstas"/>
      </w:pPr>
      <w:r>
        <w:rPr>
          <w:rStyle w:val="Puslapioinaosnuoroda"/>
        </w:rPr>
        <w:footnoteRef/>
      </w:r>
      <w:r>
        <w:t xml:space="preserve"> UAB </w:t>
      </w:r>
      <w:proofErr w:type="spellStart"/>
      <w:r>
        <w:t>Visionary</w:t>
      </w:r>
      <w:proofErr w:type="spellEnd"/>
      <w:r>
        <w:t xml:space="preserve"> Analytics drauge su Lietuvos Respublikos švietimo, mokslo ir sporto ministerija, </w:t>
      </w:r>
      <w:r w:rsidRPr="01C07FEA">
        <w:rPr>
          <w:i/>
          <w:iCs/>
        </w:rPr>
        <w:t>Investicijos į mokslo ir studijų institucijų MTEP veiklą: pasiekimų, išmoktų pamokų ir išliekančių plėtros poreikių „žemėlapis“</w:t>
      </w:r>
      <w:r>
        <w:t>, 2020, 6-7.</w:t>
      </w:r>
    </w:p>
  </w:footnote>
  <w:footnote w:id="8">
    <w:p w14:paraId="27797DDC"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5" w:history="1">
        <w:r>
          <w:rPr>
            <w:rStyle w:val="Hipersaitas"/>
          </w:rPr>
          <w:t>http://appsso.eurostat.ec.europa.eu/nui/show.do?dataset=educ_uoe_grad06&amp;lang=en</w:t>
        </w:r>
      </w:hyperlink>
      <w:r>
        <w:t>&gt; [Žiūrėta: 2020-08-04]</w:t>
      </w:r>
    </w:p>
  </w:footnote>
  <w:footnote w:id="9">
    <w:p w14:paraId="7ADE3104"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6" w:history="1">
        <w:r>
          <w:rPr>
            <w:rStyle w:val="Hipersaitas"/>
          </w:rPr>
          <w:t>http://appsso.eurostat.ec.europa.eu/nui/show.do?dataset=educ_uoe_mobs03&amp;lang=en</w:t>
        </w:r>
      </w:hyperlink>
      <w:r>
        <w:t>&gt;[Žiūrėta: 2020-08-04]</w:t>
      </w:r>
    </w:p>
  </w:footnote>
  <w:footnote w:id="10">
    <w:p w14:paraId="287BC54C" w14:textId="56E77BBD" w:rsidR="00514C96" w:rsidRDefault="00514C96">
      <w:pPr>
        <w:pStyle w:val="Puslapioinaostekstas"/>
      </w:pPr>
      <w:r>
        <w:rPr>
          <w:rStyle w:val="Puslapioinaosnuoroda"/>
        </w:rPr>
        <w:footnoteRef/>
      </w:r>
      <w:r>
        <w:t xml:space="preserve"> MTEP veiklos vykdymas, tarptautiniai MTEP projektai aptariami 1.2 uždavinyje. Sąsaja tarp 1.1 ir 1.2 uždavinių abipusė – kompetentingi tyrėjai būtini aukšto lygio MTEP kūrimui, o tyrėjų tobulėjimui būtinas MTEP vykdymas, ypač aukšto lygio projektuose, komandose.</w:t>
      </w:r>
    </w:p>
  </w:footnote>
  <w:footnote w:id="11">
    <w:p w14:paraId="390B6D53"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6-8 ir 11.</w:t>
      </w:r>
    </w:p>
  </w:footnote>
  <w:footnote w:id="12">
    <w:p w14:paraId="01BA7249" w14:textId="47CAC908" w:rsidR="001A6F34" w:rsidRDefault="001A6F34">
      <w:pPr>
        <w:pStyle w:val="Puslapioinaostekstas"/>
      </w:pPr>
      <w:r>
        <w:rPr>
          <w:rStyle w:val="Puslapioinaosnuoroda"/>
        </w:rPr>
        <w:footnoteRef/>
      </w:r>
      <w:r>
        <w:t xml:space="preserve"> Lietuvos Respublikos Vyriausybės 2021 m. rugsėjo 29 d. nutarimas Nr. 789 „Dėl Lietuvos Respublikos teritorijos bendrojo plano patvirtinimo“. </w:t>
      </w:r>
    </w:p>
  </w:footnote>
  <w:footnote w:id="13">
    <w:p w14:paraId="066DE132" w14:textId="77777777" w:rsidR="00514C96" w:rsidRDefault="00514C96">
      <w:pPr>
        <w:pStyle w:val="Puslapioinaostekstas"/>
      </w:pPr>
      <w:r>
        <w:rPr>
          <w:rStyle w:val="Puslapioinaosnuoroda"/>
        </w:rPr>
        <w:footnoteRef/>
      </w:r>
      <w:r>
        <w:t xml:space="preserve"> ŠMSM administraciniai duomenys</w:t>
      </w:r>
    </w:p>
  </w:footnote>
  <w:footnote w:id="14">
    <w:p w14:paraId="4064FF0D"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t>Joint</w:t>
      </w:r>
      <w:proofErr w:type="spellEnd"/>
      <w:r>
        <w:t xml:space="preserve"> </w:t>
      </w:r>
      <w:proofErr w:type="spellStart"/>
      <w:r>
        <w:t>Research</w:t>
      </w:r>
      <w:proofErr w:type="spellEnd"/>
      <w:r>
        <w:t xml:space="preserve"> Centre (JRC), </w:t>
      </w:r>
      <w:proofErr w:type="spellStart"/>
      <w:r w:rsidRPr="01C07FEA">
        <w:rPr>
          <w:i/>
          <w:iCs/>
        </w:rPr>
        <w:t>Higher</w:t>
      </w:r>
      <w:proofErr w:type="spellEnd"/>
      <w:r w:rsidRPr="01C07FEA">
        <w:rPr>
          <w:i/>
          <w:iCs/>
        </w:rPr>
        <w:t xml:space="preserve"> </w:t>
      </w:r>
      <w:proofErr w:type="spellStart"/>
      <w:r w:rsidRPr="01C07FEA">
        <w:rPr>
          <w:i/>
          <w:iCs/>
        </w:rPr>
        <w:t>Education</w:t>
      </w:r>
      <w:proofErr w:type="spellEnd"/>
      <w:r w:rsidRPr="01C07FEA">
        <w:rPr>
          <w:i/>
          <w:iCs/>
        </w:rPr>
        <w:t xml:space="preserve"> </w:t>
      </w:r>
      <w:proofErr w:type="spellStart"/>
      <w:r w:rsidRPr="01C07FEA">
        <w:rPr>
          <w:i/>
          <w:iCs/>
        </w:rPr>
        <w:t>and</w:t>
      </w:r>
      <w:proofErr w:type="spellEnd"/>
      <w:r w:rsidRPr="01C07FEA">
        <w:rPr>
          <w:i/>
          <w:iCs/>
        </w:rPr>
        <w:t xml:space="preserve"> </w:t>
      </w:r>
      <w:proofErr w:type="spellStart"/>
      <w:r w:rsidRPr="01C07FEA">
        <w:rPr>
          <w:i/>
          <w:iCs/>
        </w:rPr>
        <w:t>Smart</w:t>
      </w:r>
      <w:proofErr w:type="spellEnd"/>
      <w:r w:rsidRPr="01C07FEA">
        <w:rPr>
          <w:i/>
          <w:iCs/>
        </w:rPr>
        <w:t xml:space="preserve"> </w:t>
      </w:r>
      <w:proofErr w:type="spellStart"/>
      <w:r w:rsidRPr="01C07FEA">
        <w:rPr>
          <w:i/>
          <w:iCs/>
        </w:rPr>
        <w:t>Specialisation</w:t>
      </w:r>
      <w:proofErr w:type="spellEnd"/>
      <w:r w:rsidRPr="01C07FEA">
        <w:rPr>
          <w:i/>
          <w:iCs/>
        </w:rPr>
        <w:t xml:space="preserve">: Lithuania </w:t>
      </w:r>
      <w:proofErr w:type="spellStart"/>
      <w:r w:rsidRPr="01C07FEA">
        <w:rPr>
          <w:i/>
          <w:iCs/>
        </w:rPr>
        <w:t>case</w:t>
      </w:r>
      <w:proofErr w:type="spellEnd"/>
      <w:r w:rsidRPr="01C07FEA">
        <w:rPr>
          <w:i/>
          <w:iCs/>
        </w:rPr>
        <w:t xml:space="preserve"> </w:t>
      </w:r>
      <w:proofErr w:type="spellStart"/>
      <w:r w:rsidRPr="01C07FEA">
        <w:rPr>
          <w:i/>
          <w:iCs/>
        </w:rPr>
        <w:t>study</w:t>
      </w:r>
      <w:proofErr w:type="spellEnd"/>
      <w:r>
        <w:t>, Vilnius, 2019, 13 ir 38.</w:t>
      </w:r>
    </w:p>
  </w:footnote>
  <w:footnote w:id="15">
    <w:p w14:paraId="7D995EED" w14:textId="77777777" w:rsidR="00514C96" w:rsidRDefault="00514C96">
      <w:pPr>
        <w:pStyle w:val="Puslapioinaostekstas"/>
      </w:pPr>
      <w:r>
        <w:rPr>
          <w:rStyle w:val="Puslapioinaosnuoroda"/>
        </w:rPr>
        <w:footnoteRef/>
      </w:r>
      <w:r>
        <w:t xml:space="preserve"> Ten pat, 12.</w:t>
      </w:r>
    </w:p>
  </w:footnote>
  <w:footnote w:id="16">
    <w:p w14:paraId="260AA136" w14:textId="77777777" w:rsidR="00514C96" w:rsidRDefault="00514C96">
      <w:pPr>
        <w:pStyle w:val="Puslapioinaostekstas"/>
      </w:pPr>
      <w:r>
        <w:rPr>
          <w:rStyle w:val="Puslapioinaosnuoroda"/>
        </w:rPr>
        <w:footnoteRef/>
      </w:r>
      <w:r>
        <w:t xml:space="preserve"> Lietuvos mokslo taryba, &lt;</w:t>
      </w:r>
      <w:hyperlink r:id="rId7" w:history="1">
        <w:r w:rsidRPr="00882895">
          <w:rPr>
            <w:rStyle w:val="Hipersaitas"/>
          </w:rPr>
          <w:t>https://www.lmt.lt/lt/mokslo-finansavimas/kalendorinis-kvietimu-planas/2287/kvietimas-498</w:t>
        </w:r>
      </w:hyperlink>
      <w:r>
        <w:t>&gt;[Žiūrėta: 2020-08-04]</w:t>
      </w:r>
    </w:p>
  </w:footnote>
  <w:footnote w:id="17">
    <w:p w14:paraId="00D75C7A"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8" w:history="1">
        <w:r w:rsidRPr="00882895">
          <w:rPr>
            <w:rStyle w:val="Hipersaitas"/>
          </w:rPr>
          <w:t>https://appsso.eurostat.ec.europa.eu/nui/show.do?dataset=rd_e_gerdfund&amp;lang=en</w:t>
        </w:r>
      </w:hyperlink>
      <w:r>
        <w:t>&gt; [Žiūrėta: 2020-08-04]</w:t>
      </w:r>
    </w:p>
  </w:footnote>
  <w:footnote w:id="18">
    <w:p w14:paraId="61036F36" w14:textId="77777777" w:rsidR="00514C96" w:rsidRDefault="00514C96">
      <w:pPr>
        <w:pStyle w:val="Puslapioinaostekstas"/>
      </w:pPr>
      <w:r>
        <w:rPr>
          <w:rStyle w:val="Puslapioinaosnuoroda"/>
        </w:rPr>
        <w:footnoteRef/>
      </w:r>
      <w:r>
        <w:t xml:space="preserve"> UAB „PPMI Group“, </w:t>
      </w:r>
      <w:r w:rsidRPr="01C07FEA">
        <w:rPr>
          <w:i/>
          <w:iCs/>
        </w:rPr>
        <w:t>Švietimo ir mokslo srities prioritetų „Mokslinių tyrimų, eksperimentinės plėtros ir inovacijų skatinimas“ ir „Visuomenės švietimas ir žmogiškųjų išteklių potencialo didinimas“ poveikio vertinimo</w:t>
      </w:r>
      <w:r>
        <w:t>, 2020, 97.</w:t>
      </w:r>
    </w:p>
  </w:footnote>
  <w:footnote w:id="19">
    <w:p w14:paraId="5BCE61FA" w14:textId="77777777" w:rsidR="00514C96" w:rsidRDefault="00514C96" w:rsidP="00B91434">
      <w:pPr>
        <w:pStyle w:val="Puslapioinaostekstas"/>
      </w:pPr>
      <w:r>
        <w:rPr>
          <w:rStyle w:val="Puslapioinaosnuoroda"/>
        </w:rPr>
        <w:footnoteRef/>
      </w:r>
      <w:r>
        <w:t xml:space="preserve"> </w:t>
      </w:r>
      <w:proofErr w:type="spellStart"/>
      <w:r>
        <w:t>Eurostat</w:t>
      </w:r>
      <w:proofErr w:type="spellEnd"/>
      <w:r>
        <w:t xml:space="preserve"> &lt;</w:t>
      </w:r>
      <w:hyperlink r:id="rId9" w:history="1">
        <w:r w:rsidRPr="00882895">
          <w:rPr>
            <w:rStyle w:val="Hipersaitas"/>
          </w:rPr>
          <w:t>https://appsso.eurostat.ec.europa.eu/nui/show.do?dataset=rd_p_perslf&amp;lang=en</w:t>
        </w:r>
      </w:hyperlink>
      <w:r>
        <w:t>&gt; ir &lt;</w:t>
      </w:r>
      <w:hyperlink r:id="rId10" w:history="1">
        <w:r w:rsidRPr="00882895">
          <w:rPr>
            <w:rStyle w:val="Hipersaitas"/>
          </w:rPr>
          <w:t>https://appsso.eurostat.ec.europa.eu/nui/show.do?dataset=rd_e_gerdfund&amp;lang=en</w:t>
        </w:r>
      </w:hyperlink>
      <w:r>
        <w:t>&gt; [Žiūrėta: 2020-08-04]</w:t>
      </w:r>
    </w:p>
  </w:footnote>
  <w:footnote w:id="20">
    <w:p w14:paraId="1791A6B0"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6.</w:t>
      </w:r>
    </w:p>
  </w:footnote>
  <w:footnote w:id="21">
    <w:p w14:paraId="49B472DF" w14:textId="77777777" w:rsidR="00514C96" w:rsidRDefault="00514C96">
      <w:pPr>
        <w:pStyle w:val="Puslapioinaostekstas"/>
      </w:pPr>
      <w:r>
        <w:rPr>
          <w:rStyle w:val="Puslapioinaosnuoroda"/>
        </w:rPr>
        <w:footnoteRef/>
      </w:r>
      <w:r>
        <w:t xml:space="preserve"> MORE3, rodikliai „</w:t>
      </w:r>
      <w:proofErr w:type="spellStart"/>
      <w:r w:rsidRPr="00EF6D51">
        <w:t>Non-science</w:t>
      </w:r>
      <w:proofErr w:type="spellEnd"/>
      <w:r w:rsidRPr="00EF6D51">
        <w:t xml:space="preserve"> </w:t>
      </w:r>
      <w:proofErr w:type="spellStart"/>
      <w:r w:rsidRPr="00EF6D51">
        <w:t>related</w:t>
      </w:r>
      <w:proofErr w:type="spellEnd"/>
      <w:r w:rsidRPr="00EF6D51">
        <w:t xml:space="preserve"> </w:t>
      </w:r>
      <w:proofErr w:type="spellStart"/>
      <w:r w:rsidRPr="00EF6D51">
        <w:t>motives</w:t>
      </w:r>
      <w:proofErr w:type="spellEnd"/>
      <w:r w:rsidRPr="00EF6D51">
        <w:t xml:space="preserve"> </w:t>
      </w:r>
      <w:proofErr w:type="spellStart"/>
      <w:r w:rsidRPr="00EF6D51">
        <w:t>for</w:t>
      </w:r>
      <w:proofErr w:type="spellEnd"/>
      <w:r w:rsidRPr="00EF6D51">
        <w:t xml:space="preserve"> </w:t>
      </w:r>
      <w:proofErr w:type="spellStart"/>
      <w:r w:rsidRPr="00EF6D51">
        <w:t>intersectoral</w:t>
      </w:r>
      <w:proofErr w:type="spellEnd"/>
      <w:r w:rsidRPr="00EF6D51">
        <w:t xml:space="preserve"> </w:t>
      </w:r>
      <w:proofErr w:type="spellStart"/>
      <w:r w:rsidRPr="00EF6D51">
        <w:t>mobility</w:t>
      </w:r>
      <w:proofErr w:type="spellEnd"/>
      <w:r>
        <w:t>“ ir „</w:t>
      </w:r>
      <w:proofErr w:type="spellStart"/>
      <w:r w:rsidRPr="00397223">
        <w:t>Non-science</w:t>
      </w:r>
      <w:proofErr w:type="spellEnd"/>
      <w:r w:rsidRPr="00397223">
        <w:t xml:space="preserve"> </w:t>
      </w:r>
      <w:proofErr w:type="spellStart"/>
      <w:r w:rsidRPr="00397223">
        <w:t>related</w:t>
      </w:r>
      <w:proofErr w:type="spellEnd"/>
      <w:r w:rsidRPr="00397223">
        <w:t xml:space="preserve"> </w:t>
      </w:r>
      <w:proofErr w:type="spellStart"/>
      <w:r w:rsidRPr="00397223">
        <w:t>motives</w:t>
      </w:r>
      <w:proofErr w:type="spellEnd"/>
      <w:r w:rsidRPr="00397223">
        <w:t xml:space="preserve"> </w:t>
      </w:r>
      <w:proofErr w:type="spellStart"/>
      <w:r w:rsidRPr="00397223">
        <w:t>for</w:t>
      </w:r>
      <w:proofErr w:type="spellEnd"/>
      <w:r w:rsidRPr="00397223">
        <w:t xml:space="preserve"> &gt;3 </w:t>
      </w:r>
      <w:proofErr w:type="spellStart"/>
      <w:r w:rsidRPr="00397223">
        <w:t>month</w:t>
      </w:r>
      <w:proofErr w:type="spellEnd"/>
      <w:r w:rsidRPr="00397223">
        <w:t xml:space="preserve"> </w:t>
      </w:r>
      <w:proofErr w:type="spellStart"/>
      <w:r w:rsidRPr="00397223">
        <w:t>post-PhD</w:t>
      </w:r>
      <w:proofErr w:type="spellEnd"/>
      <w:r w:rsidRPr="00397223">
        <w:t xml:space="preserve"> </w:t>
      </w:r>
      <w:proofErr w:type="spellStart"/>
      <w:r w:rsidRPr="00397223">
        <w:t>mobility</w:t>
      </w:r>
      <w:proofErr w:type="spellEnd"/>
      <w:r>
        <w:t>“, ir „</w:t>
      </w:r>
      <w:proofErr w:type="spellStart"/>
      <w:r w:rsidRPr="008803A4">
        <w:t>Satisfaction</w:t>
      </w:r>
      <w:proofErr w:type="spellEnd"/>
      <w:r w:rsidRPr="008803A4">
        <w:t xml:space="preserve"> </w:t>
      </w:r>
      <w:proofErr w:type="spellStart"/>
      <w:r w:rsidRPr="008803A4">
        <w:t>in</w:t>
      </w:r>
      <w:proofErr w:type="spellEnd"/>
      <w:r w:rsidRPr="008803A4">
        <w:t xml:space="preserve"> </w:t>
      </w:r>
      <w:proofErr w:type="spellStart"/>
      <w:r w:rsidRPr="008803A4">
        <w:t>current</w:t>
      </w:r>
      <w:proofErr w:type="spellEnd"/>
      <w:r w:rsidRPr="008803A4">
        <w:t xml:space="preserve"> </w:t>
      </w:r>
      <w:proofErr w:type="spellStart"/>
      <w:r w:rsidRPr="008803A4">
        <w:t>academic</w:t>
      </w:r>
      <w:proofErr w:type="spellEnd"/>
      <w:r w:rsidRPr="008803A4">
        <w:t xml:space="preserve"> </w:t>
      </w:r>
      <w:proofErr w:type="spellStart"/>
      <w:r w:rsidRPr="008803A4">
        <w:t>position</w:t>
      </w:r>
      <w:proofErr w:type="spellEnd"/>
      <w:r w:rsidRPr="008803A4">
        <w:t xml:space="preserve"> </w:t>
      </w:r>
      <w:proofErr w:type="spellStart"/>
      <w:r w:rsidRPr="008803A4">
        <w:t>with</w:t>
      </w:r>
      <w:proofErr w:type="spellEnd"/>
      <w:r w:rsidRPr="008803A4">
        <w:t xml:space="preserve"> </w:t>
      </w:r>
      <w:proofErr w:type="spellStart"/>
      <w:r w:rsidRPr="008803A4">
        <w:t>remuneration</w:t>
      </w:r>
      <w:proofErr w:type="spellEnd"/>
      <w:r>
        <w:t>“ &lt;</w:t>
      </w:r>
      <w:hyperlink r:id="rId11" w:history="1">
        <w:r w:rsidRPr="00882895">
          <w:rPr>
            <w:rStyle w:val="Hipersaitas"/>
          </w:rPr>
          <w:t>https://www.more3.eu/online-indicator-tool?view=deliver</w:t>
        </w:r>
      </w:hyperlink>
      <w:r>
        <w:rPr>
          <w:rStyle w:val="Hipersaitas"/>
        </w:rPr>
        <w:t>&gt;</w:t>
      </w:r>
      <w:r>
        <w:t xml:space="preserve"> [Žiūrėta: 2020-08-04]</w:t>
      </w:r>
    </w:p>
  </w:footnote>
  <w:footnote w:id="22">
    <w:p w14:paraId="285A5D8E" w14:textId="151C6E0E"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11.</w:t>
      </w:r>
    </w:p>
  </w:footnote>
  <w:footnote w:id="23">
    <w:p w14:paraId="3F2C7545" w14:textId="27BF6BA4" w:rsidR="00514C96" w:rsidRDefault="00514C96" w:rsidP="00675654">
      <w:pPr>
        <w:pStyle w:val="Puslapioinaostekstas"/>
      </w:pPr>
      <w:r>
        <w:rPr>
          <w:rStyle w:val="Puslapioinaosnuoroda"/>
        </w:rPr>
        <w:footnoteRef/>
      </w:r>
      <w:r>
        <w:t xml:space="preserve"> Valstybės analizės centras (STRATA), </w:t>
      </w:r>
      <w:r w:rsidRPr="01C07FEA">
        <w:rPr>
          <w:i/>
          <w:iCs/>
        </w:rPr>
        <w:t>Mokslo būklės apžvalga 2020</w:t>
      </w:r>
      <w:r>
        <w:t>, 2020, 16.</w:t>
      </w:r>
    </w:p>
  </w:footnote>
  <w:footnote w:id="24">
    <w:p w14:paraId="04A922E2" w14:textId="4459C7DA"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She</w:t>
      </w:r>
      <w:proofErr w:type="spellEnd"/>
      <w:r w:rsidRPr="01C07FEA">
        <w:rPr>
          <w:i/>
          <w:iCs/>
        </w:rPr>
        <w:t xml:space="preserve"> </w:t>
      </w:r>
      <w:proofErr w:type="spellStart"/>
      <w:r w:rsidRPr="01C07FEA">
        <w:rPr>
          <w:i/>
          <w:iCs/>
        </w:rPr>
        <w:t>figures</w:t>
      </w:r>
      <w:proofErr w:type="spellEnd"/>
      <w:r w:rsidRPr="01C07FEA">
        <w:rPr>
          <w:i/>
          <w:iCs/>
        </w:rPr>
        <w:t xml:space="preserve"> 2018</w:t>
      </w:r>
      <w:r>
        <w:t xml:space="preserve">, </w:t>
      </w:r>
      <w:proofErr w:type="spellStart"/>
      <w:r>
        <w:t>Luxembourg</w:t>
      </w:r>
      <w:proofErr w:type="spellEnd"/>
      <w:r>
        <w:t xml:space="preserve">: </w:t>
      </w:r>
      <w:proofErr w:type="spellStart"/>
      <w:r>
        <w:t>Publications</w:t>
      </w:r>
      <w:proofErr w:type="spellEnd"/>
      <w:r>
        <w:t xml:space="preserve"> Office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2019, 132.</w:t>
      </w:r>
    </w:p>
  </w:footnote>
  <w:footnote w:id="25">
    <w:p w14:paraId="1AE7FB4F" w14:textId="77777777" w:rsidR="00514C96" w:rsidRDefault="00514C96" w:rsidP="0027454C">
      <w:pPr>
        <w:pStyle w:val="Puslapioinaostekstas"/>
      </w:pPr>
      <w:r>
        <w:rPr>
          <w:rStyle w:val="Puslapioinaosnuoroda"/>
        </w:rPr>
        <w:footnoteRef/>
      </w:r>
      <w:r>
        <w:t xml:space="preserve"> MORE3, rodikliai „</w:t>
      </w:r>
      <w:proofErr w:type="spellStart"/>
      <w:r w:rsidRPr="00F22352">
        <w:t>Part-time</w:t>
      </w:r>
      <w:proofErr w:type="spellEnd"/>
      <w:r w:rsidRPr="00F22352">
        <w:t xml:space="preserve"> </w:t>
      </w:r>
      <w:proofErr w:type="spellStart"/>
      <w:r w:rsidRPr="00F22352">
        <w:t>employment</w:t>
      </w:r>
      <w:proofErr w:type="spellEnd"/>
      <w:r>
        <w:t>“ ir „</w:t>
      </w:r>
      <w:proofErr w:type="spellStart"/>
      <w:r w:rsidRPr="00E52412">
        <w:t>Satisfaction</w:t>
      </w:r>
      <w:proofErr w:type="spellEnd"/>
      <w:r w:rsidRPr="00E52412">
        <w:t xml:space="preserve"> </w:t>
      </w:r>
      <w:proofErr w:type="spellStart"/>
      <w:r w:rsidRPr="00E52412">
        <w:t>with</w:t>
      </w:r>
      <w:proofErr w:type="spellEnd"/>
      <w:r w:rsidRPr="00E52412">
        <w:t xml:space="preserve"> </w:t>
      </w:r>
      <w:proofErr w:type="spellStart"/>
      <w:r w:rsidRPr="00E52412">
        <w:t>non-science</w:t>
      </w:r>
      <w:proofErr w:type="spellEnd"/>
      <w:r w:rsidRPr="00E52412">
        <w:t xml:space="preserve"> </w:t>
      </w:r>
      <w:proofErr w:type="spellStart"/>
      <w:r w:rsidRPr="00E52412">
        <w:t>related</w:t>
      </w:r>
      <w:proofErr w:type="spellEnd"/>
      <w:r w:rsidRPr="00E52412">
        <w:t xml:space="preserve"> </w:t>
      </w:r>
      <w:proofErr w:type="spellStart"/>
      <w:r w:rsidRPr="00E52412">
        <w:t>factors</w:t>
      </w:r>
      <w:proofErr w:type="spellEnd"/>
      <w:r w:rsidRPr="00E52412">
        <w:t xml:space="preserve"> (I): </w:t>
      </w:r>
      <w:proofErr w:type="spellStart"/>
      <w:r w:rsidRPr="00E52412">
        <w:t>employment</w:t>
      </w:r>
      <w:proofErr w:type="spellEnd"/>
      <w:r w:rsidRPr="00E52412">
        <w:t xml:space="preserve"> </w:t>
      </w:r>
      <w:proofErr w:type="spellStart"/>
      <w:r w:rsidRPr="00E52412">
        <w:t>aspects</w:t>
      </w:r>
      <w:proofErr w:type="spellEnd"/>
      <w:r>
        <w:t>“, &lt;</w:t>
      </w:r>
      <w:hyperlink r:id="rId12" w:history="1">
        <w:r w:rsidRPr="00882895">
          <w:rPr>
            <w:rStyle w:val="Hipersaitas"/>
          </w:rPr>
          <w:t>https://www.more3.eu/online-indicator-tool?view=deliver</w:t>
        </w:r>
      </w:hyperlink>
      <w:r>
        <w:rPr>
          <w:rStyle w:val="Hipersaitas"/>
        </w:rPr>
        <w:t>&gt;</w:t>
      </w:r>
      <w:r>
        <w:t xml:space="preserve"> [Žiūrėta: 2020-08-04]</w:t>
      </w:r>
    </w:p>
  </w:footnote>
  <w:footnote w:id="26">
    <w:p w14:paraId="0E781C9B" w14:textId="6C307861" w:rsidR="00514C96" w:rsidRDefault="00514C96">
      <w:r w:rsidRPr="152173DB">
        <w:rPr>
          <w:rStyle w:val="Puslapioinaosnuoroda"/>
        </w:rPr>
        <w:footnoteRef/>
      </w:r>
      <w:r>
        <w:t xml:space="preserve"> </w:t>
      </w:r>
      <w:r w:rsidRPr="01C07FEA">
        <w:rPr>
          <w:sz w:val="20"/>
        </w:rPr>
        <w:t>JRC, 12.</w:t>
      </w:r>
    </w:p>
  </w:footnote>
  <w:footnote w:id="27">
    <w:p w14:paraId="2AA7B30C" w14:textId="2814F12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9 ir </w:t>
      </w:r>
      <w:proofErr w:type="spellStart"/>
      <w:r>
        <w:t>Eurostat</w:t>
      </w:r>
      <w:proofErr w:type="spellEnd"/>
      <w:r>
        <w:t>, &lt;</w:t>
      </w:r>
      <w:hyperlink r:id="rId13" w:history="1">
        <w:r w:rsidRPr="00882895">
          <w:rPr>
            <w:rStyle w:val="Hipersaitas"/>
          </w:rPr>
          <w:t>https://appsso.eurostat.ec.europa.eu/nui/show.do?dataset=educ_uoe_grad02&amp;lang=en</w:t>
        </w:r>
      </w:hyperlink>
      <w:r>
        <w:t>&gt; ir &lt;</w:t>
      </w:r>
      <w:r w:rsidRPr="00836F12">
        <w:t xml:space="preserve"> https://ec.europa.eu/eurostat/databrowser/view/educ_uoe_enrt02/default/table?lang=en</w:t>
      </w:r>
      <w:r>
        <w:t>&gt; [Žiūrėta: 2020-08-04]</w:t>
      </w:r>
    </w:p>
  </w:footnote>
  <w:footnote w:id="28">
    <w:p w14:paraId="7E8CAB9F" w14:textId="77777777" w:rsidR="00514C96" w:rsidRDefault="00514C96">
      <w:pPr>
        <w:pStyle w:val="Puslapioinaostekstas"/>
      </w:pPr>
      <w:r>
        <w:rPr>
          <w:rStyle w:val="Puslapioinaosnuoroda"/>
        </w:rPr>
        <w:footnoteRef/>
      </w:r>
      <w:r>
        <w:t xml:space="preserve"> MORE3, rodiklis „</w:t>
      </w:r>
      <w:proofErr w:type="spellStart"/>
      <w:r>
        <w:t>PhD</w:t>
      </w:r>
      <w:proofErr w:type="spellEnd"/>
      <w:r>
        <w:t xml:space="preserve"> </w:t>
      </w:r>
      <w:proofErr w:type="spellStart"/>
      <w:r>
        <w:t>embedded</w:t>
      </w:r>
      <w:proofErr w:type="spellEnd"/>
      <w:r>
        <w:t xml:space="preserve"> </w:t>
      </w:r>
      <w:proofErr w:type="spellStart"/>
      <w:r>
        <w:t>in</w:t>
      </w:r>
      <w:proofErr w:type="spellEnd"/>
      <w:r>
        <w:t xml:space="preserve"> </w:t>
      </w:r>
      <w:proofErr w:type="spellStart"/>
      <w:r>
        <w:t>doctoral</w:t>
      </w:r>
      <w:proofErr w:type="spellEnd"/>
      <w:r>
        <w:t xml:space="preserve"> </w:t>
      </w:r>
      <w:proofErr w:type="spellStart"/>
      <w:r>
        <w:t>school</w:t>
      </w:r>
      <w:proofErr w:type="spellEnd"/>
      <w:r>
        <w:t>“, &lt;</w:t>
      </w:r>
      <w:hyperlink r:id="rId14" w:history="1">
        <w:r w:rsidRPr="00882895">
          <w:rPr>
            <w:rStyle w:val="Hipersaitas"/>
          </w:rPr>
          <w:t>https://www.more3.eu/online-indicator-tool?view=deliver</w:t>
        </w:r>
      </w:hyperlink>
      <w:r>
        <w:rPr>
          <w:rStyle w:val="Hipersaitas"/>
        </w:rPr>
        <w:t>&gt;</w:t>
      </w:r>
      <w:r>
        <w:t xml:space="preserve"> [Žiūrėta: 2020-08-04]</w:t>
      </w:r>
    </w:p>
  </w:footnote>
  <w:footnote w:id="29">
    <w:p w14:paraId="75A0F1E9"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9 ir 39.</w:t>
      </w:r>
    </w:p>
  </w:footnote>
  <w:footnote w:id="30">
    <w:p w14:paraId="3A6D814A" w14:textId="77777777" w:rsidR="00514C96" w:rsidRDefault="00514C96" w:rsidP="008902AC">
      <w:pPr>
        <w:pStyle w:val="Puslapioinaostekstas"/>
      </w:pPr>
      <w:r>
        <w:rPr>
          <w:rStyle w:val="Puslapioinaosnuoroda"/>
        </w:rPr>
        <w:footnoteRef/>
      </w:r>
      <w:r>
        <w:t xml:space="preserve"> MORE3, rodiklis „</w:t>
      </w:r>
      <w:r w:rsidRPr="008902AC">
        <w:t>IDTP1 (</w:t>
      </w:r>
      <w:proofErr w:type="spellStart"/>
      <w:r w:rsidRPr="008902AC">
        <w:t>research</w:t>
      </w:r>
      <w:proofErr w:type="spellEnd"/>
      <w:r w:rsidRPr="008902AC">
        <w:t xml:space="preserve"> </w:t>
      </w:r>
      <w:proofErr w:type="spellStart"/>
      <w:r w:rsidRPr="008902AC">
        <w:t>excellence</w:t>
      </w:r>
      <w:proofErr w:type="spellEnd"/>
      <w:r w:rsidRPr="008902AC">
        <w:t xml:space="preserve">) </w:t>
      </w:r>
      <w:proofErr w:type="spellStart"/>
      <w:r w:rsidRPr="008902AC">
        <w:t>applicable</w:t>
      </w:r>
      <w:proofErr w:type="spellEnd"/>
      <w:r w:rsidRPr="008902AC">
        <w:t xml:space="preserve"> to </w:t>
      </w:r>
      <w:proofErr w:type="spellStart"/>
      <w:r w:rsidRPr="008902AC">
        <w:t>PhD</w:t>
      </w:r>
      <w:proofErr w:type="spellEnd"/>
      <w:r w:rsidRPr="008902AC">
        <w:t xml:space="preserve"> </w:t>
      </w:r>
      <w:proofErr w:type="spellStart"/>
      <w:r w:rsidRPr="008902AC">
        <w:t>training</w:t>
      </w:r>
      <w:proofErr w:type="spellEnd"/>
      <w:r>
        <w:t>“</w:t>
      </w:r>
      <w:r w:rsidRPr="00EF35DB">
        <w:t xml:space="preserve"> </w:t>
      </w:r>
      <w:r>
        <w:t>&lt;</w:t>
      </w:r>
      <w:hyperlink r:id="rId15" w:history="1">
        <w:r w:rsidRPr="00882895">
          <w:rPr>
            <w:rStyle w:val="Hipersaitas"/>
          </w:rPr>
          <w:t>https://www.more3.eu/online-indicator-tool?view=deliver</w:t>
        </w:r>
      </w:hyperlink>
      <w:r>
        <w:rPr>
          <w:rStyle w:val="Hipersaitas"/>
        </w:rPr>
        <w:t>&gt;</w:t>
      </w:r>
      <w:r>
        <w:t xml:space="preserve"> [Žiūrėta: 2020-08-04]</w:t>
      </w:r>
    </w:p>
  </w:footnote>
  <w:footnote w:id="31">
    <w:p w14:paraId="01A2FE48"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10.</w:t>
      </w:r>
    </w:p>
  </w:footnote>
  <w:footnote w:id="32">
    <w:p w14:paraId="6501C6A1" w14:textId="77777777" w:rsidR="00514C96" w:rsidRDefault="00514C96">
      <w:pPr>
        <w:pStyle w:val="Puslapioinaostekstas"/>
      </w:pPr>
      <w:r>
        <w:rPr>
          <w:rStyle w:val="Puslapioinaosnuoroda"/>
        </w:rPr>
        <w:footnoteRef/>
      </w:r>
      <w:r>
        <w:t xml:space="preserve"> MORE3, rodikliai „</w:t>
      </w:r>
      <w:proofErr w:type="spellStart"/>
      <w:r w:rsidRPr="005A5104">
        <w:t>Open</w:t>
      </w:r>
      <w:proofErr w:type="spellEnd"/>
      <w:r w:rsidRPr="005A5104">
        <w:t xml:space="preserve"> </w:t>
      </w:r>
      <w:proofErr w:type="spellStart"/>
      <w:r w:rsidRPr="005A5104">
        <w:t>recruitment</w:t>
      </w:r>
      <w:proofErr w:type="spellEnd"/>
      <w:r>
        <w:t>“, „</w:t>
      </w:r>
      <w:proofErr w:type="spellStart"/>
      <w:r w:rsidRPr="00BF7625">
        <w:t>Effect</w:t>
      </w:r>
      <w:proofErr w:type="spellEnd"/>
      <w:r w:rsidRPr="00BF7625">
        <w:t xml:space="preserve"> </w:t>
      </w:r>
      <w:proofErr w:type="spellStart"/>
      <w:r w:rsidRPr="00BF7625">
        <w:t>of</w:t>
      </w:r>
      <w:proofErr w:type="spellEnd"/>
      <w:r w:rsidRPr="00BF7625">
        <w:t xml:space="preserve"> &gt;3 </w:t>
      </w:r>
      <w:proofErr w:type="spellStart"/>
      <w:r w:rsidRPr="00BF7625">
        <w:t>month</w:t>
      </w:r>
      <w:proofErr w:type="spellEnd"/>
      <w:r w:rsidRPr="00BF7625">
        <w:t xml:space="preserve"> </w:t>
      </w:r>
      <w:proofErr w:type="spellStart"/>
      <w:r w:rsidRPr="00BF7625">
        <w:t>post-PhD</w:t>
      </w:r>
      <w:proofErr w:type="spellEnd"/>
      <w:r w:rsidRPr="00BF7625">
        <w:t xml:space="preserve"> </w:t>
      </w:r>
      <w:proofErr w:type="spellStart"/>
      <w:r w:rsidRPr="00BF7625">
        <w:t>mobility</w:t>
      </w:r>
      <w:proofErr w:type="spellEnd"/>
      <w:r w:rsidRPr="00BF7625">
        <w:t xml:space="preserve"> </w:t>
      </w:r>
      <w:proofErr w:type="spellStart"/>
      <w:r w:rsidRPr="00BF7625">
        <w:t>on</w:t>
      </w:r>
      <w:proofErr w:type="spellEnd"/>
      <w:r w:rsidRPr="00BF7625">
        <w:t xml:space="preserve"> </w:t>
      </w:r>
      <w:proofErr w:type="spellStart"/>
      <w:r w:rsidRPr="00BF7625">
        <w:t>career-related</w:t>
      </w:r>
      <w:proofErr w:type="spellEnd"/>
      <w:r w:rsidRPr="00BF7625">
        <w:t xml:space="preserve"> </w:t>
      </w:r>
      <w:proofErr w:type="spellStart"/>
      <w:r w:rsidRPr="00BF7625">
        <w:t>aspects</w:t>
      </w:r>
      <w:proofErr w:type="spellEnd"/>
      <w:r>
        <w:t>“ ir „</w:t>
      </w:r>
      <w:proofErr w:type="spellStart"/>
      <w:r w:rsidRPr="00BF7625">
        <w:t>Administrative</w:t>
      </w:r>
      <w:proofErr w:type="spellEnd"/>
      <w:r w:rsidRPr="00BF7625">
        <w:t xml:space="preserve"> </w:t>
      </w:r>
      <w:proofErr w:type="spellStart"/>
      <w:r w:rsidRPr="00BF7625">
        <w:t>factors</w:t>
      </w:r>
      <w:proofErr w:type="spellEnd"/>
      <w:r w:rsidRPr="00BF7625">
        <w:t xml:space="preserve"> </w:t>
      </w:r>
      <w:proofErr w:type="spellStart"/>
      <w:r w:rsidRPr="00BF7625">
        <w:t>as</w:t>
      </w:r>
      <w:proofErr w:type="spellEnd"/>
      <w:r w:rsidRPr="00BF7625">
        <w:t xml:space="preserve"> </w:t>
      </w:r>
      <w:proofErr w:type="spellStart"/>
      <w:r w:rsidRPr="00BF7625">
        <w:t>barriers</w:t>
      </w:r>
      <w:proofErr w:type="spellEnd"/>
      <w:r w:rsidRPr="00BF7625">
        <w:t xml:space="preserve"> </w:t>
      </w:r>
      <w:proofErr w:type="spellStart"/>
      <w:r w:rsidRPr="00BF7625">
        <w:t>for</w:t>
      </w:r>
      <w:proofErr w:type="spellEnd"/>
      <w:r w:rsidRPr="00BF7625">
        <w:t xml:space="preserve"> &gt;3 </w:t>
      </w:r>
      <w:proofErr w:type="spellStart"/>
      <w:r w:rsidRPr="00BF7625">
        <w:t>month</w:t>
      </w:r>
      <w:proofErr w:type="spellEnd"/>
      <w:r w:rsidRPr="00BF7625">
        <w:t xml:space="preserve"> </w:t>
      </w:r>
      <w:proofErr w:type="spellStart"/>
      <w:r w:rsidRPr="00BF7625">
        <w:t>post-PhD</w:t>
      </w:r>
      <w:proofErr w:type="spellEnd"/>
      <w:r w:rsidRPr="00BF7625">
        <w:t xml:space="preserve"> </w:t>
      </w:r>
      <w:proofErr w:type="spellStart"/>
      <w:r w:rsidRPr="00BF7625">
        <w:t>mobility</w:t>
      </w:r>
      <w:proofErr w:type="spellEnd"/>
      <w:r w:rsidRPr="00BF7625">
        <w:t xml:space="preserve"> to </w:t>
      </w:r>
      <w:proofErr w:type="spellStart"/>
      <w:r w:rsidRPr="00BF7625">
        <w:t>the</w:t>
      </w:r>
      <w:proofErr w:type="spellEnd"/>
      <w:r w:rsidRPr="00BF7625">
        <w:t xml:space="preserve"> </w:t>
      </w:r>
      <w:proofErr w:type="spellStart"/>
      <w:r w:rsidRPr="00BF7625">
        <w:t>mobile</w:t>
      </w:r>
      <w:proofErr w:type="spellEnd"/>
      <w:r>
        <w:t>“, &lt;</w:t>
      </w:r>
      <w:hyperlink r:id="rId16" w:history="1">
        <w:r w:rsidRPr="00882895">
          <w:rPr>
            <w:rStyle w:val="Hipersaitas"/>
          </w:rPr>
          <w:t>https://www.more3.eu/online-indicator-tool?view=deliver</w:t>
        </w:r>
      </w:hyperlink>
      <w:r>
        <w:rPr>
          <w:rStyle w:val="Hipersaitas"/>
        </w:rPr>
        <w:t>&gt;</w:t>
      </w:r>
      <w:r>
        <w:t xml:space="preserve"> [Žiūrėta: 2020-08-04]</w:t>
      </w:r>
    </w:p>
  </w:footnote>
  <w:footnote w:id="33">
    <w:p w14:paraId="6B75C7BD" w14:textId="26AF54F0" w:rsidR="00514C96" w:rsidRDefault="00514C96" w:rsidP="00B42CFC">
      <w:pPr>
        <w:pStyle w:val="Puslapioinaostekstas"/>
      </w:pPr>
      <w:r>
        <w:rPr>
          <w:rStyle w:val="Puslapioinaosnuoroda"/>
        </w:rPr>
        <w:footnoteRef/>
      </w:r>
      <w:r>
        <w:t xml:space="preserve"> </w:t>
      </w:r>
      <w:proofErr w:type="spellStart"/>
      <w:r>
        <w:t>Visionary</w:t>
      </w:r>
      <w:proofErr w:type="spellEnd"/>
      <w:r>
        <w:t xml:space="preserve"> Analytics ir ŠMSM, 34-35.</w:t>
      </w:r>
    </w:p>
  </w:footnote>
  <w:footnote w:id="34">
    <w:p w14:paraId="30E4D9FE" w14:textId="77777777" w:rsidR="00514C96" w:rsidRDefault="00514C96" w:rsidP="006D1E38">
      <w:pPr>
        <w:pStyle w:val="Puslapioinaostekstas"/>
      </w:pPr>
      <w:r>
        <w:rPr>
          <w:rStyle w:val="Puslapioinaosnuoroda"/>
        </w:rPr>
        <w:footnoteRef/>
      </w:r>
      <w:r>
        <w:t xml:space="preserve"> MORE3, rodikliai „</w:t>
      </w:r>
      <w:proofErr w:type="spellStart"/>
      <w:r w:rsidRPr="00BF7625">
        <w:t>Administrative</w:t>
      </w:r>
      <w:proofErr w:type="spellEnd"/>
      <w:r w:rsidRPr="00BF7625">
        <w:t xml:space="preserve"> </w:t>
      </w:r>
      <w:proofErr w:type="spellStart"/>
      <w:r w:rsidRPr="00BF7625">
        <w:t>factors</w:t>
      </w:r>
      <w:proofErr w:type="spellEnd"/>
      <w:r w:rsidRPr="00BF7625">
        <w:t xml:space="preserve"> </w:t>
      </w:r>
      <w:proofErr w:type="spellStart"/>
      <w:r w:rsidRPr="00BF7625">
        <w:t>as</w:t>
      </w:r>
      <w:proofErr w:type="spellEnd"/>
      <w:r w:rsidRPr="00BF7625">
        <w:t xml:space="preserve"> </w:t>
      </w:r>
      <w:proofErr w:type="spellStart"/>
      <w:r w:rsidRPr="00BF7625">
        <w:t>barriers</w:t>
      </w:r>
      <w:proofErr w:type="spellEnd"/>
      <w:r w:rsidRPr="00BF7625">
        <w:t xml:space="preserve"> </w:t>
      </w:r>
      <w:proofErr w:type="spellStart"/>
      <w:r w:rsidRPr="00BF7625">
        <w:t>for</w:t>
      </w:r>
      <w:proofErr w:type="spellEnd"/>
      <w:r w:rsidRPr="00BF7625">
        <w:t xml:space="preserve"> &gt;3 </w:t>
      </w:r>
      <w:proofErr w:type="spellStart"/>
      <w:r w:rsidRPr="00BF7625">
        <w:t>month</w:t>
      </w:r>
      <w:proofErr w:type="spellEnd"/>
      <w:r w:rsidRPr="00BF7625">
        <w:t xml:space="preserve"> </w:t>
      </w:r>
      <w:proofErr w:type="spellStart"/>
      <w:r w:rsidRPr="00BF7625">
        <w:t>post-PhD</w:t>
      </w:r>
      <w:proofErr w:type="spellEnd"/>
      <w:r w:rsidRPr="00BF7625">
        <w:t xml:space="preserve"> </w:t>
      </w:r>
      <w:proofErr w:type="spellStart"/>
      <w:r w:rsidRPr="00BF7625">
        <w:t>mobility</w:t>
      </w:r>
      <w:proofErr w:type="spellEnd"/>
      <w:r w:rsidRPr="00BF7625">
        <w:t xml:space="preserve"> to </w:t>
      </w:r>
      <w:proofErr w:type="spellStart"/>
      <w:r w:rsidRPr="00BF7625">
        <w:t>the</w:t>
      </w:r>
      <w:proofErr w:type="spellEnd"/>
      <w:r w:rsidRPr="00BF7625">
        <w:t xml:space="preserve"> </w:t>
      </w:r>
      <w:proofErr w:type="spellStart"/>
      <w:r w:rsidRPr="00BF7625">
        <w:t>mobile</w:t>
      </w:r>
      <w:proofErr w:type="spellEnd"/>
      <w:r>
        <w:t>“, &lt;</w:t>
      </w:r>
      <w:hyperlink r:id="rId17" w:history="1">
        <w:r w:rsidRPr="00882895">
          <w:rPr>
            <w:rStyle w:val="Hipersaitas"/>
          </w:rPr>
          <w:t>https://www.more3.eu/online-indicator-tool?view=deliver</w:t>
        </w:r>
      </w:hyperlink>
      <w:r>
        <w:rPr>
          <w:rStyle w:val="Hipersaitas"/>
        </w:rPr>
        <w:t>&gt;</w:t>
      </w:r>
      <w:r>
        <w:t xml:space="preserve"> [Žiūrėta: 2020-08-04]</w:t>
      </w:r>
    </w:p>
  </w:footnote>
  <w:footnote w:id="35">
    <w:p w14:paraId="2BF49906" w14:textId="5316FE99" w:rsidR="00514C96" w:rsidRDefault="00514C96">
      <w:pPr>
        <w:pStyle w:val="Puslapioinaostekstas"/>
      </w:pPr>
      <w:r>
        <w:rPr>
          <w:rStyle w:val="Puslapioinaosnuoroda"/>
        </w:rPr>
        <w:footnoteRef/>
      </w:r>
      <w:r>
        <w:t xml:space="preserve"> </w:t>
      </w:r>
      <w:r w:rsidRPr="00DC42BE">
        <w:t>Socialinių inovacijų institutas</w:t>
      </w:r>
      <w:r>
        <w:t>,</w:t>
      </w:r>
      <w:r w:rsidRPr="00DC42BE">
        <w:t xml:space="preserve"> </w:t>
      </w:r>
      <w:r w:rsidRPr="01C07FEA">
        <w:rPr>
          <w:i/>
          <w:iCs/>
        </w:rPr>
        <w:t>Užsienio tyrėjų pritraukimo į Lietuvos mokslo ir studijų institucijas modelis</w:t>
      </w:r>
      <w:r w:rsidRPr="00DC42BE">
        <w:t xml:space="preserve">, </w:t>
      </w:r>
      <w:r>
        <w:t xml:space="preserve">Vilnius, </w:t>
      </w:r>
      <w:r w:rsidRPr="00DC42BE">
        <w:t>2019</w:t>
      </w:r>
      <w:r>
        <w:t>, 14-16.</w:t>
      </w:r>
    </w:p>
  </w:footnote>
  <w:footnote w:id="36">
    <w:p w14:paraId="0C87AA9F" w14:textId="7D0AF9E3" w:rsidR="00514C96" w:rsidRDefault="00514C96" w:rsidP="00B42CFC">
      <w:pPr>
        <w:pStyle w:val="Puslapioinaostekstas"/>
      </w:pPr>
      <w:r>
        <w:rPr>
          <w:rStyle w:val="Puslapioinaosnuoroda"/>
        </w:rPr>
        <w:footnoteRef/>
      </w:r>
      <w:r>
        <w:t xml:space="preserve"> </w:t>
      </w:r>
      <w:proofErr w:type="spellStart"/>
      <w:r>
        <w:t>Visionary</w:t>
      </w:r>
      <w:proofErr w:type="spellEnd"/>
      <w:r>
        <w:t xml:space="preserve"> Analytics ir ŠMSM, 10 ir </w:t>
      </w:r>
      <w:r w:rsidRPr="00DC42BE">
        <w:t>Socialinių inovacijų institutas</w:t>
      </w:r>
      <w:r>
        <w:t>, 54.</w:t>
      </w:r>
    </w:p>
  </w:footnote>
  <w:footnote w:id="37">
    <w:p w14:paraId="102DEA5B" w14:textId="77777777" w:rsidR="00514C96" w:rsidRDefault="00514C96" w:rsidP="00CC2883">
      <w:pPr>
        <w:pStyle w:val="Puslapioinaostekstas"/>
      </w:pPr>
      <w:r>
        <w:rPr>
          <w:rStyle w:val="Puslapioinaosnuoroda"/>
        </w:rPr>
        <w:footnoteRef/>
      </w:r>
      <w:r>
        <w:t xml:space="preserve"> JRC, 12.</w:t>
      </w:r>
    </w:p>
  </w:footnote>
  <w:footnote w:id="38">
    <w:p w14:paraId="647B80B3" w14:textId="67330DE2" w:rsidR="00514C96" w:rsidRDefault="00514C96">
      <w:pPr>
        <w:pStyle w:val="Puslapioinaostekstas"/>
      </w:pPr>
      <w:r>
        <w:rPr>
          <w:rStyle w:val="Puslapioinaosnuoroda"/>
        </w:rPr>
        <w:footnoteRef/>
      </w:r>
      <w:r>
        <w:t xml:space="preserve"> JRC, 44 ir </w:t>
      </w:r>
      <w:proofErr w:type="spellStart"/>
      <w:r>
        <w:t>Visionary</w:t>
      </w:r>
      <w:proofErr w:type="spellEnd"/>
      <w:r>
        <w:t xml:space="preserve"> Analytics ir ŠMSM, 9 ir 34.</w:t>
      </w:r>
    </w:p>
  </w:footnote>
  <w:footnote w:id="39">
    <w:p w14:paraId="7105394D"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European</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scoreboard</w:t>
      </w:r>
      <w:proofErr w:type="spellEnd"/>
      <w:r w:rsidRPr="01C07FEA">
        <w:rPr>
          <w:i/>
          <w:iCs/>
        </w:rPr>
        <w:t xml:space="preserve"> 2020 </w:t>
      </w:r>
      <w:r>
        <w:t>duomenų masyvas, 2020, &lt;</w:t>
      </w:r>
      <w:hyperlink r:id="rId18" w:history="1">
        <w:r w:rsidRPr="00882895">
          <w:rPr>
            <w:rStyle w:val="Hipersaitas"/>
          </w:rPr>
          <w:t>https://ec.europa.eu/docsroom/documents/41864</w:t>
        </w:r>
      </w:hyperlink>
      <w:r>
        <w:t>&gt; [Žiūrėta: 2020-08-04]</w:t>
      </w:r>
    </w:p>
  </w:footnote>
  <w:footnote w:id="40">
    <w:p w14:paraId="70743CD9" w14:textId="77777777" w:rsidR="00514C96" w:rsidRDefault="00514C96">
      <w:pPr>
        <w:pStyle w:val="Puslapioinaostekstas"/>
      </w:pPr>
      <w:r>
        <w:rPr>
          <w:rStyle w:val="Puslapioinaosnuoroda"/>
        </w:rPr>
        <w:footnoteRef/>
      </w:r>
      <w:r>
        <w:t xml:space="preserve"> Lietuvos Respublikos ekonomikos ir inovacijų ministerija, Lietuvos Respublikos švietimo, mokslo ir sporto ministerija ir Vyriausybės strateginės analizės centras (STRATA), </w:t>
      </w:r>
      <w:r w:rsidRPr="01C07FEA">
        <w:rPr>
          <w:i/>
          <w:iCs/>
        </w:rPr>
        <w:t>Inovacijų skleidimo trukdžių naujausia analizė, įskaitant skaitmeninimą</w:t>
      </w:r>
      <w:r>
        <w:t>, 2019, 6.</w:t>
      </w:r>
    </w:p>
  </w:footnote>
  <w:footnote w:id="41">
    <w:p w14:paraId="259BC51F" w14:textId="77777777" w:rsidR="00514C96" w:rsidRDefault="00514C96" w:rsidP="0040274D">
      <w:pPr>
        <w:pStyle w:val="Puslapioinaostekstas"/>
      </w:pPr>
      <w:r>
        <w:rPr>
          <w:rStyle w:val="Puslapioinaosnuoroda"/>
        </w:rPr>
        <w:footnoteRef/>
      </w:r>
      <w:r>
        <w:t xml:space="preserve"> MOSTA, </w:t>
      </w:r>
      <w:r w:rsidRPr="01C07FEA">
        <w:rPr>
          <w:i/>
          <w:iCs/>
        </w:rPr>
        <w:t>Moksliniai tyrimai ir eksperimentinė plėtra Lietuvoje: vertinimo rezultatai ir rekomendacijos</w:t>
      </w:r>
      <w:r>
        <w:t xml:space="preserve">, 2018 ir </w:t>
      </w:r>
      <w:proofErr w:type="spellStart"/>
      <w:r>
        <w:t>Visionary</w:t>
      </w:r>
      <w:proofErr w:type="spellEnd"/>
      <w:r>
        <w:t xml:space="preserve"> Analytics ir ŠMSM, 23-24.</w:t>
      </w:r>
    </w:p>
  </w:footnote>
  <w:footnote w:id="42">
    <w:p w14:paraId="63E5F0A1" w14:textId="77777777" w:rsidR="00514C96" w:rsidRDefault="00514C96" w:rsidP="0040274D">
      <w:pPr>
        <w:pStyle w:val="Puslapioinaostekstas"/>
      </w:pPr>
      <w:r>
        <w:rPr>
          <w:rStyle w:val="Puslapioinaosnuoroda"/>
        </w:rPr>
        <w:footnoteRef/>
      </w:r>
      <w:r>
        <w:t xml:space="preserve"> Valstybės analizės centras (STRATA), „</w:t>
      </w:r>
      <w:proofErr w:type="spellStart"/>
      <w:r>
        <w:t>Horizon</w:t>
      </w:r>
      <w:proofErr w:type="spellEnd"/>
      <w:r>
        <w:t xml:space="preserve"> </w:t>
      </w:r>
      <w:proofErr w:type="spellStart"/>
      <w:r>
        <w:t>Europe</w:t>
      </w:r>
      <w:proofErr w:type="spellEnd"/>
      <w:r>
        <w:t xml:space="preserve">“ </w:t>
      </w:r>
      <w:proofErr w:type="spellStart"/>
      <w:r>
        <w:t>akceleravimo</w:t>
      </w:r>
      <w:proofErr w:type="spellEnd"/>
      <w:r>
        <w:t xml:space="preserve"> veiksmų planas, 2020, 2.</w:t>
      </w:r>
    </w:p>
  </w:footnote>
  <w:footnote w:id="43">
    <w:p w14:paraId="32691048" w14:textId="512D4CBB" w:rsidR="001A6F34" w:rsidRDefault="001A6F34" w:rsidP="001A6F34">
      <w:pPr>
        <w:pStyle w:val="Puslapioinaostekstas"/>
      </w:pPr>
      <w:r>
        <w:rPr>
          <w:rStyle w:val="Puslapioinaosnuoroda"/>
        </w:rPr>
        <w:footnoteRef/>
      </w:r>
      <w:r>
        <w:t xml:space="preserve"> Lietuvos Respublikos Vyriausybės 2021 m. rugsėjo 29 d. nutarimas Nr. 789 „Dėl Lietuvos Respublikos teritorijos bendrojo plano patvirtinimo“.</w:t>
      </w:r>
    </w:p>
  </w:footnote>
  <w:footnote w:id="44">
    <w:p w14:paraId="383E375F" w14:textId="15BC57EE" w:rsidR="00B41A22" w:rsidRDefault="00B41A22">
      <w:pPr>
        <w:pStyle w:val="Puslapioinaostekstas"/>
      </w:pPr>
      <w:r>
        <w:rPr>
          <w:rStyle w:val="Puslapioinaosnuoroda"/>
        </w:rPr>
        <w:footnoteRef/>
      </w:r>
      <w:r>
        <w:t xml:space="preserve"> </w:t>
      </w:r>
      <w:r w:rsidRPr="00B41A22">
        <w:t>Problemai taip pat aktualios visos 1.1 uždavinio 1 problemos „Aukšto tarptautinio lygio tyrėjų trūkumas Lietuvos mokslo sistemoje“ priežastys.</w:t>
      </w:r>
    </w:p>
  </w:footnote>
  <w:footnote w:id="45">
    <w:p w14:paraId="21A9C911" w14:textId="77777777" w:rsidR="00514C96" w:rsidRDefault="00514C96">
      <w:pPr>
        <w:pStyle w:val="Puslapioinaostekstas"/>
      </w:pPr>
      <w:r>
        <w:rPr>
          <w:rStyle w:val="Puslapioinaosnuoroda"/>
        </w:rPr>
        <w:footnoteRef/>
      </w:r>
      <w:r>
        <w:t xml:space="preserve"> JRC, 35.</w:t>
      </w:r>
    </w:p>
  </w:footnote>
  <w:footnote w:id="46">
    <w:p w14:paraId="099352E4" w14:textId="77777777" w:rsidR="00514C96" w:rsidRDefault="00514C96">
      <w:pPr>
        <w:pStyle w:val="Puslapioinaostekstas"/>
      </w:pPr>
      <w:r>
        <w:rPr>
          <w:rStyle w:val="Puslapioinaosnuoroda"/>
        </w:rPr>
        <w:footnoteRef/>
      </w:r>
      <w:r>
        <w:t xml:space="preserve"> EIM, ŠMSM ir STRATA, 6 ir </w:t>
      </w:r>
      <w:proofErr w:type="spellStart"/>
      <w:r>
        <w:t>Visionary</w:t>
      </w:r>
      <w:proofErr w:type="spellEnd"/>
      <w:r>
        <w:t xml:space="preserve"> Analytics ir ŠMSM, 11.</w:t>
      </w:r>
    </w:p>
  </w:footnote>
  <w:footnote w:id="47">
    <w:p w14:paraId="73DFB3C4" w14:textId="77777777" w:rsidR="00514C96" w:rsidRDefault="00514C96">
      <w:pPr>
        <w:pStyle w:val="Puslapioinaostekstas"/>
      </w:pPr>
      <w:r>
        <w:rPr>
          <w:rStyle w:val="Puslapioinaosnuoroda"/>
        </w:rPr>
        <w:footnoteRef/>
      </w:r>
      <w:r>
        <w:t xml:space="preserve"> JRC, 39, 44 ir 46 ir EIM, ŠMSM ir STRATA, 6.</w:t>
      </w:r>
    </w:p>
  </w:footnote>
  <w:footnote w:id="48">
    <w:p w14:paraId="68005638"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28.</w:t>
      </w:r>
    </w:p>
  </w:footnote>
  <w:footnote w:id="49">
    <w:p w14:paraId="6FF89176" w14:textId="77777777" w:rsidR="00514C96" w:rsidRDefault="00514C96">
      <w:pPr>
        <w:pStyle w:val="Puslapioinaostekstas"/>
      </w:pPr>
      <w:r>
        <w:rPr>
          <w:rStyle w:val="Puslapioinaosnuoroda"/>
        </w:rPr>
        <w:footnoteRef/>
      </w:r>
      <w:r>
        <w:t xml:space="preserve"> JRC, 39 ir LRPK, 1-2.</w:t>
      </w:r>
    </w:p>
  </w:footnote>
  <w:footnote w:id="50">
    <w:p w14:paraId="2DF14405" w14:textId="59F39AE6" w:rsidR="00514C96" w:rsidRDefault="00514C96">
      <w:pPr>
        <w:pStyle w:val="Puslapioinaostekstas"/>
      </w:pPr>
      <w:r>
        <w:rPr>
          <w:rStyle w:val="Puslapioinaosnuoroda"/>
        </w:rPr>
        <w:footnoteRef/>
      </w:r>
      <w:r>
        <w:t xml:space="preserve"> MORE3, rodiklis „</w:t>
      </w:r>
      <w:proofErr w:type="spellStart"/>
      <w:r w:rsidRPr="00CF2B53">
        <w:t>Current</w:t>
      </w:r>
      <w:proofErr w:type="spellEnd"/>
      <w:r w:rsidRPr="00CF2B53">
        <w:t xml:space="preserve"> </w:t>
      </w:r>
      <w:proofErr w:type="spellStart"/>
      <w:r w:rsidRPr="00CF2B53">
        <w:t>international</w:t>
      </w:r>
      <w:proofErr w:type="spellEnd"/>
      <w:r w:rsidRPr="00CF2B53">
        <w:t xml:space="preserve"> </w:t>
      </w:r>
      <w:proofErr w:type="spellStart"/>
      <w:r w:rsidRPr="00CF2B53">
        <w:t>mobility</w:t>
      </w:r>
      <w:proofErr w:type="spellEnd"/>
      <w:r w:rsidRPr="00CF2B53">
        <w:t xml:space="preserve"> </w:t>
      </w:r>
      <w:proofErr w:type="spellStart"/>
      <w:r w:rsidRPr="00CF2B53">
        <w:t>based</w:t>
      </w:r>
      <w:proofErr w:type="spellEnd"/>
      <w:r w:rsidRPr="00CF2B53">
        <w:t xml:space="preserve"> </w:t>
      </w:r>
      <w:proofErr w:type="spellStart"/>
      <w:r w:rsidRPr="00CF2B53">
        <w:t>on</w:t>
      </w:r>
      <w:proofErr w:type="spellEnd"/>
      <w:r w:rsidRPr="00CF2B53">
        <w:t xml:space="preserve"> </w:t>
      </w:r>
      <w:proofErr w:type="spellStart"/>
      <w:r w:rsidRPr="00CF2B53">
        <w:t>citizenship</w:t>
      </w:r>
      <w:proofErr w:type="spellEnd"/>
      <w:r>
        <w:t>“ ir „</w:t>
      </w:r>
      <w:proofErr w:type="spellStart"/>
      <w:r w:rsidRPr="00C230EA">
        <w:t>Post-PhD</w:t>
      </w:r>
      <w:proofErr w:type="spellEnd"/>
      <w:r w:rsidRPr="00C230EA">
        <w:t xml:space="preserve"> </w:t>
      </w:r>
      <w:proofErr w:type="spellStart"/>
      <w:r w:rsidRPr="00C230EA">
        <w:t>non-mobility</w:t>
      </w:r>
      <w:proofErr w:type="spellEnd"/>
      <w:r>
        <w:t>“, &lt;</w:t>
      </w:r>
      <w:hyperlink r:id="rId19" w:history="1">
        <w:r w:rsidRPr="00882895">
          <w:rPr>
            <w:rStyle w:val="Hipersaitas"/>
          </w:rPr>
          <w:t>https://www.more3.eu/online-indicator-tool?view=deliver</w:t>
        </w:r>
      </w:hyperlink>
      <w:r>
        <w:rPr>
          <w:rStyle w:val="Hipersaitas"/>
        </w:rPr>
        <w:t>&gt;</w:t>
      </w:r>
      <w:r>
        <w:t xml:space="preserve"> [Žiūrėta: 2020-08-04]</w:t>
      </w:r>
    </w:p>
  </w:footnote>
  <w:footnote w:id="51">
    <w:p w14:paraId="1BCB39E0" w14:textId="77777777" w:rsidR="00514C96" w:rsidRDefault="00514C96">
      <w:pPr>
        <w:pStyle w:val="Puslapioinaostekstas"/>
      </w:pPr>
      <w:r>
        <w:rPr>
          <w:rStyle w:val="Puslapioinaosnuoroda"/>
        </w:rPr>
        <w:footnoteRef/>
      </w:r>
      <w:r>
        <w:t xml:space="preserve"> Lietuvos Respublikos švietimo, mokslo ir sporto ministro 2017 m. spalio 4 d. įsakymas Nr. V-747 „Dėl kasmetinio universitetų ir mokslinių tyrimų institutų mokslinių tyrimų ir eksperimentinės plėtros ir meno veiklos vertinimo reglamento patvirtinimo“.</w:t>
      </w:r>
    </w:p>
  </w:footnote>
  <w:footnote w:id="52">
    <w:p w14:paraId="1B24A13B" w14:textId="5E81318D"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ERA </w:t>
      </w:r>
      <w:proofErr w:type="spellStart"/>
      <w:r>
        <w:t>Progress</w:t>
      </w:r>
      <w:proofErr w:type="spellEnd"/>
      <w:r>
        <w:t xml:space="preserve"> </w:t>
      </w:r>
      <w:proofErr w:type="spellStart"/>
      <w:r>
        <w:t>Report</w:t>
      </w:r>
      <w:proofErr w:type="spellEnd"/>
      <w:r>
        <w:t xml:space="preserve"> 2018: </w:t>
      </w:r>
      <w:proofErr w:type="spellStart"/>
      <w:r>
        <w:t>Country</w:t>
      </w:r>
      <w:proofErr w:type="spellEnd"/>
      <w:r>
        <w:t xml:space="preserve"> </w:t>
      </w:r>
      <w:proofErr w:type="spellStart"/>
      <w:r>
        <w:t>Profile</w:t>
      </w:r>
      <w:proofErr w:type="spellEnd"/>
      <w:r>
        <w:t xml:space="preserve"> Lithuania, </w:t>
      </w:r>
      <w:proofErr w:type="spellStart"/>
      <w:r>
        <w:t>Luxembourg</w:t>
      </w:r>
      <w:proofErr w:type="spellEnd"/>
      <w:r>
        <w:t xml:space="preserve">: </w:t>
      </w:r>
      <w:proofErr w:type="spellStart"/>
      <w:r>
        <w:t>Publications</w:t>
      </w:r>
      <w:proofErr w:type="spellEnd"/>
      <w:r>
        <w:t xml:space="preserve"> Office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2019, 2-3 ir 5.</w:t>
      </w:r>
    </w:p>
  </w:footnote>
  <w:footnote w:id="53">
    <w:p w14:paraId="5E7819D8" w14:textId="77777777" w:rsidR="00514C96" w:rsidRDefault="00514C96">
      <w:pPr>
        <w:pStyle w:val="Puslapioinaostekstas"/>
      </w:pPr>
      <w:r>
        <w:rPr>
          <w:rStyle w:val="Puslapioinaosnuoroda"/>
        </w:rPr>
        <w:footnoteRef/>
      </w:r>
      <w:r>
        <w:t xml:space="preserve"> </w:t>
      </w:r>
      <w:r w:rsidRPr="00D71F1F">
        <w:t>Programos "Horizontas 2020" statistikos portalas</w:t>
      </w:r>
      <w:r>
        <w:t>, &lt;</w:t>
      </w:r>
      <w:hyperlink r:id="rId20" w:history="1">
        <w:r w:rsidRPr="001B4E74">
          <w:rPr>
            <w:rStyle w:val="Hipersaitas"/>
            <w:lang w:val="en-GB"/>
          </w:rPr>
          <w:t>https://webgate.ec.europa.eu/dashboard/</w:t>
        </w:r>
      </w:hyperlink>
      <w:r>
        <w:t xml:space="preserve">&gt; </w:t>
      </w:r>
      <w:r>
        <w:rPr>
          <w:lang w:val="en-GB"/>
        </w:rPr>
        <w:t>[</w:t>
      </w:r>
      <w:proofErr w:type="spellStart"/>
      <w:r>
        <w:rPr>
          <w:lang w:val="en-GB"/>
        </w:rPr>
        <w:t>Žiūrėta</w:t>
      </w:r>
      <w:proofErr w:type="spellEnd"/>
      <w:r>
        <w:rPr>
          <w:lang w:val="en-GB"/>
        </w:rPr>
        <w:t>: 2020-06-18]</w:t>
      </w:r>
    </w:p>
  </w:footnote>
  <w:footnote w:id="54">
    <w:p w14:paraId="40845AA5" w14:textId="77777777" w:rsidR="00514C96" w:rsidRDefault="00514C96">
      <w:pPr>
        <w:pStyle w:val="Puslapioinaostekstas"/>
      </w:pPr>
      <w:r>
        <w:rPr>
          <w:rStyle w:val="Puslapioinaosnuoroda"/>
        </w:rPr>
        <w:footnoteRef/>
      </w:r>
      <w:r>
        <w:t xml:space="preserve"> Vyriausybės strateginės analizės centras (STRATA), </w:t>
      </w:r>
      <w:r w:rsidRPr="01C07FEA">
        <w:rPr>
          <w:i/>
          <w:iCs/>
        </w:rPr>
        <w:t>Lietuvos inovacijų ekosistemos apžvalga</w:t>
      </w:r>
      <w:r>
        <w:t>, 2019, 43.</w:t>
      </w:r>
    </w:p>
  </w:footnote>
  <w:footnote w:id="55">
    <w:p w14:paraId="30964A5A"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33-34.</w:t>
      </w:r>
    </w:p>
  </w:footnote>
  <w:footnote w:id="56">
    <w:p w14:paraId="661F981A" w14:textId="464D6D33" w:rsidR="001A6F34" w:rsidRDefault="001A6F34" w:rsidP="001A6F34">
      <w:pPr>
        <w:pStyle w:val="Puslapioinaostekstas"/>
      </w:pPr>
      <w:r>
        <w:rPr>
          <w:rStyle w:val="Puslapioinaosnuoroda"/>
        </w:rPr>
        <w:footnoteRef/>
      </w:r>
      <w:r>
        <w:t xml:space="preserve"> Lietuvos Respublikos Vyriausybės 2021 m. rugsėjo 29 d. nutarimas Nr. 789 „Dėl Lietuvos Respublikos teritorijos bendrojo plano patvirtinimo“.</w:t>
      </w:r>
    </w:p>
  </w:footnote>
  <w:footnote w:id="57">
    <w:p w14:paraId="4F893D18" w14:textId="7DFE3FAD" w:rsidR="00B41A22" w:rsidRDefault="00B41A22">
      <w:pPr>
        <w:pStyle w:val="Puslapioinaostekstas"/>
      </w:pPr>
      <w:r>
        <w:rPr>
          <w:rStyle w:val="Puslapioinaosnuoroda"/>
        </w:rPr>
        <w:footnoteRef/>
      </w:r>
      <w:r>
        <w:t xml:space="preserve"> </w:t>
      </w:r>
      <w:r w:rsidRPr="00B41A22">
        <w:t>Problemai taip pat aktualios visos 1.1 uždavinio 1 problemos „Aukšto tarptautinio lygio tyrėjų trūkumas Lietuvos mokslo sistemoje“ priežastys.</w:t>
      </w:r>
    </w:p>
  </w:footnote>
  <w:footnote w:id="58">
    <w:p w14:paraId="2C553A3D" w14:textId="77777777" w:rsidR="00514C96" w:rsidRDefault="00514C96" w:rsidP="00973D47">
      <w:pPr>
        <w:pStyle w:val="Puslapioinaostekstas"/>
      </w:pPr>
      <w:r>
        <w:rPr>
          <w:rStyle w:val="Puslapioinaosnuoroda"/>
        </w:rPr>
        <w:footnoteRef/>
      </w:r>
      <w:r>
        <w:t xml:space="preserve"> EIM, ŠMSM ir STRATA, 6 ir Europos Parlamento ir Tarybos reglamentas  dėl bendrosios mokslinių tyrimų ir inovacijų programos „Europos horizontas“ ir su ja susijusių dalyvavimo ir sklaidos taisyklių COM(2018) 435 </w:t>
      </w:r>
      <w:proofErr w:type="spellStart"/>
      <w:r>
        <w:t>final</w:t>
      </w:r>
      <w:proofErr w:type="spellEnd"/>
      <w:r>
        <w:t xml:space="preserve"> 2018/0224(COD) 32 str. &lt;</w:t>
      </w:r>
      <w:hyperlink r:id="rId21" w:history="1">
        <w:r w:rsidRPr="00882895">
          <w:rPr>
            <w:rStyle w:val="Hipersaitas"/>
          </w:rPr>
          <w:t>https://eur-lex.europa.eu/legal-content/LT/TXT/HTML/?uri=CELEX:52018PC0435&amp;from=LT</w:t>
        </w:r>
      </w:hyperlink>
      <w:r>
        <w:t>&gt;</w:t>
      </w:r>
    </w:p>
  </w:footnote>
  <w:footnote w:id="59">
    <w:p w14:paraId="5CA7F4E0" w14:textId="326D466F" w:rsidR="00514C96" w:rsidRDefault="00514C96" w:rsidP="005D691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Horizon</w:t>
      </w:r>
      <w:proofErr w:type="spellEnd"/>
      <w:r w:rsidRPr="01C07FEA">
        <w:rPr>
          <w:i/>
          <w:iCs/>
        </w:rPr>
        <w:t xml:space="preserve"> </w:t>
      </w:r>
      <w:proofErr w:type="spellStart"/>
      <w:r w:rsidRPr="01C07FEA">
        <w:rPr>
          <w:i/>
          <w:iCs/>
        </w:rPr>
        <w:t>Europe</w:t>
      </w:r>
      <w:proofErr w:type="spellEnd"/>
      <w:r w:rsidRPr="01C07FEA">
        <w:rPr>
          <w:i/>
          <w:iCs/>
        </w:rPr>
        <w:t xml:space="preserve"> </w:t>
      </w:r>
      <w:proofErr w:type="spellStart"/>
      <w:r w:rsidRPr="01C07FEA">
        <w:rPr>
          <w:i/>
          <w:iCs/>
        </w:rPr>
        <w:t>rules</w:t>
      </w:r>
      <w:proofErr w:type="spellEnd"/>
      <w:r w:rsidRPr="01C07FEA">
        <w:rPr>
          <w:i/>
          <w:iCs/>
        </w:rPr>
        <w:t xml:space="preserve"> </w:t>
      </w:r>
      <w:proofErr w:type="spellStart"/>
      <w:r w:rsidRPr="01C07FEA">
        <w:rPr>
          <w:i/>
          <w:iCs/>
        </w:rPr>
        <w:t>for</w:t>
      </w:r>
      <w:proofErr w:type="spellEnd"/>
      <w:r w:rsidRPr="01C07FEA">
        <w:rPr>
          <w:i/>
          <w:iCs/>
        </w:rPr>
        <w:t xml:space="preserve"> </w:t>
      </w:r>
      <w:proofErr w:type="spellStart"/>
      <w:r w:rsidRPr="01C07FEA">
        <w:rPr>
          <w:i/>
          <w:iCs/>
        </w:rPr>
        <w:t>participation</w:t>
      </w:r>
      <w:proofErr w:type="spellEnd"/>
      <w:r w:rsidRPr="01C07FEA">
        <w:rPr>
          <w:i/>
          <w:iCs/>
        </w:rPr>
        <w:t xml:space="preserve"> </w:t>
      </w:r>
      <w:proofErr w:type="spellStart"/>
      <w:r w:rsidRPr="01C07FEA">
        <w:rPr>
          <w:i/>
          <w:iCs/>
        </w:rPr>
        <w:t>and</w:t>
      </w:r>
      <w:proofErr w:type="spellEnd"/>
      <w:r w:rsidRPr="01C07FEA">
        <w:rPr>
          <w:i/>
          <w:iCs/>
        </w:rPr>
        <w:t xml:space="preserve"> </w:t>
      </w:r>
      <w:proofErr w:type="spellStart"/>
      <w:r w:rsidRPr="01C07FEA">
        <w:rPr>
          <w:i/>
          <w:iCs/>
        </w:rPr>
        <w:t>dissemination</w:t>
      </w:r>
      <w:proofErr w:type="spellEnd"/>
      <w:r w:rsidRPr="01C07FEA">
        <w:rPr>
          <w:i/>
          <w:iCs/>
        </w:rPr>
        <w:t xml:space="preserve">: </w:t>
      </w:r>
      <w:proofErr w:type="spellStart"/>
      <w:r w:rsidRPr="01C07FEA">
        <w:rPr>
          <w:i/>
          <w:iCs/>
        </w:rPr>
        <w:t>Personnel</w:t>
      </w:r>
      <w:proofErr w:type="spellEnd"/>
      <w:r w:rsidRPr="01C07FEA">
        <w:rPr>
          <w:i/>
          <w:iCs/>
        </w:rPr>
        <w:t xml:space="preserve"> </w:t>
      </w:r>
      <w:proofErr w:type="spellStart"/>
      <w:r w:rsidRPr="01C07FEA">
        <w:rPr>
          <w:i/>
          <w:iCs/>
        </w:rPr>
        <w:t>costs</w:t>
      </w:r>
      <w:proofErr w:type="spellEnd"/>
      <w:r>
        <w:t>, 2018, 5-6.</w:t>
      </w:r>
    </w:p>
  </w:footnote>
  <w:footnote w:id="60">
    <w:p w14:paraId="326A107D"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34.</w:t>
      </w:r>
    </w:p>
  </w:footnote>
  <w:footnote w:id="61">
    <w:p w14:paraId="2A076075" w14:textId="77777777" w:rsidR="00514C96" w:rsidRDefault="00514C96">
      <w:pPr>
        <w:pStyle w:val="Puslapioinaostekstas"/>
      </w:pPr>
      <w:r>
        <w:rPr>
          <w:rStyle w:val="Puslapioinaosnuoroda"/>
        </w:rPr>
        <w:footnoteRef/>
      </w:r>
      <w:r>
        <w:t xml:space="preserve"> STRATA, </w:t>
      </w:r>
      <w:r w:rsidRPr="01C07FEA">
        <w:rPr>
          <w:i/>
          <w:iCs/>
        </w:rPr>
        <w:t>Lietuvos inovacijų ekosistemos apžvalga</w:t>
      </w:r>
      <w:r>
        <w:t>, 43-44.</w:t>
      </w:r>
    </w:p>
  </w:footnote>
  <w:footnote w:id="62">
    <w:p w14:paraId="780C2232" w14:textId="77777777" w:rsidR="00514C96" w:rsidRDefault="00514C96">
      <w:pPr>
        <w:pStyle w:val="Puslapioinaostekstas"/>
      </w:pPr>
      <w:r>
        <w:rPr>
          <w:rStyle w:val="Puslapioinaosnuoroda"/>
        </w:rPr>
        <w:footnoteRef/>
      </w:r>
      <w:r>
        <w:t xml:space="preserve"> </w:t>
      </w:r>
      <w:r w:rsidRPr="00D71F1F">
        <w:t>Programos "Horizontas 2020" statistikos portalas</w:t>
      </w:r>
      <w:r>
        <w:t>, &lt;</w:t>
      </w:r>
      <w:hyperlink r:id="rId22" w:history="1">
        <w:r w:rsidRPr="001B4E74">
          <w:rPr>
            <w:rStyle w:val="Hipersaitas"/>
            <w:lang w:val="en-GB"/>
          </w:rPr>
          <w:t>https://webgate.ec.europa.eu/dashboard/</w:t>
        </w:r>
      </w:hyperlink>
      <w:r>
        <w:t xml:space="preserve">&gt; </w:t>
      </w:r>
      <w:r>
        <w:rPr>
          <w:lang w:val="en-GB"/>
        </w:rPr>
        <w:t>[</w:t>
      </w:r>
      <w:proofErr w:type="spellStart"/>
      <w:r>
        <w:rPr>
          <w:lang w:val="en-GB"/>
        </w:rPr>
        <w:t>Žiūrėta</w:t>
      </w:r>
      <w:proofErr w:type="spellEnd"/>
      <w:r>
        <w:rPr>
          <w:lang w:val="en-GB"/>
        </w:rPr>
        <w:t>: 2020-06-18]</w:t>
      </w:r>
    </w:p>
  </w:footnote>
  <w:footnote w:id="63">
    <w:p w14:paraId="67554D1F" w14:textId="33DD83CB" w:rsidR="00514C96" w:rsidRDefault="00514C96">
      <w:pPr>
        <w:pStyle w:val="Puslapioinaostekstas"/>
      </w:pPr>
      <w:r>
        <w:rPr>
          <w:rStyle w:val="Puslapioinaosnuoroda"/>
        </w:rPr>
        <w:footnoteRef/>
      </w:r>
      <w:r>
        <w:t xml:space="preserve"> Ten pat.</w:t>
      </w:r>
    </w:p>
  </w:footnote>
  <w:footnote w:id="64">
    <w:p w14:paraId="7698234A" w14:textId="77777777" w:rsidR="00514C96" w:rsidRDefault="00514C96" w:rsidP="001D0438">
      <w:pPr>
        <w:pStyle w:val="Puslapioinaostekstas"/>
      </w:pPr>
      <w:r>
        <w:rPr>
          <w:rStyle w:val="Puslapioinaosnuoroda"/>
        </w:rPr>
        <w:footnoteRef/>
      </w:r>
      <w:r>
        <w:t xml:space="preserve"> STRATA, </w:t>
      </w:r>
      <w:proofErr w:type="spellStart"/>
      <w:r w:rsidRPr="01C07FEA">
        <w:rPr>
          <w:i/>
          <w:iCs/>
        </w:rPr>
        <w:t>Horizon</w:t>
      </w:r>
      <w:proofErr w:type="spellEnd"/>
      <w:r w:rsidRPr="01C07FEA">
        <w:rPr>
          <w:i/>
          <w:iCs/>
        </w:rPr>
        <w:t xml:space="preserve"> </w:t>
      </w:r>
      <w:proofErr w:type="spellStart"/>
      <w:r w:rsidRPr="01C07FEA">
        <w:rPr>
          <w:i/>
          <w:iCs/>
        </w:rPr>
        <w:t>Europe</w:t>
      </w:r>
      <w:proofErr w:type="spellEnd"/>
      <w:r>
        <w:t xml:space="preserve">, 1-2 ir STRATA, </w:t>
      </w:r>
      <w:r w:rsidRPr="01C07FEA">
        <w:rPr>
          <w:i/>
          <w:iCs/>
        </w:rPr>
        <w:t>Lietuvos inovacijų ekosistemos apžvalga</w:t>
      </w:r>
      <w:r>
        <w:t>, 43.</w:t>
      </w:r>
    </w:p>
  </w:footnote>
  <w:footnote w:id="65">
    <w:p w14:paraId="09E7C035"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34 ir LRPK, 1, ir STRATA, </w:t>
      </w:r>
      <w:proofErr w:type="spellStart"/>
      <w:r w:rsidRPr="01C07FEA">
        <w:rPr>
          <w:i/>
          <w:iCs/>
        </w:rPr>
        <w:t>Horizon</w:t>
      </w:r>
      <w:proofErr w:type="spellEnd"/>
      <w:r w:rsidRPr="01C07FEA">
        <w:rPr>
          <w:i/>
          <w:iCs/>
        </w:rPr>
        <w:t xml:space="preserve"> </w:t>
      </w:r>
      <w:proofErr w:type="spellStart"/>
      <w:r w:rsidRPr="01C07FEA">
        <w:rPr>
          <w:i/>
          <w:iCs/>
        </w:rPr>
        <w:t>Europe</w:t>
      </w:r>
      <w:proofErr w:type="spellEnd"/>
      <w:r>
        <w:t>, 5.</w:t>
      </w:r>
    </w:p>
  </w:footnote>
  <w:footnote w:id="66">
    <w:p w14:paraId="064A477A" w14:textId="07D69D2F" w:rsidR="00514C96" w:rsidRDefault="00514C96">
      <w:pPr>
        <w:pStyle w:val="Puslapioinaostekstas"/>
      </w:pPr>
      <w:r>
        <w:rPr>
          <w:rStyle w:val="Puslapioinaosnuoroda"/>
        </w:rPr>
        <w:footnoteRef/>
      </w:r>
      <w:r>
        <w:t xml:space="preserve"> </w:t>
      </w:r>
      <w:r w:rsidRPr="00D71F1F">
        <w:t>Programos "Horizontas 2020" statistikos portalas</w:t>
      </w:r>
      <w:r>
        <w:t>, &lt;</w:t>
      </w:r>
      <w:hyperlink r:id="rId23" w:history="1">
        <w:r w:rsidRPr="001B4E74">
          <w:rPr>
            <w:rStyle w:val="Hipersaitas"/>
            <w:lang w:val="en-GB"/>
          </w:rPr>
          <w:t>https://webgate.ec.europa.eu/dashboard/</w:t>
        </w:r>
      </w:hyperlink>
      <w:r>
        <w:t xml:space="preserve">&gt; </w:t>
      </w:r>
      <w:r>
        <w:rPr>
          <w:lang w:val="en-GB"/>
        </w:rPr>
        <w:t>[</w:t>
      </w:r>
      <w:proofErr w:type="spellStart"/>
      <w:r>
        <w:rPr>
          <w:lang w:val="en-GB"/>
        </w:rPr>
        <w:t>Žiūrėta</w:t>
      </w:r>
      <w:proofErr w:type="spellEnd"/>
      <w:r>
        <w:rPr>
          <w:lang w:val="en-GB"/>
        </w:rPr>
        <w:t>: 2021-01-18]</w:t>
      </w:r>
    </w:p>
  </w:footnote>
  <w:footnote w:id="67">
    <w:p w14:paraId="0F92AB5A" w14:textId="55D00F44" w:rsidR="00514C96" w:rsidRDefault="00514C96">
      <w:pPr>
        <w:pStyle w:val="Puslapioinaostekstas"/>
      </w:pPr>
      <w:r>
        <w:rPr>
          <w:rStyle w:val="Puslapioinaosnuoroda"/>
        </w:rPr>
        <w:footnoteRef/>
      </w:r>
      <w:r>
        <w:t xml:space="preserve"> LRPK, 2 ir Lietuvos Respublikos mokslo ir studijų įstatymo 3 str..</w:t>
      </w:r>
    </w:p>
  </w:footnote>
  <w:footnote w:id="68">
    <w:p w14:paraId="212C31D1"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Parliament</w:t>
      </w:r>
      <w:proofErr w:type="spellEnd"/>
      <w:r>
        <w:t>, 21–22 ir LRPK, 2.</w:t>
      </w:r>
    </w:p>
  </w:footnote>
  <w:footnote w:id="69">
    <w:p w14:paraId="377FD7F2" w14:textId="77777777" w:rsidR="00514C96" w:rsidRDefault="00514C96">
      <w:pPr>
        <w:pStyle w:val="Puslapioinaostekstas"/>
      </w:pPr>
      <w:r>
        <w:rPr>
          <w:rStyle w:val="Puslapioinaosnuoroda"/>
        </w:rPr>
        <w:footnoteRef/>
      </w:r>
      <w:r>
        <w:t xml:space="preserve"> Eurointegracijos projektai, </w:t>
      </w:r>
      <w:r w:rsidRPr="01C07FEA">
        <w:rPr>
          <w:i/>
          <w:iCs/>
        </w:rPr>
        <w:t>Mokslininkų nuomonės tyrimas</w:t>
      </w:r>
      <w:r>
        <w:t xml:space="preserve">, Vilnius, 2019, 6-8 ir Eurointegracijos projektai, </w:t>
      </w:r>
      <w:r w:rsidRPr="01C07FEA">
        <w:rPr>
          <w:i/>
          <w:iCs/>
        </w:rPr>
        <w:t>Mokslo ir studijų įstaigų vadovų nuomonės tyrimas</w:t>
      </w:r>
      <w:r>
        <w:t>, Vilnius, 2019, 11.</w:t>
      </w:r>
    </w:p>
  </w:footnote>
  <w:footnote w:id="70">
    <w:p w14:paraId="3E8C4185"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24" w:history="1">
        <w:r w:rsidRPr="00882895">
          <w:rPr>
            <w:rStyle w:val="Hipersaitas"/>
          </w:rPr>
          <w:t>https://appsso.eurostat.ec.europa.eu/nui/show.do?dataset=rd_e_gerdfund&amp;lang=en</w:t>
        </w:r>
      </w:hyperlink>
      <w:r>
        <w:t>&gt; [Žiūrėta: 2020-08-04]</w:t>
      </w:r>
    </w:p>
  </w:footnote>
  <w:footnote w:id="71">
    <w:p w14:paraId="25BA66A8" w14:textId="4F25ABE6"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27 psl. ir Lietuvos mokslo tarybos </w:t>
      </w:r>
      <w:proofErr w:type="spellStart"/>
      <w:r>
        <w:rPr>
          <w:rStyle w:val="acopre"/>
        </w:rPr>
        <w:t>okslo</w:t>
      </w:r>
      <w:proofErr w:type="spellEnd"/>
      <w:r>
        <w:rPr>
          <w:rStyle w:val="acopre"/>
        </w:rPr>
        <w:t xml:space="preserve"> (meno) veiklos rezultatų vertinimo sistemos</w:t>
      </w:r>
      <w:r>
        <w:t xml:space="preserve"> „Vieversys“ duomenys.</w:t>
      </w:r>
    </w:p>
  </w:footnote>
  <w:footnote w:id="72">
    <w:p w14:paraId="7B00FE9D" w14:textId="77777777" w:rsidR="00514C96" w:rsidRDefault="00514C96" w:rsidP="008F1FDB">
      <w:pPr>
        <w:pStyle w:val="Puslapioinaostekstas"/>
      </w:pPr>
      <w:r>
        <w:rPr>
          <w:rStyle w:val="Puslapioinaosnuoroda"/>
        </w:rPr>
        <w:footnoteRef/>
      </w:r>
      <w:r>
        <w:t xml:space="preserve"> Eurointegracijos projektai, </w:t>
      </w:r>
      <w:r w:rsidRPr="01C07FEA">
        <w:rPr>
          <w:i/>
          <w:iCs/>
        </w:rPr>
        <w:t>Mokslininkų nuomonės tyrimas</w:t>
      </w:r>
      <w:r>
        <w:t xml:space="preserve">, 4 ir Eurointegracijos projektai, </w:t>
      </w:r>
      <w:r w:rsidRPr="01C07FEA">
        <w:rPr>
          <w:i/>
          <w:iCs/>
        </w:rPr>
        <w:t>Mokslo ir studijų įstaigų vadovų nuomonės tyrimas</w:t>
      </w:r>
      <w:r>
        <w:t>, 9.</w:t>
      </w:r>
    </w:p>
  </w:footnote>
  <w:footnote w:id="73">
    <w:p w14:paraId="7034C717"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27.</w:t>
      </w:r>
    </w:p>
  </w:footnote>
  <w:footnote w:id="74">
    <w:p w14:paraId="33C6B983"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25" w:history="1">
        <w:r w:rsidRPr="00882895">
          <w:rPr>
            <w:rStyle w:val="Hipersaitas"/>
          </w:rPr>
          <w:t>https://appsso.eurostat.ec.europa.eu/nui/show.do?dataset=rd_e_gerdfund&amp;lang=en</w:t>
        </w:r>
      </w:hyperlink>
      <w:r>
        <w:t>&gt; [Žiūrėta: 2020-08-04]</w:t>
      </w:r>
    </w:p>
  </w:footnote>
  <w:footnote w:id="75">
    <w:p w14:paraId="664F04AF" w14:textId="7A39272F" w:rsidR="001A6F34" w:rsidRDefault="001A6F34" w:rsidP="001A6F34">
      <w:pPr>
        <w:pStyle w:val="Puslapioinaostekstas"/>
      </w:pPr>
      <w:r>
        <w:rPr>
          <w:rStyle w:val="Puslapioinaosnuoroda"/>
        </w:rPr>
        <w:footnoteRef/>
      </w:r>
      <w:r>
        <w:t xml:space="preserve"> Lietuvos Respublikos Vyriausybės 2021 m. rugsėjo 29 d. nutarimas Nr. 789 „Dėl Lietuvos Respublikos teritorijos bendrojo plano patvirtinimo“.</w:t>
      </w:r>
    </w:p>
  </w:footnote>
  <w:footnote w:id="76">
    <w:p w14:paraId="69C7AFAD" w14:textId="77777777" w:rsidR="00514C96" w:rsidRDefault="00514C96">
      <w:pPr>
        <w:pStyle w:val="Puslapioinaostekstas"/>
      </w:pPr>
      <w:r>
        <w:rPr>
          <w:rStyle w:val="Puslapioinaosnuoroda"/>
        </w:rPr>
        <w:footnoteRef/>
      </w:r>
      <w:r>
        <w:t xml:space="preserve"> JRC, 47.</w:t>
      </w:r>
    </w:p>
  </w:footnote>
  <w:footnote w:id="77">
    <w:p w14:paraId="4543D470" w14:textId="48AD4C54" w:rsidR="00514C96" w:rsidRDefault="00514C96">
      <w:pPr>
        <w:pStyle w:val="Puslapioinaostekstas"/>
      </w:pPr>
      <w:r>
        <w:rPr>
          <w:rStyle w:val="Puslapioinaosnuoroda"/>
        </w:rPr>
        <w:footnoteRef/>
      </w:r>
      <w:r>
        <w:t xml:space="preserve"> LMT „Vieversys“.</w:t>
      </w:r>
    </w:p>
  </w:footnote>
  <w:footnote w:id="78">
    <w:p w14:paraId="2CAB7EED"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26-27 psl.</w:t>
      </w:r>
    </w:p>
  </w:footnote>
  <w:footnote w:id="79">
    <w:p w14:paraId="73D49958" w14:textId="77777777" w:rsidR="00514C96" w:rsidRDefault="00514C96" w:rsidP="00B862A1">
      <w:pPr>
        <w:pStyle w:val="Puslapioinaostekstas"/>
      </w:pPr>
      <w:r>
        <w:rPr>
          <w:rStyle w:val="Puslapioinaosnuoroda"/>
        </w:rPr>
        <w:footnoteRef/>
      </w:r>
      <w:r>
        <w:t xml:space="preserve"> UAB </w:t>
      </w:r>
      <w:proofErr w:type="spellStart"/>
      <w:r w:rsidRPr="01C07FEA">
        <w:rPr>
          <w:rStyle w:val="Emfaz"/>
          <w:i w:val="0"/>
          <w:iCs w:val="0"/>
        </w:rPr>
        <w:t>PricewaterhouseCoopers</w:t>
      </w:r>
      <w:proofErr w:type="spellEnd"/>
      <w:r>
        <w:t xml:space="preserve">, </w:t>
      </w:r>
      <w:r w:rsidRPr="01C07FEA">
        <w:rPr>
          <w:i/>
          <w:iCs/>
        </w:rPr>
        <w:t>Mokslinių tyrimų ir eksperimentinės plėtros finansavimo 2014–2020 metų Europos Sąjungos struktūrinių fondų lėšomis išankstinis vertinimas</w:t>
      </w:r>
      <w:r>
        <w:t>, Vilnius, 2020, 51.</w:t>
      </w:r>
    </w:p>
  </w:footnote>
  <w:footnote w:id="80">
    <w:p w14:paraId="3E0BBE47" w14:textId="77777777" w:rsidR="00514C96" w:rsidRDefault="00514C96" w:rsidP="00B862A1">
      <w:pPr>
        <w:pStyle w:val="Puslapioinaostekstas"/>
      </w:pPr>
      <w:r>
        <w:rPr>
          <w:rStyle w:val="Puslapioinaosnuoroda"/>
        </w:rPr>
        <w:footnoteRef/>
      </w:r>
      <w:r>
        <w:t xml:space="preserve"> </w:t>
      </w:r>
      <w:proofErr w:type="spellStart"/>
      <w:r>
        <w:t>Visionary</w:t>
      </w:r>
      <w:proofErr w:type="spellEnd"/>
      <w:r>
        <w:t xml:space="preserve"> </w:t>
      </w:r>
      <w:r w:rsidRPr="00B6038F">
        <w:t xml:space="preserve">Analytics ir </w:t>
      </w:r>
      <w:r>
        <w:t xml:space="preserve">ŠMSM, 28 psl. ir </w:t>
      </w:r>
      <w:proofErr w:type="spellStart"/>
      <w:r>
        <w:t>Visionary</w:t>
      </w:r>
      <w:proofErr w:type="spellEnd"/>
      <w:r>
        <w:t xml:space="preserve"> 44, 46 ir 69 psl., ir MSI vadovų apklausa, 18 psl.</w:t>
      </w:r>
    </w:p>
  </w:footnote>
  <w:footnote w:id="81">
    <w:p w14:paraId="4A312656" w14:textId="77777777" w:rsidR="00514C96" w:rsidRDefault="00514C96">
      <w:pPr>
        <w:pStyle w:val="Puslapioinaostekstas"/>
      </w:pPr>
      <w:r>
        <w:rPr>
          <w:rStyle w:val="Puslapioinaosnuoroda"/>
        </w:rPr>
        <w:footnoteRef/>
      </w:r>
      <w:r>
        <w:t xml:space="preserve"> MORE3, rodikliai „</w:t>
      </w:r>
      <w:proofErr w:type="spellStart"/>
      <w:r w:rsidRPr="00076C7B">
        <w:t>Collaboration</w:t>
      </w:r>
      <w:proofErr w:type="spellEnd"/>
      <w:r w:rsidRPr="00076C7B">
        <w:t xml:space="preserve"> </w:t>
      </w:r>
      <w:proofErr w:type="spellStart"/>
      <w:r w:rsidRPr="00076C7B">
        <w:t>outside</w:t>
      </w:r>
      <w:proofErr w:type="spellEnd"/>
      <w:r w:rsidRPr="00076C7B">
        <w:t xml:space="preserve"> </w:t>
      </w:r>
      <w:proofErr w:type="spellStart"/>
      <w:r w:rsidRPr="00076C7B">
        <w:t>academia</w:t>
      </w:r>
      <w:proofErr w:type="spellEnd"/>
      <w:r w:rsidRPr="00076C7B">
        <w:t xml:space="preserve"> </w:t>
      </w:r>
      <w:proofErr w:type="spellStart"/>
      <w:r w:rsidRPr="00076C7B">
        <w:t>in</w:t>
      </w:r>
      <w:proofErr w:type="spellEnd"/>
      <w:r w:rsidRPr="00076C7B">
        <w:t xml:space="preserve"> </w:t>
      </w:r>
      <w:proofErr w:type="spellStart"/>
      <w:r w:rsidRPr="00076C7B">
        <w:t>own</w:t>
      </w:r>
      <w:proofErr w:type="spellEnd"/>
      <w:r w:rsidRPr="00076C7B">
        <w:t xml:space="preserve"> </w:t>
      </w:r>
      <w:proofErr w:type="spellStart"/>
      <w:r w:rsidRPr="00076C7B">
        <w:t>country</w:t>
      </w:r>
      <w:proofErr w:type="spellEnd"/>
      <w:r>
        <w:t>“ ir „</w:t>
      </w:r>
      <w:proofErr w:type="spellStart"/>
      <w:r>
        <w:t>Collaboration</w:t>
      </w:r>
      <w:proofErr w:type="spellEnd"/>
      <w:r>
        <w:t xml:space="preserve"> </w:t>
      </w:r>
      <w:proofErr w:type="spellStart"/>
      <w:r>
        <w:t>outside</w:t>
      </w:r>
      <w:proofErr w:type="spellEnd"/>
      <w:r>
        <w:t xml:space="preserve"> </w:t>
      </w:r>
      <w:proofErr w:type="spellStart"/>
      <w:r>
        <w:t>academia</w:t>
      </w:r>
      <w:proofErr w:type="spellEnd"/>
      <w:r>
        <w:t xml:space="preserve"> </w:t>
      </w:r>
      <w:proofErr w:type="spellStart"/>
      <w:r>
        <w:t>in</w:t>
      </w:r>
      <w:proofErr w:type="spellEnd"/>
      <w:r>
        <w:t xml:space="preserve"> </w:t>
      </w:r>
      <w:proofErr w:type="spellStart"/>
      <w:r>
        <w:t>other</w:t>
      </w:r>
      <w:proofErr w:type="spellEnd"/>
      <w:r>
        <w:t xml:space="preserve"> EU </w:t>
      </w:r>
      <w:proofErr w:type="spellStart"/>
      <w:r>
        <w:t>country</w:t>
      </w:r>
      <w:proofErr w:type="spellEnd"/>
      <w:r>
        <w:t>“, ir „</w:t>
      </w:r>
      <w:proofErr w:type="spellStart"/>
      <w:r>
        <w:t>Collaboration</w:t>
      </w:r>
      <w:proofErr w:type="spellEnd"/>
      <w:r>
        <w:t xml:space="preserve"> </w:t>
      </w:r>
      <w:proofErr w:type="spellStart"/>
      <w:r>
        <w:t>outside</w:t>
      </w:r>
      <w:proofErr w:type="spellEnd"/>
      <w:r>
        <w:t xml:space="preserve"> </w:t>
      </w:r>
      <w:proofErr w:type="spellStart"/>
      <w:r>
        <w:t>academia</w:t>
      </w:r>
      <w:proofErr w:type="spellEnd"/>
      <w:r>
        <w:t xml:space="preserve"> </w:t>
      </w:r>
      <w:proofErr w:type="spellStart"/>
      <w:r>
        <w:t>in</w:t>
      </w:r>
      <w:proofErr w:type="spellEnd"/>
      <w:r>
        <w:t xml:space="preserve"> </w:t>
      </w:r>
      <w:proofErr w:type="spellStart"/>
      <w:r>
        <w:t>non</w:t>
      </w:r>
      <w:proofErr w:type="spellEnd"/>
      <w:r>
        <w:t xml:space="preserve">-EU </w:t>
      </w:r>
      <w:proofErr w:type="spellStart"/>
      <w:r>
        <w:t>country</w:t>
      </w:r>
      <w:proofErr w:type="spellEnd"/>
      <w:r>
        <w:t>“, &lt;</w:t>
      </w:r>
      <w:hyperlink r:id="rId26" w:history="1">
        <w:r w:rsidRPr="00882895">
          <w:rPr>
            <w:rStyle w:val="Hipersaitas"/>
          </w:rPr>
          <w:t>https://www.more3.eu/online-indicator-tool?view=deliver</w:t>
        </w:r>
      </w:hyperlink>
      <w:r>
        <w:rPr>
          <w:rStyle w:val="Hipersaitas"/>
        </w:rPr>
        <w:t>&gt;</w:t>
      </w:r>
      <w:r>
        <w:t xml:space="preserve"> [Žiūrėta: 2020-08-04]</w:t>
      </w:r>
    </w:p>
  </w:footnote>
  <w:footnote w:id="82">
    <w:p w14:paraId="759075C6" w14:textId="77777777" w:rsidR="00514C96" w:rsidRDefault="00514C96">
      <w:pPr>
        <w:pStyle w:val="Puslapioinaostekstas"/>
      </w:pPr>
      <w:r>
        <w:rPr>
          <w:rStyle w:val="Puslapioinaosnuoroda"/>
        </w:rPr>
        <w:footnoteRef/>
      </w:r>
      <w:r>
        <w:t xml:space="preserve"> MORE3, rodikliai „</w:t>
      </w:r>
      <w:r w:rsidRPr="000E4DDC">
        <w:t>IDTP6 (</w:t>
      </w:r>
      <w:proofErr w:type="spellStart"/>
      <w:r w:rsidRPr="000E4DDC">
        <w:t>transferable</w:t>
      </w:r>
      <w:proofErr w:type="spellEnd"/>
      <w:r w:rsidRPr="000E4DDC">
        <w:t xml:space="preserve"> </w:t>
      </w:r>
      <w:proofErr w:type="spellStart"/>
      <w:r w:rsidRPr="000E4DDC">
        <w:t>skills</w:t>
      </w:r>
      <w:proofErr w:type="spellEnd"/>
      <w:r w:rsidRPr="000E4DDC">
        <w:t xml:space="preserve"> </w:t>
      </w:r>
      <w:proofErr w:type="spellStart"/>
      <w:r w:rsidRPr="000E4DDC">
        <w:t>training</w:t>
      </w:r>
      <w:proofErr w:type="spellEnd"/>
      <w:r w:rsidRPr="000E4DDC">
        <w:t xml:space="preserve">) </w:t>
      </w:r>
      <w:proofErr w:type="spellStart"/>
      <w:r w:rsidRPr="000E4DDC">
        <w:t>considered</w:t>
      </w:r>
      <w:proofErr w:type="spellEnd"/>
      <w:r w:rsidRPr="000E4DDC">
        <w:t xml:space="preserve"> </w:t>
      </w:r>
      <w:proofErr w:type="spellStart"/>
      <w:r w:rsidRPr="000E4DDC">
        <w:t>important</w:t>
      </w:r>
      <w:proofErr w:type="spellEnd"/>
      <w:r w:rsidRPr="000E4DDC">
        <w:t xml:space="preserve"> </w:t>
      </w:r>
      <w:proofErr w:type="spellStart"/>
      <w:r w:rsidRPr="000E4DDC">
        <w:t>for</w:t>
      </w:r>
      <w:proofErr w:type="spellEnd"/>
      <w:r w:rsidRPr="000E4DDC">
        <w:t xml:space="preserve"> </w:t>
      </w:r>
      <w:proofErr w:type="spellStart"/>
      <w:r w:rsidRPr="000E4DDC">
        <w:t>PhD</w:t>
      </w:r>
      <w:proofErr w:type="spellEnd"/>
      <w:r w:rsidRPr="000E4DDC">
        <w:t xml:space="preserve"> </w:t>
      </w:r>
      <w:proofErr w:type="spellStart"/>
      <w:r w:rsidRPr="000E4DDC">
        <w:t>training</w:t>
      </w:r>
      <w:proofErr w:type="spellEnd"/>
      <w:r>
        <w:t>“ ir „</w:t>
      </w:r>
      <w:r w:rsidRPr="000E4DDC">
        <w:t>IDTP6 (</w:t>
      </w:r>
      <w:proofErr w:type="spellStart"/>
      <w:r w:rsidRPr="000E4DDC">
        <w:t>transferable</w:t>
      </w:r>
      <w:proofErr w:type="spellEnd"/>
      <w:r w:rsidRPr="000E4DDC">
        <w:t xml:space="preserve"> </w:t>
      </w:r>
      <w:proofErr w:type="spellStart"/>
      <w:r w:rsidRPr="000E4DDC">
        <w:t>skills</w:t>
      </w:r>
      <w:proofErr w:type="spellEnd"/>
      <w:r w:rsidRPr="000E4DDC">
        <w:t xml:space="preserve"> </w:t>
      </w:r>
      <w:proofErr w:type="spellStart"/>
      <w:r w:rsidRPr="000E4DDC">
        <w:t>training</w:t>
      </w:r>
      <w:proofErr w:type="spellEnd"/>
      <w:r w:rsidRPr="000E4DDC">
        <w:t xml:space="preserve">) </w:t>
      </w:r>
      <w:proofErr w:type="spellStart"/>
      <w:r w:rsidRPr="000E4DDC">
        <w:t>applicable</w:t>
      </w:r>
      <w:proofErr w:type="spellEnd"/>
      <w:r w:rsidRPr="000E4DDC">
        <w:t xml:space="preserve"> to </w:t>
      </w:r>
      <w:proofErr w:type="spellStart"/>
      <w:r w:rsidRPr="000E4DDC">
        <w:t>PhD</w:t>
      </w:r>
      <w:proofErr w:type="spellEnd"/>
      <w:r w:rsidRPr="000E4DDC">
        <w:t xml:space="preserve"> </w:t>
      </w:r>
      <w:proofErr w:type="spellStart"/>
      <w:r w:rsidRPr="000E4DDC">
        <w:t>training</w:t>
      </w:r>
      <w:proofErr w:type="spellEnd"/>
      <w:r>
        <w:t>“, &lt;</w:t>
      </w:r>
      <w:hyperlink r:id="rId27" w:history="1">
        <w:r w:rsidRPr="00882895">
          <w:rPr>
            <w:rStyle w:val="Hipersaitas"/>
          </w:rPr>
          <w:t>https://www.more3.eu/online-indicator-tool?view=deliver</w:t>
        </w:r>
      </w:hyperlink>
      <w:r>
        <w:rPr>
          <w:rStyle w:val="Hipersaitas"/>
        </w:rPr>
        <w:t>&gt;</w:t>
      </w:r>
      <w:r>
        <w:t xml:space="preserve"> [Žiūrėta: 2020-08-04]</w:t>
      </w:r>
    </w:p>
  </w:footnote>
  <w:footnote w:id="83">
    <w:p w14:paraId="42032172" w14:textId="77777777" w:rsidR="00514C96" w:rsidRDefault="00514C96" w:rsidP="00EB2C78">
      <w:pPr>
        <w:jc w:val="both"/>
      </w:pPr>
      <w:r>
        <w:rPr>
          <w:rStyle w:val="Puslapioinaosnuoroda"/>
        </w:rPr>
        <w:footnoteRef/>
      </w:r>
      <w:r>
        <w:t xml:space="preserve"> </w:t>
      </w:r>
      <w:proofErr w:type="spellStart"/>
      <w:r w:rsidRPr="01C07FEA">
        <w:rPr>
          <w:sz w:val="20"/>
        </w:rPr>
        <w:t>Visionary</w:t>
      </w:r>
      <w:proofErr w:type="spellEnd"/>
      <w:r w:rsidRPr="01C07FEA">
        <w:rPr>
          <w:sz w:val="20"/>
        </w:rPr>
        <w:t xml:space="preserve"> Analytics ir ŠMSM, 5 ir 32.</w:t>
      </w:r>
    </w:p>
  </w:footnote>
  <w:footnote w:id="84">
    <w:p w14:paraId="471370C1" w14:textId="5C389665" w:rsidR="00514C96" w:rsidRPr="001D26AA" w:rsidRDefault="00514C96" w:rsidP="00870749">
      <w:pPr>
        <w:pStyle w:val="Puslapioinaostekstas"/>
      </w:pPr>
      <w:r w:rsidRPr="001D26AA">
        <w:rPr>
          <w:rStyle w:val="Puslapioinaosnuoroda"/>
        </w:rPr>
        <w:footnoteRef/>
      </w:r>
      <w:r w:rsidRPr="001D26AA">
        <w:t xml:space="preserve"> </w:t>
      </w:r>
      <w:r>
        <w:t xml:space="preserve">Aplinkos ministerija, Lietuvos Respublikos teritorijos bendrasis planas: sprendiniai, 2020, 18 ir 36. </w:t>
      </w:r>
      <w:r w:rsidRPr="00717C8A">
        <w:t>&lt;</w:t>
      </w:r>
      <w:hyperlink r:id="rId28" w:history="1">
        <w:r w:rsidRPr="00717C8A">
          <w:rPr>
            <w:rStyle w:val="Hipersaitas"/>
          </w:rPr>
          <w:t>http://www.bendrasisplanas.lt/wp-content/uploads/2020/10/LRBP_SPRENDINIU%CC%A8_DOKUMENTAS.pdf</w:t>
        </w:r>
      </w:hyperlink>
      <w:r w:rsidRPr="00717C8A">
        <w:t>&gt; [Žiūrėta: 2020-11-17]. LR teritorijos bendrojo plano sprendiniuose (žr. 93-98, taip pat 2</w:t>
      </w:r>
      <w:r w:rsidRPr="00717C8A">
        <w:rPr>
          <w:lang w:val="en-US"/>
        </w:rPr>
        <w:t>4</w:t>
      </w:r>
      <w:r w:rsidRPr="00717C8A">
        <w:t>,</w:t>
      </w:r>
      <w:r w:rsidR="001A6F34">
        <w:t xml:space="preserve"> </w:t>
      </w:r>
      <w:r w:rsidRPr="00717C8A">
        <w:t>26,</w:t>
      </w:r>
      <w:r w:rsidR="001A6F34">
        <w:t xml:space="preserve"> </w:t>
      </w:r>
      <w:r w:rsidRPr="00717C8A">
        <w:t xml:space="preserve">29 sprendinius) </w:t>
      </w:r>
      <w:r w:rsidRPr="00717C8A">
        <w:rPr>
          <w:color w:val="222222"/>
          <w:shd w:val="clear" w:color="auto" w:fill="FFFFFF"/>
        </w:rPr>
        <w:t>įtvirtinamos MSI bendradarbiavimo, Vilniaus–Kauno urbanistinių centrų, kuriuose yra sutelktos svarbiausios šalies mokslo ir studijų institucijos, tarptautinio lygmens urbanistinės partnerystės stiprinimo gairės.</w:t>
      </w:r>
      <w:r w:rsidRPr="00717C8A">
        <w:t xml:space="preserve"> </w:t>
      </w:r>
    </w:p>
  </w:footnote>
  <w:footnote w:id="85">
    <w:p w14:paraId="0D26D747" w14:textId="1B4C41D4" w:rsidR="00514C96" w:rsidRDefault="00514C96" w:rsidP="000671BD">
      <w:pPr>
        <w:pStyle w:val="Puslapioinaostekstas"/>
      </w:pPr>
      <w:r>
        <w:rPr>
          <w:rStyle w:val="Puslapioinaosnuoroda"/>
        </w:rPr>
        <w:footnoteRef/>
      </w:r>
      <w:r>
        <w:t xml:space="preserve"> </w:t>
      </w:r>
      <w:proofErr w:type="spellStart"/>
      <w:r w:rsidRPr="000671BD">
        <w:t>Oxentia</w:t>
      </w:r>
      <w:proofErr w:type="spellEnd"/>
      <w:r w:rsidRPr="000671BD">
        <w:t xml:space="preserve"> </w:t>
      </w:r>
      <w:proofErr w:type="spellStart"/>
      <w:r w:rsidRPr="000671BD">
        <w:t>Ltd</w:t>
      </w:r>
      <w:proofErr w:type="spellEnd"/>
      <w:r w:rsidRPr="000671BD">
        <w:t>,</w:t>
      </w:r>
      <w:r>
        <w:t xml:space="preserve"> </w:t>
      </w:r>
      <w:proofErr w:type="spellStart"/>
      <w:r>
        <w:t>Research</w:t>
      </w:r>
      <w:proofErr w:type="spellEnd"/>
      <w:r>
        <w:t xml:space="preserve"> </w:t>
      </w:r>
      <w:proofErr w:type="spellStart"/>
      <w:r>
        <w:t>and</w:t>
      </w:r>
      <w:proofErr w:type="spellEnd"/>
      <w:r>
        <w:t xml:space="preserve"> </w:t>
      </w:r>
      <w:proofErr w:type="spellStart"/>
      <w:r>
        <w:t>Technology</w:t>
      </w:r>
      <w:proofErr w:type="spellEnd"/>
      <w:r>
        <w:t xml:space="preserve"> </w:t>
      </w:r>
      <w:proofErr w:type="spellStart"/>
      <w:r>
        <w:t>Organisation</w:t>
      </w:r>
      <w:proofErr w:type="spellEnd"/>
      <w:r>
        <w:t xml:space="preserve"> </w:t>
      </w:r>
      <w:proofErr w:type="spellStart"/>
      <w:r>
        <w:t>in</w:t>
      </w:r>
      <w:proofErr w:type="spellEnd"/>
      <w:r>
        <w:t xml:space="preserve"> Lithuania, 8</w:t>
      </w:r>
      <w:r w:rsidRPr="00D81EAB">
        <w:t xml:space="preserve"> </w:t>
      </w:r>
      <w:r>
        <w:t xml:space="preserve">ir </w:t>
      </w:r>
      <w:r w:rsidRPr="00BE2992">
        <w:t>Darbo grupės dėl mokslinių</w:t>
      </w:r>
      <w:r>
        <w:t xml:space="preserve"> tyrimų institutų ataskaita, Vilnius, 2018, 19.</w:t>
      </w:r>
    </w:p>
  </w:footnote>
  <w:footnote w:id="86">
    <w:p w14:paraId="261D6F80"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29" w:history="1">
        <w:r w:rsidRPr="00882895">
          <w:rPr>
            <w:rStyle w:val="Hipersaitas"/>
          </w:rPr>
          <w:t>https://appsso.eurostat.ec.europa.eu/nui/show.do?dataset=rd_e_gerdfund&amp;lang=en</w:t>
        </w:r>
      </w:hyperlink>
      <w:r>
        <w:t>&gt; [Žiūrėta: 2020-08-04]</w:t>
      </w:r>
    </w:p>
  </w:footnote>
  <w:footnote w:id="87">
    <w:p w14:paraId="524B3786"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European</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scoreboard</w:t>
      </w:r>
      <w:proofErr w:type="spellEnd"/>
      <w:r w:rsidRPr="01C07FEA">
        <w:rPr>
          <w:i/>
          <w:iCs/>
        </w:rPr>
        <w:t xml:space="preserve"> 2020 </w:t>
      </w:r>
      <w:r>
        <w:t>duomenų masyvas, 2020, &lt;</w:t>
      </w:r>
      <w:hyperlink r:id="rId30" w:history="1">
        <w:r w:rsidRPr="00882895">
          <w:rPr>
            <w:rStyle w:val="Hipersaitas"/>
          </w:rPr>
          <w:t>https://ec.europa.eu/docsroom/documents/41864</w:t>
        </w:r>
      </w:hyperlink>
      <w:r>
        <w:t>&gt; [Žiūrėta: 2020-08-04]</w:t>
      </w:r>
    </w:p>
  </w:footnote>
  <w:footnote w:id="88">
    <w:p w14:paraId="2A9DE819" w14:textId="238F265D" w:rsidR="00514C96" w:rsidRDefault="00514C96" w:rsidP="000671BD">
      <w:pPr>
        <w:pStyle w:val="Puslapioinaostekstas"/>
      </w:pPr>
      <w:r>
        <w:rPr>
          <w:rStyle w:val="Puslapioinaosnuoroda"/>
        </w:rPr>
        <w:footnoteRef/>
      </w:r>
      <w:r>
        <w:t xml:space="preserve"> </w:t>
      </w:r>
      <w:proofErr w:type="spellStart"/>
      <w:r w:rsidRPr="000671BD">
        <w:t>European</w:t>
      </w:r>
      <w:proofErr w:type="spellEnd"/>
      <w:r w:rsidRPr="000671BD">
        <w:t xml:space="preserve"> </w:t>
      </w:r>
      <w:proofErr w:type="spellStart"/>
      <w:r w:rsidRPr="000671BD">
        <w:t>Commisssion</w:t>
      </w:r>
      <w:proofErr w:type="spellEnd"/>
      <w:r w:rsidRPr="000671BD">
        <w:t xml:space="preserve">, </w:t>
      </w:r>
      <w:r>
        <w:t xml:space="preserve">2019 </w:t>
      </w:r>
      <w:proofErr w:type="spellStart"/>
      <w:r>
        <w:t>Country</w:t>
      </w:r>
      <w:proofErr w:type="spellEnd"/>
      <w:r>
        <w:t xml:space="preserve"> </w:t>
      </w:r>
      <w:proofErr w:type="spellStart"/>
      <w:r>
        <w:t>Report</w:t>
      </w:r>
      <w:proofErr w:type="spellEnd"/>
      <w:r>
        <w:t xml:space="preserve"> Lithuania, 2019, 25 ir </w:t>
      </w:r>
      <w:proofErr w:type="spellStart"/>
      <w:r>
        <w:t>Eurostat</w:t>
      </w:r>
      <w:proofErr w:type="spellEnd"/>
      <w:r>
        <w:t>, &lt;</w:t>
      </w:r>
      <w:hyperlink r:id="rId31" w:history="1">
        <w:r w:rsidRPr="00882895">
          <w:rPr>
            <w:rStyle w:val="Hipersaitas"/>
          </w:rPr>
          <w:t>https://appsso.eurostat.ec.europa.eu/nui/show.do?dataset=rd_p_perslf&amp;lang=en</w:t>
        </w:r>
      </w:hyperlink>
      <w:r>
        <w:t>&gt; [Žiūrėta: 2020-08-04]</w:t>
      </w:r>
    </w:p>
  </w:footnote>
  <w:footnote w:id="89">
    <w:p w14:paraId="06DDC773" w14:textId="77777777" w:rsidR="00514C96" w:rsidRDefault="00514C96" w:rsidP="003B2A85">
      <w:pPr>
        <w:pStyle w:val="Puslapioinaostekstas"/>
      </w:pPr>
      <w:r>
        <w:rPr>
          <w:rStyle w:val="Puslapioinaosnuoroda"/>
        </w:rPr>
        <w:footnoteRef/>
      </w:r>
      <w:r>
        <w:t xml:space="preserve"> JRC, 29.</w:t>
      </w:r>
    </w:p>
  </w:footnote>
  <w:footnote w:id="90">
    <w:p w14:paraId="05393B62"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32" w:history="1">
        <w:r w:rsidRPr="00882895">
          <w:rPr>
            <w:rStyle w:val="Hipersaitas"/>
          </w:rPr>
          <w:t>https://appsso.eurostat.ec.europa.eu/nui/show.do?dataset=rd_e_gerdfund&amp;lang=en</w:t>
        </w:r>
      </w:hyperlink>
      <w:r>
        <w:t>&gt; [Žiūrėta: 2020-08-04]</w:t>
      </w:r>
    </w:p>
  </w:footnote>
  <w:footnote w:id="91">
    <w:p w14:paraId="7E85E226" w14:textId="75CA8333" w:rsidR="001A6F34" w:rsidRDefault="001A6F34" w:rsidP="001A6F34">
      <w:pPr>
        <w:pStyle w:val="Puslapioinaostekstas"/>
      </w:pPr>
      <w:r>
        <w:rPr>
          <w:rStyle w:val="Puslapioinaosnuoroda"/>
        </w:rPr>
        <w:footnoteRef/>
      </w:r>
      <w:r>
        <w:t xml:space="preserve"> Lietuvos Respublikos Vyriausybės 2021 m. rugsėjo 29 d. nutarimas Nr. 789 „Dėl Lietuvos Respublikos teritorijos bendrojo plano patvirtinimo“.</w:t>
      </w:r>
    </w:p>
  </w:footnote>
  <w:footnote w:id="92">
    <w:p w14:paraId="64316208" w14:textId="77777777" w:rsidR="00514C96" w:rsidRDefault="00514C96" w:rsidP="0043237E">
      <w:pPr>
        <w:pStyle w:val="Puslapioinaostekstas"/>
      </w:pPr>
      <w:r>
        <w:rPr>
          <w:rStyle w:val="Puslapioinaosnuoroda"/>
        </w:rPr>
        <w:footnoteRef/>
      </w:r>
      <w:r>
        <w:t xml:space="preserve"> </w:t>
      </w:r>
      <w:r w:rsidRPr="01C07FEA">
        <w:t>Versli Lietuva</w:t>
      </w:r>
      <w:r w:rsidRPr="01C07FEA">
        <w:rPr>
          <w:i/>
          <w:iCs/>
        </w:rPr>
        <w:t xml:space="preserve">, Labai mažos įmonės Lietuvoje: ekonominė reikšmė ir augimas, </w:t>
      </w:r>
      <w:r w:rsidRPr="01C07FEA">
        <w:t>Vilnius, 2018, 4.</w:t>
      </w:r>
    </w:p>
  </w:footnote>
  <w:footnote w:id="93">
    <w:p w14:paraId="558AC803" w14:textId="77777777" w:rsidR="00514C96" w:rsidRDefault="00514C96" w:rsidP="0043237E">
      <w:pPr>
        <w:pStyle w:val="Puslapioinaostekstas"/>
      </w:pPr>
      <w:r>
        <w:rPr>
          <w:rStyle w:val="Puslapioinaosnuoroda"/>
        </w:rPr>
        <w:footnoteRef/>
      </w:r>
      <w:r>
        <w:t xml:space="preserve"> </w:t>
      </w:r>
      <w:proofErr w:type="spellStart"/>
      <w:r w:rsidRPr="00C82121">
        <w:t>Akcigit</w:t>
      </w:r>
      <w:proofErr w:type="spellEnd"/>
      <w:r w:rsidRPr="00C82121">
        <w:t xml:space="preserve">, U., </w:t>
      </w:r>
      <w:proofErr w:type="spellStart"/>
      <w:r w:rsidRPr="00C82121">
        <w:t>Alp</w:t>
      </w:r>
      <w:proofErr w:type="spellEnd"/>
      <w:r w:rsidRPr="00C82121">
        <w:t>, H., &amp;</w:t>
      </w:r>
      <w:r>
        <w:t xml:space="preserve"> </w:t>
      </w:r>
      <w:proofErr w:type="spellStart"/>
      <w:r>
        <w:t>Peters</w:t>
      </w:r>
      <w:proofErr w:type="spellEnd"/>
      <w:r>
        <w:t xml:space="preserve">, M., </w:t>
      </w:r>
      <w:proofErr w:type="spellStart"/>
      <w:r w:rsidRPr="01C07FEA">
        <w:rPr>
          <w:i/>
          <w:iCs/>
        </w:rPr>
        <w:t>Lack</w:t>
      </w:r>
      <w:proofErr w:type="spellEnd"/>
      <w:r w:rsidRPr="01C07FEA">
        <w:rPr>
          <w:i/>
          <w:iCs/>
        </w:rPr>
        <w:t xml:space="preserve"> </w:t>
      </w:r>
      <w:proofErr w:type="spellStart"/>
      <w:r w:rsidRPr="01C07FEA">
        <w:rPr>
          <w:i/>
          <w:iCs/>
        </w:rPr>
        <w:t>of</w:t>
      </w:r>
      <w:proofErr w:type="spellEnd"/>
      <w:r w:rsidRPr="01C07FEA">
        <w:rPr>
          <w:i/>
          <w:iCs/>
        </w:rPr>
        <w:t xml:space="preserve"> </w:t>
      </w:r>
      <w:proofErr w:type="spellStart"/>
      <w:r w:rsidRPr="01C07FEA">
        <w:rPr>
          <w:i/>
          <w:iCs/>
        </w:rPr>
        <w:t>Selection</w:t>
      </w:r>
      <w:proofErr w:type="spellEnd"/>
      <w:r w:rsidRPr="01C07FEA">
        <w:rPr>
          <w:i/>
          <w:iCs/>
        </w:rPr>
        <w:t xml:space="preserve"> </w:t>
      </w:r>
      <w:proofErr w:type="spellStart"/>
      <w:r w:rsidRPr="01C07FEA">
        <w:rPr>
          <w:i/>
          <w:iCs/>
        </w:rPr>
        <w:t>and</w:t>
      </w:r>
      <w:proofErr w:type="spellEnd"/>
      <w:r w:rsidRPr="01C07FEA">
        <w:rPr>
          <w:i/>
          <w:iCs/>
        </w:rPr>
        <w:t xml:space="preserve"> </w:t>
      </w:r>
      <w:proofErr w:type="spellStart"/>
      <w:r w:rsidRPr="01C07FEA">
        <w:rPr>
          <w:i/>
          <w:iCs/>
        </w:rPr>
        <w:t>Limits</w:t>
      </w:r>
      <w:proofErr w:type="spellEnd"/>
      <w:r w:rsidRPr="01C07FEA">
        <w:rPr>
          <w:i/>
          <w:iCs/>
        </w:rPr>
        <w:t xml:space="preserve"> to </w:t>
      </w:r>
      <w:proofErr w:type="spellStart"/>
      <w:r w:rsidRPr="01C07FEA">
        <w:rPr>
          <w:i/>
          <w:iCs/>
        </w:rPr>
        <w:t>Delegation</w:t>
      </w:r>
      <w:proofErr w:type="spellEnd"/>
      <w:r w:rsidRPr="01C07FEA">
        <w:rPr>
          <w:i/>
          <w:iCs/>
        </w:rPr>
        <w:t xml:space="preserve">: </w:t>
      </w:r>
      <w:proofErr w:type="spellStart"/>
      <w:r w:rsidRPr="01C07FEA">
        <w:rPr>
          <w:i/>
          <w:iCs/>
        </w:rPr>
        <w:t>Firm</w:t>
      </w:r>
      <w:proofErr w:type="spellEnd"/>
      <w:r w:rsidRPr="01C07FEA">
        <w:rPr>
          <w:i/>
          <w:iCs/>
        </w:rPr>
        <w:t xml:space="preserve"> Dynamics </w:t>
      </w:r>
      <w:proofErr w:type="spellStart"/>
      <w:r w:rsidRPr="01C07FEA">
        <w:rPr>
          <w:i/>
          <w:iCs/>
        </w:rPr>
        <w:t>in</w:t>
      </w:r>
      <w:proofErr w:type="spellEnd"/>
      <w:r w:rsidRPr="01C07FEA">
        <w:rPr>
          <w:i/>
          <w:iCs/>
        </w:rPr>
        <w:t xml:space="preserve"> </w:t>
      </w:r>
      <w:proofErr w:type="spellStart"/>
      <w:r w:rsidRPr="01C07FEA">
        <w:rPr>
          <w:i/>
          <w:iCs/>
        </w:rPr>
        <w:t>Developing</w:t>
      </w:r>
      <w:proofErr w:type="spellEnd"/>
      <w:r w:rsidRPr="01C07FEA">
        <w:rPr>
          <w:i/>
          <w:iCs/>
        </w:rPr>
        <w:t xml:space="preserve"> </w:t>
      </w:r>
      <w:proofErr w:type="spellStart"/>
      <w:r w:rsidRPr="01C07FEA">
        <w:rPr>
          <w:i/>
          <w:iCs/>
        </w:rPr>
        <w:t>Countries</w:t>
      </w:r>
      <w:proofErr w:type="spellEnd"/>
      <w:r w:rsidRPr="00C82121">
        <w:t xml:space="preserve">. NBER </w:t>
      </w:r>
      <w:proofErr w:type="spellStart"/>
      <w:r w:rsidRPr="00C82121">
        <w:t>Working</w:t>
      </w:r>
      <w:proofErr w:type="spellEnd"/>
      <w:r w:rsidRPr="00C82121">
        <w:t xml:space="preserve"> </w:t>
      </w:r>
      <w:proofErr w:type="spellStart"/>
      <w:r w:rsidRPr="00C82121">
        <w:t>Paper</w:t>
      </w:r>
      <w:proofErr w:type="spellEnd"/>
      <w:r w:rsidRPr="00C82121">
        <w:t xml:space="preserve">, </w:t>
      </w:r>
      <w:r>
        <w:t xml:space="preserve">2016, </w:t>
      </w:r>
      <w:r w:rsidRPr="00C82121">
        <w:t>1–38</w:t>
      </w:r>
      <w:r>
        <w:t>.</w:t>
      </w:r>
    </w:p>
  </w:footnote>
  <w:footnote w:id="94">
    <w:p w14:paraId="482805A3" w14:textId="77777777" w:rsidR="00514C96" w:rsidRDefault="00514C96" w:rsidP="0043237E">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European</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scoreboard</w:t>
      </w:r>
      <w:proofErr w:type="spellEnd"/>
      <w:r w:rsidRPr="01C07FEA">
        <w:rPr>
          <w:i/>
          <w:iCs/>
        </w:rPr>
        <w:t xml:space="preserve"> 2020 </w:t>
      </w:r>
      <w:r>
        <w:t>duomenų masyvas, 2020, &lt;</w:t>
      </w:r>
      <w:hyperlink r:id="rId33" w:history="1">
        <w:r w:rsidRPr="00882895">
          <w:rPr>
            <w:rStyle w:val="Hipersaitas"/>
          </w:rPr>
          <w:t>https://ec.europa.eu/docsroom/documents/41864</w:t>
        </w:r>
      </w:hyperlink>
      <w:r>
        <w:t>&gt; [Žiūrėta: 2020-10-08]</w:t>
      </w:r>
    </w:p>
  </w:footnote>
  <w:footnote w:id="95">
    <w:p w14:paraId="1639EAE2" w14:textId="54E28E74" w:rsidR="00514C96" w:rsidRDefault="00514C96">
      <w:pPr>
        <w:pStyle w:val="Puslapioinaostekstas"/>
      </w:pPr>
      <w:r>
        <w:rPr>
          <w:rStyle w:val="Puslapioinaosnuoroda"/>
        </w:rPr>
        <w:footnoteRef/>
      </w:r>
      <w:r>
        <w:t xml:space="preserve"> 2021-2027 m. ES struktūrinių fondų portalas, &lt;</w:t>
      </w:r>
      <w:hyperlink r:id="rId34" w:history="1">
        <w:r w:rsidRPr="0085294B">
          <w:rPr>
            <w:rStyle w:val="Hipersaitas"/>
          </w:rPr>
          <w:t>https://www.esinvesticijos.lt/lt//finansavimas/patvirtintos_priemones/mtep-rezultatu-komercinimo-ir-tarptautiskumo-skatinimas</w:t>
        </w:r>
      </w:hyperlink>
      <w:r>
        <w:t>&gt; [Žiūrėta: 2021-05-13]</w:t>
      </w:r>
    </w:p>
  </w:footnote>
  <w:footnote w:id="96">
    <w:p w14:paraId="61647B44" w14:textId="77777777" w:rsidR="00514C96" w:rsidRDefault="00514C96" w:rsidP="00776FA5">
      <w:pPr>
        <w:pStyle w:val="Puslapioinaostekstas"/>
      </w:pPr>
      <w:r>
        <w:rPr>
          <w:rStyle w:val="Puslapioinaosnuoroda"/>
        </w:rPr>
        <w:footnoteRef/>
      </w:r>
      <w:r>
        <w:t xml:space="preserve"> </w:t>
      </w:r>
      <w:proofErr w:type="spellStart"/>
      <w:r>
        <w:t>Visionary</w:t>
      </w:r>
      <w:proofErr w:type="spellEnd"/>
      <w:r>
        <w:t xml:space="preserve"> </w:t>
      </w:r>
      <w:r w:rsidRPr="00B6038F">
        <w:t xml:space="preserve">Analytics ir </w:t>
      </w:r>
      <w:r>
        <w:t>ŠMSM, 32</w:t>
      </w:r>
      <w:r w:rsidRPr="00713E44">
        <w:t>, remiantis Darbo grupės dėl mokslinių tyrimų institutų ataskaita</w:t>
      </w:r>
      <w:r>
        <w:t>.</w:t>
      </w:r>
    </w:p>
  </w:footnote>
  <w:footnote w:id="97">
    <w:p w14:paraId="2DECB256" w14:textId="77777777" w:rsidR="00514C96" w:rsidRPr="00571D22" w:rsidRDefault="00514C96" w:rsidP="0043237E">
      <w:pPr>
        <w:pStyle w:val="Puslapioinaostekstas"/>
      </w:pPr>
      <w:r>
        <w:rPr>
          <w:rStyle w:val="Puslapioinaosnuoroda"/>
        </w:rPr>
        <w:footnoteRef/>
      </w:r>
      <w:r>
        <w:t xml:space="preserve"> Vyriausybės strateginės analizės centras (STRATA) ir Lietuvos Respublikos ekonomikos ir inovacijų ministerija, </w:t>
      </w:r>
      <w:r w:rsidRPr="01C07FEA">
        <w:rPr>
          <w:i/>
          <w:iCs/>
        </w:rPr>
        <w:t>Sumani specializacija Lietuvoje: nuo 2014-2020 m. prie 2021-2027 m.</w:t>
      </w:r>
      <w:r>
        <w:t>, Vilnius, 2019, 9.</w:t>
      </w:r>
    </w:p>
  </w:footnote>
  <w:footnote w:id="98">
    <w:p w14:paraId="6C825193" w14:textId="77777777" w:rsidR="00514C96" w:rsidRDefault="00514C96" w:rsidP="0043237E">
      <w:pPr>
        <w:pStyle w:val="Puslapioinaostekstas"/>
      </w:pPr>
      <w:r>
        <w:rPr>
          <w:rStyle w:val="Puslapioinaosnuoroda"/>
        </w:rPr>
        <w:footnoteRef/>
      </w:r>
      <w:r>
        <w:t xml:space="preserve"> </w:t>
      </w:r>
      <w:proofErr w:type="spellStart"/>
      <w:r>
        <w:t>Eurostat</w:t>
      </w:r>
      <w:proofErr w:type="spellEnd"/>
      <w:r>
        <w:t>, &lt;</w:t>
      </w:r>
      <w:hyperlink r:id="rId35" w:history="1">
        <w:r w:rsidRPr="008217A0">
          <w:rPr>
            <w:rStyle w:val="Hipersaitas"/>
          </w:rPr>
          <w:t>http://appsso.eurostat.ec.europa.eu/nui/show.do?dataset=htec_emp_nat2&amp;lang=en</w:t>
        </w:r>
      </w:hyperlink>
      <w:r>
        <w:t>&gt; [Žiūrėta: 20220-10-08]</w:t>
      </w:r>
    </w:p>
  </w:footnote>
  <w:footnote w:id="99">
    <w:p w14:paraId="18E28784" w14:textId="77777777" w:rsidR="00514C96" w:rsidRDefault="00514C96" w:rsidP="0043237E">
      <w:pPr>
        <w:pStyle w:val="Puslapioinaostekstas"/>
      </w:pPr>
      <w:r>
        <w:rPr>
          <w:rStyle w:val="Puslapioinaosnuoroda"/>
        </w:rPr>
        <w:footnoteRef/>
      </w:r>
      <w:r>
        <w:t xml:space="preserve"> Lietuvos statistikos departamentas, </w:t>
      </w:r>
      <w:r w:rsidRPr="01C07FEA">
        <w:rPr>
          <w:i/>
          <w:iCs/>
        </w:rPr>
        <w:t>Moksliniai tyrimai ir eksperimentinė plėtra Lietuvoje 2016</w:t>
      </w:r>
      <w:r>
        <w:t xml:space="preserve">, Vilnius, 2017, 55 ir Lietuvos statistikos departamentas, </w:t>
      </w:r>
      <w:r w:rsidRPr="01C07FEA">
        <w:rPr>
          <w:i/>
          <w:iCs/>
        </w:rPr>
        <w:t>Moksliniai tyrimai ir eksperimentinė plėtra Lietuvoje 2017</w:t>
      </w:r>
      <w:r>
        <w:t>, Vilnius, 2018, 51-52.</w:t>
      </w:r>
    </w:p>
  </w:footnote>
  <w:footnote w:id="100">
    <w:p w14:paraId="66D9D9E9" w14:textId="77777777" w:rsidR="00514C96" w:rsidRDefault="00514C96">
      <w:pPr>
        <w:pStyle w:val="Puslapioinaostekstas"/>
      </w:pPr>
      <w:r>
        <w:rPr>
          <w:rStyle w:val="Puslapioinaosnuoroda"/>
        </w:rPr>
        <w:footnoteRef/>
      </w:r>
      <w:r>
        <w:t xml:space="preserve"> JRC, 28.</w:t>
      </w:r>
    </w:p>
  </w:footnote>
  <w:footnote w:id="101">
    <w:p w14:paraId="4E89A34C"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w:t>
      </w:r>
      <w:r w:rsidRPr="00B6038F">
        <w:t xml:space="preserve">Analytics ir </w:t>
      </w:r>
      <w:r>
        <w:t>ŠMSM, 26.</w:t>
      </w:r>
    </w:p>
  </w:footnote>
  <w:footnote w:id="102">
    <w:p w14:paraId="2134E105" w14:textId="549E2EF4" w:rsidR="00514C96" w:rsidRDefault="00514C96">
      <w:pPr>
        <w:pStyle w:val="Puslapioinaostekstas"/>
      </w:pPr>
      <w:r>
        <w:rPr>
          <w:rStyle w:val="Puslapioinaosnuoroda"/>
        </w:rPr>
        <w:footnoteRef/>
      </w:r>
      <w:r>
        <w:t xml:space="preserve"> </w:t>
      </w:r>
      <w:proofErr w:type="spellStart"/>
      <w:r>
        <w:t>Council</w:t>
      </w:r>
      <w:proofErr w:type="spellEnd"/>
      <w:r>
        <w:t xml:space="preserve"> </w:t>
      </w:r>
      <w:proofErr w:type="spellStart"/>
      <w:r>
        <w:t>of</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rsidRPr="01C07FEA">
        <w:rPr>
          <w:i/>
          <w:iCs/>
        </w:rPr>
        <w:t>Draft</w:t>
      </w:r>
      <w:proofErr w:type="spellEnd"/>
      <w:r w:rsidRPr="01C07FEA">
        <w:rPr>
          <w:i/>
          <w:iCs/>
        </w:rPr>
        <w:t xml:space="preserve"> </w:t>
      </w:r>
      <w:proofErr w:type="spellStart"/>
      <w:r w:rsidRPr="01C07FEA">
        <w:rPr>
          <w:i/>
          <w:iCs/>
        </w:rPr>
        <w:t>Council</w:t>
      </w:r>
      <w:proofErr w:type="spellEnd"/>
      <w:r w:rsidRPr="01C07FEA">
        <w:rPr>
          <w:i/>
          <w:iCs/>
        </w:rPr>
        <w:t xml:space="preserve"> </w:t>
      </w:r>
      <w:proofErr w:type="spellStart"/>
      <w:r w:rsidRPr="01C07FEA">
        <w:rPr>
          <w:i/>
          <w:iCs/>
        </w:rPr>
        <w:t>conclusions</w:t>
      </w:r>
      <w:proofErr w:type="spellEnd"/>
      <w:r w:rsidRPr="01C07FEA">
        <w:rPr>
          <w:i/>
          <w:iCs/>
        </w:rPr>
        <w:t xml:space="preserve"> </w:t>
      </w:r>
      <w:proofErr w:type="spellStart"/>
      <w:r w:rsidRPr="01C07FEA">
        <w:rPr>
          <w:i/>
          <w:iCs/>
        </w:rPr>
        <w:t>on</w:t>
      </w:r>
      <w:proofErr w:type="spellEnd"/>
      <w:r w:rsidRPr="01C07FEA">
        <w:rPr>
          <w:i/>
          <w:iCs/>
        </w:rPr>
        <w:t xml:space="preserve"> </w:t>
      </w:r>
      <w:proofErr w:type="spellStart"/>
      <w:r w:rsidRPr="01C07FEA">
        <w:rPr>
          <w:i/>
          <w:iCs/>
        </w:rPr>
        <w:t>the</w:t>
      </w:r>
      <w:proofErr w:type="spellEnd"/>
      <w:r w:rsidRPr="01C07FEA">
        <w:rPr>
          <w:i/>
          <w:iCs/>
        </w:rPr>
        <w:t xml:space="preserve"> </w:t>
      </w:r>
      <w:proofErr w:type="spellStart"/>
      <w:r w:rsidRPr="01C07FEA">
        <w:rPr>
          <w:i/>
          <w:iCs/>
        </w:rPr>
        <w:t>Future</w:t>
      </w:r>
      <w:proofErr w:type="spellEnd"/>
      <w:r w:rsidRPr="01C07FEA">
        <w:rPr>
          <w:i/>
          <w:iCs/>
        </w:rPr>
        <w:t xml:space="preserve"> </w:t>
      </w:r>
      <w:proofErr w:type="spellStart"/>
      <w:r w:rsidRPr="01C07FEA">
        <w:rPr>
          <w:i/>
          <w:iCs/>
        </w:rPr>
        <w:t>of</w:t>
      </w:r>
      <w:proofErr w:type="spellEnd"/>
      <w:r w:rsidRPr="01C07FEA">
        <w:rPr>
          <w:i/>
          <w:iCs/>
        </w:rPr>
        <w:t xml:space="preserve"> </w:t>
      </w:r>
      <w:proofErr w:type="spellStart"/>
      <w:r w:rsidRPr="01C07FEA">
        <w:rPr>
          <w:i/>
          <w:iCs/>
        </w:rPr>
        <w:t>the</w:t>
      </w:r>
      <w:proofErr w:type="spellEnd"/>
      <w:r w:rsidRPr="01C07FEA">
        <w:rPr>
          <w:i/>
          <w:iCs/>
        </w:rPr>
        <w:t xml:space="preserve"> </w:t>
      </w:r>
      <w:proofErr w:type="spellStart"/>
      <w:r w:rsidRPr="01C07FEA">
        <w:rPr>
          <w:i/>
          <w:iCs/>
        </w:rPr>
        <w:t>European</w:t>
      </w:r>
      <w:proofErr w:type="spellEnd"/>
      <w:r w:rsidRPr="01C07FEA">
        <w:rPr>
          <w:i/>
          <w:iCs/>
        </w:rPr>
        <w:t xml:space="preserve"> </w:t>
      </w:r>
      <w:proofErr w:type="spellStart"/>
      <w:r w:rsidRPr="01C07FEA">
        <w:rPr>
          <w:i/>
          <w:iCs/>
        </w:rPr>
        <w:t>Research</w:t>
      </w:r>
      <w:proofErr w:type="spellEnd"/>
      <w:r w:rsidRPr="01C07FEA">
        <w:rPr>
          <w:i/>
          <w:iCs/>
        </w:rPr>
        <w:t xml:space="preserve"> </w:t>
      </w:r>
      <w:proofErr w:type="spellStart"/>
      <w:r w:rsidRPr="01C07FEA">
        <w:rPr>
          <w:i/>
          <w:iCs/>
        </w:rPr>
        <w:t>Area</w:t>
      </w:r>
      <w:proofErr w:type="spellEnd"/>
      <w:r>
        <w:t xml:space="preserve">, </w:t>
      </w:r>
      <w:proofErr w:type="spellStart"/>
      <w:r>
        <w:t>Brussels</w:t>
      </w:r>
      <w:proofErr w:type="spellEnd"/>
      <w:r>
        <w:t xml:space="preserve">, 12 </w:t>
      </w:r>
      <w:proofErr w:type="spellStart"/>
      <w:r>
        <w:t>October</w:t>
      </w:r>
      <w:proofErr w:type="spellEnd"/>
      <w:r>
        <w:t xml:space="preserve"> 2020, &lt;</w:t>
      </w:r>
      <w:r w:rsidRPr="003A2011">
        <w:t>https://data.consilium.europa.eu/doc/document/ST-11729-2020-INIT/en/pdf</w:t>
      </w:r>
      <w:r>
        <w:t>&gt; [Žiūrėta: 2020-10-15]</w:t>
      </w:r>
    </w:p>
  </w:footnote>
  <w:footnote w:id="103">
    <w:p w14:paraId="3F589DAB" w14:textId="61A34316" w:rsidR="00514C96" w:rsidRDefault="00514C96" w:rsidP="00D3682F">
      <w:pPr>
        <w:pStyle w:val="Puslapioinaostekstas"/>
      </w:pPr>
      <w:r>
        <w:rPr>
          <w:rStyle w:val="Puslapioinaosnuoroda"/>
        </w:rPr>
        <w:footnoteRef/>
      </w:r>
      <w:r>
        <w:t xml:space="preserve"> LRPK, 2 ir Lietuvos Respublikos mokslo ir studijų įstatymo 3 str., taip pat Lietuvos Respublikos švietimo ir mokslo ministro 2014 m. gruodžio 23 d. įsakymas Nr. V-1265 „R</w:t>
      </w:r>
      <w:r w:rsidRPr="00D3682F">
        <w:t xml:space="preserve">ekomendacijos lygioms vyrų ir moterų galimybėms </w:t>
      </w:r>
      <w:proofErr w:type="spellStart"/>
      <w:r w:rsidRPr="00D3682F">
        <w:t>lietuvos</w:t>
      </w:r>
      <w:proofErr w:type="spellEnd"/>
      <w:r w:rsidRPr="00D3682F">
        <w:t xml:space="preserve"> mokslo ir studijų institucijose užtikrinti</w:t>
      </w:r>
      <w:r>
        <w:t>“.</w:t>
      </w:r>
    </w:p>
  </w:footnote>
  <w:footnote w:id="104">
    <w:p w14:paraId="114A8AC8" w14:textId="77777777" w:rsidR="00514C96" w:rsidRDefault="00514C96" w:rsidP="00B2067B">
      <w:pPr>
        <w:pStyle w:val="Puslapioinaostekstas"/>
      </w:pPr>
      <w:r>
        <w:rPr>
          <w:rStyle w:val="Puslapioinaosnuoroda"/>
        </w:rPr>
        <w:footnoteRef/>
      </w:r>
      <w:r>
        <w:t xml:space="preserve"> </w:t>
      </w:r>
      <w:proofErr w:type="spellStart"/>
      <w:r w:rsidRPr="005C5571">
        <w:t>Organisation</w:t>
      </w:r>
      <w:proofErr w:type="spellEnd"/>
      <w:r w:rsidRPr="005C5571">
        <w:t xml:space="preserve"> </w:t>
      </w:r>
      <w:proofErr w:type="spellStart"/>
      <w:r w:rsidRPr="005C5571">
        <w:t>for</w:t>
      </w:r>
      <w:proofErr w:type="spellEnd"/>
      <w:r w:rsidRPr="005C5571">
        <w:t xml:space="preserve"> </w:t>
      </w:r>
      <w:proofErr w:type="spellStart"/>
      <w:r w:rsidRPr="005C5571">
        <w:t>Economic</w:t>
      </w:r>
      <w:proofErr w:type="spellEnd"/>
      <w:r w:rsidRPr="005C5571">
        <w:t xml:space="preserve"> </w:t>
      </w:r>
      <w:proofErr w:type="spellStart"/>
      <w:r w:rsidRPr="005C5571">
        <w:t>Co-operation</w:t>
      </w:r>
      <w:proofErr w:type="spellEnd"/>
      <w:r w:rsidRPr="005C5571">
        <w:t xml:space="preserve"> </w:t>
      </w:r>
      <w:proofErr w:type="spellStart"/>
      <w:r w:rsidRPr="005C5571">
        <w:t>and</w:t>
      </w:r>
      <w:proofErr w:type="spellEnd"/>
      <w:r w:rsidRPr="005C5571">
        <w:t xml:space="preserve"> </w:t>
      </w:r>
      <w:proofErr w:type="spellStart"/>
      <w:r w:rsidRPr="005C5571">
        <w:t>Development</w:t>
      </w:r>
      <w:proofErr w:type="spellEnd"/>
      <w:r w:rsidRPr="005C5571">
        <w:t xml:space="preserve"> </w:t>
      </w:r>
      <w:r>
        <w:t xml:space="preserve">(OECD), </w:t>
      </w:r>
      <w:proofErr w:type="spellStart"/>
      <w:r w:rsidRPr="01C07FEA">
        <w:rPr>
          <w:i/>
          <w:iCs/>
        </w:rPr>
        <w:t>The</w:t>
      </w:r>
      <w:proofErr w:type="spellEnd"/>
      <w:r w:rsidRPr="01C07FEA">
        <w:rPr>
          <w:i/>
          <w:iCs/>
        </w:rPr>
        <w:t xml:space="preserve"> </w:t>
      </w:r>
      <w:proofErr w:type="spellStart"/>
      <w:r w:rsidRPr="01C07FEA">
        <w:rPr>
          <w:i/>
          <w:iCs/>
        </w:rPr>
        <w:t>effects</w:t>
      </w:r>
      <w:proofErr w:type="spellEnd"/>
      <w:r w:rsidRPr="01C07FEA">
        <w:rPr>
          <w:i/>
          <w:iCs/>
        </w:rPr>
        <w:t xml:space="preserve"> </w:t>
      </w:r>
      <w:proofErr w:type="spellStart"/>
      <w:r w:rsidRPr="01C07FEA">
        <w:rPr>
          <w:i/>
          <w:iCs/>
        </w:rPr>
        <w:t>of</w:t>
      </w:r>
      <w:proofErr w:type="spellEnd"/>
      <w:r w:rsidRPr="01C07FEA">
        <w:rPr>
          <w:i/>
          <w:iCs/>
        </w:rPr>
        <w:t xml:space="preserve"> R&amp;D </w:t>
      </w:r>
      <w:proofErr w:type="spellStart"/>
      <w:r w:rsidRPr="01C07FEA">
        <w:rPr>
          <w:i/>
          <w:iCs/>
        </w:rPr>
        <w:t>tax</w:t>
      </w:r>
      <w:proofErr w:type="spellEnd"/>
      <w:r w:rsidRPr="01C07FEA">
        <w:rPr>
          <w:i/>
          <w:iCs/>
        </w:rPr>
        <w:t xml:space="preserve"> </w:t>
      </w:r>
      <w:proofErr w:type="spellStart"/>
      <w:r w:rsidRPr="01C07FEA">
        <w:rPr>
          <w:i/>
          <w:iCs/>
        </w:rPr>
        <w:t>incentives</w:t>
      </w:r>
      <w:proofErr w:type="spellEnd"/>
      <w:r w:rsidRPr="01C07FEA">
        <w:rPr>
          <w:i/>
          <w:iCs/>
        </w:rPr>
        <w:t xml:space="preserve"> </w:t>
      </w:r>
      <w:proofErr w:type="spellStart"/>
      <w:r w:rsidRPr="01C07FEA">
        <w:rPr>
          <w:i/>
          <w:iCs/>
        </w:rPr>
        <w:t>and</w:t>
      </w:r>
      <w:proofErr w:type="spellEnd"/>
      <w:r w:rsidRPr="01C07FEA">
        <w:rPr>
          <w:i/>
          <w:iCs/>
        </w:rPr>
        <w:t xml:space="preserve"> </w:t>
      </w:r>
      <w:proofErr w:type="spellStart"/>
      <w:r w:rsidRPr="01C07FEA">
        <w:rPr>
          <w:i/>
          <w:iCs/>
        </w:rPr>
        <w:t>their</w:t>
      </w:r>
      <w:proofErr w:type="spellEnd"/>
      <w:r w:rsidRPr="01C07FEA">
        <w:rPr>
          <w:i/>
          <w:iCs/>
        </w:rPr>
        <w:t xml:space="preserve"> role </w:t>
      </w:r>
      <w:proofErr w:type="spellStart"/>
      <w:r w:rsidRPr="01C07FEA">
        <w:rPr>
          <w:i/>
          <w:iCs/>
        </w:rPr>
        <w:t>in</w:t>
      </w:r>
      <w:proofErr w:type="spellEnd"/>
      <w:r w:rsidRPr="01C07FEA">
        <w:rPr>
          <w:i/>
          <w:iCs/>
        </w:rPr>
        <w:t xml:space="preserve"> </w:t>
      </w:r>
      <w:proofErr w:type="spellStart"/>
      <w:r w:rsidRPr="01C07FEA">
        <w:rPr>
          <w:i/>
          <w:iCs/>
        </w:rPr>
        <w:t>the</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policy</w:t>
      </w:r>
      <w:proofErr w:type="spellEnd"/>
      <w:r w:rsidRPr="01C07FEA">
        <w:rPr>
          <w:i/>
          <w:iCs/>
        </w:rPr>
        <w:t xml:space="preserve"> mix</w:t>
      </w:r>
      <w:r>
        <w:t>, 2019, 11.</w:t>
      </w:r>
    </w:p>
  </w:footnote>
  <w:footnote w:id="105">
    <w:p w14:paraId="1479C348" w14:textId="66BBF995" w:rsidR="00514C96" w:rsidRDefault="00514C96">
      <w:pPr>
        <w:pStyle w:val="Puslapioinaostekstas"/>
      </w:pPr>
      <w:r>
        <w:rPr>
          <w:rStyle w:val="Puslapioinaosnuoroda"/>
        </w:rPr>
        <w:footnoteRef/>
      </w:r>
      <w:r>
        <w:t xml:space="preserve"> Studijų kokybės vertinimo centro duomenys.</w:t>
      </w:r>
    </w:p>
  </w:footnote>
  <w:footnote w:id="106">
    <w:p w14:paraId="47EFA29A" w14:textId="7CBB9A9F" w:rsidR="00514C96" w:rsidRDefault="00514C96">
      <w:pPr>
        <w:pStyle w:val="Puslapioinaostekstas"/>
      </w:pPr>
      <w:r>
        <w:rPr>
          <w:rStyle w:val="Puslapioinaosnuoroda"/>
        </w:rPr>
        <w:footnoteRef/>
      </w:r>
      <w:r>
        <w:t xml:space="preserve"> </w:t>
      </w:r>
      <w:r w:rsidRPr="01C07FEA">
        <w:rPr>
          <w:i/>
          <w:iCs/>
        </w:rPr>
        <w:t xml:space="preserve">QS </w:t>
      </w:r>
      <w:proofErr w:type="spellStart"/>
      <w:r w:rsidRPr="01C07FEA">
        <w:rPr>
          <w:i/>
          <w:iCs/>
        </w:rPr>
        <w:t>World</w:t>
      </w:r>
      <w:proofErr w:type="spellEnd"/>
      <w:r w:rsidRPr="01C07FEA">
        <w:rPr>
          <w:i/>
          <w:iCs/>
        </w:rPr>
        <w:t xml:space="preserve"> </w:t>
      </w:r>
      <w:proofErr w:type="spellStart"/>
      <w:r w:rsidRPr="01C07FEA">
        <w:rPr>
          <w:i/>
          <w:iCs/>
        </w:rPr>
        <w:t>university</w:t>
      </w:r>
      <w:proofErr w:type="spellEnd"/>
      <w:r w:rsidRPr="01C07FEA">
        <w:rPr>
          <w:i/>
          <w:iCs/>
        </w:rPr>
        <w:t xml:space="preserve"> </w:t>
      </w:r>
      <w:proofErr w:type="spellStart"/>
      <w:r w:rsidRPr="01C07FEA">
        <w:rPr>
          <w:i/>
          <w:iCs/>
        </w:rPr>
        <w:t>ranking</w:t>
      </w:r>
      <w:proofErr w:type="spellEnd"/>
      <w:r>
        <w:t xml:space="preserve"> universitetų reitingas, &lt;</w:t>
      </w:r>
      <w:hyperlink r:id="rId36" w:history="1">
        <w:r w:rsidRPr="004D610C">
          <w:rPr>
            <w:rStyle w:val="Hipersaitas"/>
          </w:rPr>
          <w:t>https://www.topuniversities.com/university-rankings/world-university-rankings/2021</w:t>
        </w:r>
      </w:hyperlink>
      <w:r>
        <w:t>&gt; [Žiūrė</w:t>
      </w:r>
      <w:r w:rsidR="002803D7">
        <w:t>t</w:t>
      </w:r>
      <w:r>
        <w:t>a: 2021-03-21]</w:t>
      </w:r>
    </w:p>
  </w:footnote>
  <w:footnote w:id="107">
    <w:p w14:paraId="73BACAE8"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37" w:history="1">
        <w:r w:rsidRPr="00882895">
          <w:rPr>
            <w:rStyle w:val="Hipersaitas"/>
          </w:rPr>
          <w:t>https://appsso.eurostat.ec.europa.eu/nui/show.do?dataset=rd_e_gerdfund&amp;lang=en</w:t>
        </w:r>
      </w:hyperlink>
      <w:r>
        <w:t>&gt; [Žiūrėta: 2020-08-04]</w:t>
      </w:r>
    </w:p>
  </w:footnote>
  <w:footnote w:id="108">
    <w:p w14:paraId="60072595" w14:textId="77777777" w:rsidR="00514C96" w:rsidRDefault="00514C96">
      <w:pPr>
        <w:pStyle w:val="Puslapioinaostekstas"/>
      </w:pPr>
      <w:r>
        <w:rPr>
          <w:rStyle w:val="Puslapioinaosnuoroda"/>
        </w:rPr>
        <w:footnoteRef/>
      </w:r>
      <w:r>
        <w:t xml:space="preserve"> Eurointegracijos projektai, </w:t>
      </w:r>
      <w:r w:rsidRPr="01C07FEA">
        <w:rPr>
          <w:i/>
          <w:iCs/>
        </w:rPr>
        <w:t>Mokslo ir studijų įstaigų vadovų nuomonės tyrimas</w:t>
      </w:r>
      <w:r>
        <w:t>, 18.</w:t>
      </w:r>
    </w:p>
  </w:footnote>
  <w:footnote w:id="109">
    <w:p w14:paraId="0D39B659" w14:textId="77777777" w:rsidR="00514C96" w:rsidRDefault="00514C96">
      <w:pPr>
        <w:pStyle w:val="Puslapioinaostekstas"/>
      </w:pPr>
      <w:r>
        <w:rPr>
          <w:rStyle w:val="Puslapioinaosnuoroda"/>
        </w:rPr>
        <w:footnoteRef/>
      </w:r>
      <w:r>
        <w:t xml:space="preserve"> Lietuvos mokslo taryba, &lt;</w:t>
      </w:r>
      <w:hyperlink r:id="rId38" w:history="1">
        <w:r w:rsidRPr="00882895">
          <w:rPr>
            <w:rStyle w:val="Hipersaitas"/>
          </w:rPr>
          <w:t>https://www.lmt.lt/lt/mokslo-politika/moksliniu-tyrimu-finansavimo-instrumentai/nacionalines-mokslo-programos/260</w:t>
        </w:r>
      </w:hyperlink>
      <w:r>
        <w:t>&gt; [Žiūrėta: 2020-08-04]</w:t>
      </w:r>
    </w:p>
  </w:footnote>
  <w:footnote w:id="110">
    <w:p w14:paraId="7A15396A" w14:textId="77777777" w:rsidR="00514C96" w:rsidRDefault="00514C96">
      <w:pPr>
        <w:pStyle w:val="Puslapioinaostekstas"/>
      </w:pPr>
      <w:r>
        <w:rPr>
          <w:rStyle w:val="Puslapioinaosnuoroda"/>
        </w:rPr>
        <w:footnoteRef/>
      </w:r>
      <w:r>
        <w:t xml:space="preserve"> </w:t>
      </w:r>
      <w:r w:rsidRPr="00BE2992">
        <w:t>Darbo grupės dėl mokslinių tyrimų institutų ataskaita</w:t>
      </w:r>
      <w:r>
        <w:t>, 13.</w:t>
      </w:r>
    </w:p>
  </w:footnote>
  <w:footnote w:id="111">
    <w:p w14:paraId="1B48837B"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w:t>
      </w:r>
      <w:r w:rsidRPr="00B6038F">
        <w:t xml:space="preserve">Analytics ir </w:t>
      </w:r>
      <w:r>
        <w:t>ŠMSM, 26.</w:t>
      </w:r>
    </w:p>
  </w:footnote>
  <w:footnote w:id="112">
    <w:p w14:paraId="1EAA2877" w14:textId="1AE5EA5A" w:rsidR="00514C96" w:rsidRDefault="00514C96">
      <w:pPr>
        <w:pStyle w:val="Puslapioinaostekstas"/>
      </w:pPr>
      <w:r>
        <w:rPr>
          <w:rStyle w:val="Puslapioinaosnuoroda"/>
        </w:rPr>
        <w:footnoteRef/>
      </w:r>
      <w:r>
        <w:t xml:space="preserve"> LRPK, 2 ir Lietuvos Respublikos mokslo ir studijų įstatymo 3 str..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C5A"/>
    <w:multiLevelType w:val="hybridMultilevel"/>
    <w:tmpl w:val="AD088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10263"/>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372C1C"/>
    <w:multiLevelType w:val="hybridMultilevel"/>
    <w:tmpl w:val="0A8CF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77C71"/>
    <w:multiLevelType w:val="multilevel"/>
    <w:tmpl w:val="3E022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7B19EC"/>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3E38D9"/>
    <w:multiLevelType w:val="hybridMultilevel"/>
    <w:tmpl w:val="B9325F00"/>
    <w:lvl w:ilvl="0" w:tplc="0427000F">
      <w:start w:val="10"/>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6B3AA9"/>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C6D3D"/>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50C2D"/>
    <w:multiLevelType w:val="multilevel"/>
    <w:tmpl w:val="3E022C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05297A"/>
    <w:multiLevelType w:val="hybridMultilevel"/>
    <w:tmpl w:val="CACECDE0"/>
    <w:lvl w:ilvl="0" w:tplc="A5DC7842">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1214BD"/>
    <w:multiLevelType w:val="hybridMultilevel"/>
    <w:tmpl w:val="20221D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5D4357"/>
    <w:multiLevelType w:val="hybridMultilevel"/>
    <w:tmpl w:val="4ECEA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70428"/>
    <w:multiLevelType w:val="hybridMultilevel"/>
    <w:tmpl w:val="BF7A6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D74245"/>
    <w:multiLevelType w:val="multilevel"/>
    <w:tmpl w:val="3E022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A1977"/>
    <w:multiLevelType w:val="hybridMultilevel"/>
    <w:tmpl w:val="603EB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052E6"/>
    <w:multiLevelType w:val="hybridMultilevel"/>
    <w:tmpl w:val="5C28FE16"/>
    <w:lvl w:ilvl="0" w:tplc="0427000F">
      <w:start w:val="10"/>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6C64AE"/>
    <w:multiLevelType w:val="hybridMultilevel"/>
    <w:tmpl w:val="22847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E1D08"/>
    <w:multiLevelType w:val="hybridMultilevel"/>
    <w:tmpl w:val="413C0A7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0460A9C"/>
    <w:multiLevelType w:val="hybridMultilevel"/>
    <w:tmpl w:val="F40897E8"/>
    <w:lvl w:ilvl="0" w:tplc="A5DC7842">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745332"/>
    <w:multiLevelType w:val="hybridMultilevel"/>
    <w:tmpl w:val="056A194E"/>
    <w:lvl w:ilvl="0" w:tplc="CB5409C4">
      <w:start w:val="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CE7363"/>
    <w:multiLevelType w:val="multilevel"/>
    <w:tmpl w:val="803AB14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83F5E03"/>
    <w:multiLevelType w:val="hybridMultilevel"/>
    <w:tmpl w:val="0B02AC9E"/>
    <w:lvl w:ilvl="0" w:tplc="BEB24D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5C55EC"/>
    <w:multiLevelType w:val="multilevel"/>
    <w:tmpl w:val="3E022C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F8354D"/>
    <w:multiLevelType w:val="hybridMultilevel"/>
    <w:tmpl w:val="AEACAB1A"/>
    <w:lvl w:ilvl="0" w:tplc="A928F5A0">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E95ED8"/>
    <w:multiLevelType w:val="hybridMultilevel"/>
    <w:tmpl w:val="A0DA7DEE"/>
    <w:lvl w:ilvl="0" w:tplc="B6DEDB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967D86"/>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B6DCF"/>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200F7"/>
    <w:multiLevelType w:val="hybridMultilevel"/>
    <w:tmpl w:val="61F22050"/>
    <w:lvl w:ilvl="0" w:tplc="66D216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8E0E8F"/>
    <w:multiLevelType w:val="hybridMultilevel"/>
    <w:tmpl w:val="603EB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9E60BA"/>
    <w:multiLevelType w:val="hybridMultilevel"/>
    <w:tmpl w:val="5F18A63A"/>
    <w:lvl w:ilvl="0" w:tplc="3F365A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9A064F"/>
    <w:multiLevelType w:val="hybridMultilevel"/>
    <w:tmpl w:val="1F6CCE82"/>
    <w:lvl w:ilvl="0" w:tplc="0427000F">
      <w:start w:val="1"/>
      <w:numFmt w:val="decimal"/>
      <w:lvlText w:val="%1."/>
      <w:lvlJc w:val="left"/>
      <w:pPr>
        <w:ind w:left="720" w:hanging="360"/>
      </w:pPr>
    </w:lvl>
    <w:lvl w:ilvl="1" w:tplc="70B8A73E">
      <w:start w:val="1"/>
      <w:numFmt w:val="decimal"/>
      <w:lvlText w:val="%2."/>
      <w:lvlJc w:val="left"/>
      <w:pPr>
        <w:ind w:left="1440" w:hanging="360"/>
      </w:pPr>
      <w:rPr>
        <w:rFonts w:ascii="Times New Roman" w:eastAsiaTheme="minorHAnsi" w:hAnsi="Times New Roman" w:cs="Times New Roman"/>
      </w:rPr>
    </w:lvl>
    <w:lvl w:ilvl="2" w:tplc="DBE0C960">
      <w:start w:val="1"/>
      <w:numFmt w:val="decimal"/>
      <w:lvlText w:val="%3."/>
      <w:lvlJc w:val="right"/>
      <w:pPr>
        <w:ind w:left="2160" w:hanging="180"/>
      </w:pPr>
      <w:rPr>
        <w:rFonts w:ascii="Times New Roman" w:eastAsiaTheme="minorHAnsi" w:hAnsi="Times New Roman" w:cs="Times New Roman"/>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460CCC"/>
    <w:multiLevelType w:val="multilevel"/>
    <w:tmpl w:val="3FAAD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0357A"/>
    <w:multiLevelType w:val="multilevel"/>
    <w:tmpl w:val="7186A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EF40FE"/>
    <w:multiLevelType w:val="hybridMultilevel"/>
    <w:tmpl w:val="1236217E"/>
    <w:lvl w:ilvl="0" w:tplc="0427000F">
      <w:start w:val="5"/>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BA1FC5"/>
    <w:multiLevelType w:val="multilevel"/>
    <w:tmpl w:val="195C4408"/>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35" w15:restartNumberingAfterBreak="0">
    <w:nsid w:val="765E58FF"/>
    <w:multiLevelType w:val="hybridMultilevel"/>
    <w:tmpl w:val="2192368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343DDB"/>
    <w:multiLevelType w:val="multilevel"/>
    <w:tmpl w:val="3E022C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8440B7"/>
    <w:multiLevelType w:val="multilevel"/>
    <w:tmpl w:val="3E022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E2527D"/>
    <w:multiLevelType w:val="hybridMultilevel"/>
    <w:tmpl w:val="E4F2CA16"/>
    <w:lvl w:ilvl="0" w:tplc="0427000F">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4B1B1E"/>
    <w:multiLevelType w:val="hybridMultilevel"/>
    <w:tmpl w:val="080CF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28"/>
  </w:num>
  <w:num w:numId="3">
    <w:abstractNumId w:val="14"/>
  </w:num>
  <w:num w:numId="4">
    <w:abstractNumId w:val="25"/>
  </w:num>
  <w:num w:numId="5">
    <w:abstractNumId w:val="39"/>
  </w:num>
  <w:num w:numId="6">
    <w:abstractNumId w:val="10"/>
  </w:num>
  <w:num w:numId="7">
    <w:abstractNumId w:val="30"/>
  </w:num>
  <w:num w:numId="8">
    <w:abstractNumId w:val="34"/>
  </w:num>
  <w:num w:numId="9">
    <w:abstractNumId w:val="7"/>
  </w:num>
  <w:num w:numId="10">
    <w:abstractNumId w:val="29"/>
  </w:num>
  <w:num w:numId="11">
    <w:abstractNumId w:val="21"/>
  </w:num>
  <w:num w:numId="12">
    <w:abstractNumId w:val="23"/>
  </w:num>
  <w:num w:numId="13">
    <w:abstractNumId w:val="18"/>
  </w:num>
  <w:num w:numId="14">
    <w:abstractNumId w:val="9"/>
  </w:num>
  <w:num w:numId="15">
    <w:abstractNumId w:val="27"/>
  </w:num>
  <w:num w:numId="16">
    <w:abstractNumId w:val="26"/>
  </w:num>
  <w:num w:numId="17">
    <w:abstractNumId w:val="12"/>
  </w:num>
  <w:num w:numId="18">
    <w:abstractNumId w:val="0"/>
  </w:num>
  <w:num w:numId="19">
    <w:abstractNumId w:val="16"/>
  </w:num>
  <w:num w:numId="20">
    <w:abstractNumId w:val="1"/>
  </w:num>
  <w:num w:numId="21">
    <w:abstractNumId w:val="6"/>
  </w:num>
  <w:num w:numId="22">
    <w:abstractNumId w:val="11"/>
  </w:num>
  <w:num w:numId="23">
    <w:abstractNumId w:val="31"/>
  </w:num>
  <w:num w:numId="24">
    <w:abstractNumId w:val="32"/>
  </w:num>
  <w:num w:numId="25">
    <w:abstractNumId w:val="15"/>
  </w:num>
  <w:num w:numId="26">
    <w:abstractNumId w:val="5"/>
  </w:num>
  <w:num w:numId="27">
    <w:abstractNumId w:val="35"/>
  </w:num>
  <w:num w:numId="28">
    <w:abstractNumId w:val="38"/>
  </w:num>
  <w:num w:numId="29">
    <w:abstractNumId w:val="33"/>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
  </w:num>
  <w:num w:numId="33">
    <w:abstractNumId w:val="17"/>
  </w:num>
  <w:num w:numId="34">
    <w:abstractNumId w:val="19"/>
  </w:num>
  <w:num w:numId="35">
    <w:abstractNumId w:val="2"/>
  </w:num>
  <w:num w:numId="36">
    <w:abstractNumId w:val="13"/>
  </w:num>
  <w:num w:numId="37">
    <w:abstractNumId w:val="3"/>
  </w:num>
  <w:num w:numId="38">
    <w:abstractNumId w:val="36"/>
  </w:num>
  <w:num w:numId="39">
    <w:abstractNumId w:val="8"/>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A0"/>
    <w:rsid w:val="0000323E"/>
    <w:rsid w:val="00004981"/>
    <w:rsid w:val="000057B6"/>
    <w:rsid w:val="00007927"/>
    <w:rsid w:val="00013B41"/>
    <w:rsid w:val="0001494C"/>
    <w:rsid w:val="00015195"/>
    <w:rsid w:val="00015746"/>
    <w:rsid w:val="000159E4"/>
    <w:rsid w:val="000179B9"/>
    <w:rsid w:val="00020CE2"/>
    <w:rsid w:val="00024A51"/>
    <w:rsid w:val="00025BBE"/>
    <w:rsid w:val="00026970"/>
    <w:rsid w:val="00027A59"/>
    <w:rsid w:val="00027E71"/>
    <w:rsid w:val="00032A80"/>
    <w:rsid w:val="00034ABB"/>
    <w:rsid w:val="00034B8B"/>
    <w:rsid w:val="000369CA"/>
    <w:rsid w:val="00040867"/>
    <w:rsid w:val="00041849"/>
    <w:rsid w:val="0004256F"/>
    <w:rsid w:val="00042B53"/>
    <w:rsid w:val="00046356"/>
    <w:rsid w:val="00046E34"/>
    <w:rsid w:val="000552C2"/>
    <w:rsid w:val="00056690"/>
    <w:rsid w:val="00060445"/>
    <w:rsid w:val="00062339"/>
    <w:rsid w:val="000671BD"/>
    <w:rsid w:val="00071112"/>
    <w:rsid w:val="0007134D"/>
    <w:rsid w:val="000714C9"/>
    <w:rsid w:val="00071A7F"/>
    <w:rsid w:val="00073671"/>
    <w:rsid w:val="000742AA"/>
    <w:rsid w:val="00074BAD"/>
    <w:rsid w:val="00075159"/>
    <w:rsid w:val="00076C7B"/>
    <w:rsid w:val="000778F3"/>
    <w:rsid w:val="00081255"/>
    <w:rsid w:val="00085956"/>
    <w:rsid w:val="00085ADA"/>
    <w:rsid w:val="0008670A"/>
    <w:rsid w:val="000918D5"/>
    <w:rsid w:val="000953CF"/>
    <w:rsid w:val="000971DE"/>
    <w:rsid w:val="00097ABF"/>
    <w:rsid w:val="000A2CD3"/>
    <w:rsid w:val="000A366E"/>
    <w:rsid w:val="000A6989"/>
    <w:rsid w:val="000A69E5"/>
    <w:rsid w:val="000B18A8"/>
    <w:rsid w:val="000B1A19"/>
    <w:rsid w:val="000B2E33"/>
    <w:rsid w:val="000B3576"/>
    <w:rsid w:val="000B4E33"/>
    <w:rsid w:val="000C023D"/>
    <w:rsid w:val="000C17C4"/>
    <w:rsid w:val="000C22EC"/>
    <w:rsid w:val="000C2505"/>
    <w:rsid w:val="000C2B59"/>
    <w:rsid w:val="000C6AA6"/>
    <w:rsid w:val="000D0670"/>
    <w:rsid w:val="000D0C94"/>
    <w:rsid w:val="000D1126"/>
    <w:rsid w:val="000D3A30"/>
    <w:rsid w:val="000D6901"/>
    <w:rsid w:val="000D77E0"/>
    <w:rsid w:val="000E0B63"/>
    <w:rsid w:val="000E0E0C"/>
    <w:rsid w:val="000E3ECE"/>
    <w:rsid w:val="000E4DDC"/>
    <w:rsid w:val="000E51FB"/>
    <w:rsid w:val="000E520C"/>
    <w:rsid w:val="000E5985"/>
    <w:rsid w:val="000E64EC"/>
    <w:rsid w:val="000F07FC"/>
    <w:rsid w:val="000F1160"/>
    <w:rsid w:val="000F1EC4"/>
    <w:rsid w:val="000F3148"/>
    <w:rsid w:val="000F547F"/>
    <w:rsid w:val="000F5DBE"/>
    <w:rsid w:val="000F5DE6"/>
    <w:rsid w:val="000F76FD"/>
    <w:rsid w:val="000F7991"/>
    <w:rsid w:val="00102AA6"/>
    <w:rsid w:val="00103176"/>
    <w:rsid w:val="00105B11"/>
    <w:rsid w:val="0010600E"/>
    <w:rsid w:val="00107920"/>
    <w:rsid w:val="00110067"/>
    <w:rsid w:val="00110555"/>
    <w:rsid w:val="001116DD"/>
    <w:rsid w:val="00112774"/>
    <w:rsid w:val="00114C8E"/>
    <w:rsid w:val="0011587C"/>
    <w:rsid w:val="001236B7"/>
    <w:rsid w:val="00126D81"/>
    <w:rsid w:val="0013126E"/>
    <w:rsid w:val="00133AAC"/>
    <w:rsid w:val="00134B35"/>
    <w:rsid w:val="001352BF"/>
    <w:rsid w:val="001361DB"/>
    <w:rsid w:val="00136398"/>
    <w:rsid w:val="00145067"/>
    <w:rsid w:val="001461FC"/>
    <w:rsid w:val="00152490"/>
    <w:rsid w:val="00152E43"/>
    <w:rsid w:val="00154E62"/>
    <w:rsid w:val="00154FBC"/>
    <w:rsid w:val="00155A79"/>
    <w:rsid w:val="0015636D"/>
    <w:rsid w:val="00160391"/>
    <w:rsid w:val="00161F67"/>
    <w:rsid w:val="00163A4B"/>
    <w:rsid w:val="00163BCB"/>
    <w:rsid w:val="00167E55"/>
    <w:rsid w:val="0017125E"/>
    <w:rsid w:val="00171475"/>
    <w:rsid w:val="001738B0"/>
    <w:rsid w:val="00176DBA"/>
    <w:rsid w:val="0017735C"/>
    <w:rsid w:val="00180C30"/>
    <w:rsid w:val="00181106"/>
    <w:rsid w:val="00181915"/>
    <w:rsid w:val="001839F7"/>
    <w:rsid w:val="00183B8C"/>
    <w:rsid w:val="00183CA8"/>
    <w:rsid w:val="00183DF9"/>
    <w:rsid w:val="001840E2"/>
    <w:rsid w:val="00184D6D"/>
    <w:rsid w:val="00185E2A"/>
    <w:rsid w:val="001878F3"/>
    <w:rsid w:val="001908B8"/>
    <w:rsid w:val="00191F7D"/>
    <w:rsid w:val="001A0DD7"/>
    <w:rsid w:val="001A17D3"/>
    <w:rsid w:val="001A3505"/>
    <w:rsid w:val="001A5735"/>
    <w:rsid w:val="001A5A59"/>
    <w:rsid w:val="001A6BDB"/>
    <w:rsid w:val="001A6F34"/>
    <w:rsid w:val="001B093C"/>
    <w:rsid w:val="001B26E8"/>
    <w:rsid w:val="001B273A"/>
    <w:rsid w:val="001B3728"/>
    <w:rsid w:val="001B3F5F"/>
    <w:rsid w:val="001B4651"/>
    <w:rsid w:val="001B4E74"/>
    <w:rsid w:val="001C088E"/>
    <w:rsid w:val="001C2BE8"/>
    <w:rsid w:val="001C53F5"/>
    <w:rsid w:val="001C6810"/>
    <w:rsid w:val="001C6BCA"/>
    <w:rsid w:val="001C7CDC"/>
    <w:rsid w:val="001D0438"/>
    <w:rsid w:val="001D0B04"/>
    <w:rsid w:val="001D10E2"/>
    <w:rsid w:val="001D19C4"/>
    <w:rsid w:val="001D228E"/>
    <w:rsid w:val="001D3AB1"/>
    <w:rsid w:val="001D5019"/>
    <w:rsid w:val="001E027C"/>
    <w:rsid w:val="001E1A72"/>
    <w:rsid w:val="001E3C77"/>
    <w:rsid w:val="001E45CF"/>
    <w:rsid w:val="001E50EB"/>
    <w:rsid w:val="001F1B97"/>
    <w:rsid w:val="001F3AD1"/>
    <w:rsid w:val="001F3ED5"/>
    <w:rsid w:val="001F48C6"/>
    <w:rsid w:val="001F6F34"/>
    <w:rsid w:val="002006AB"/>
    <w:rsid w:val="00202500"/>
    <w:rsid w:val="0020260A"/>
    <w:rsid w:val="00203C97"/>
    <w:rsid w:val="00204306"/>
    <w:rsid w:val="0021241E"/>
    <w:rsid w:val="0021245E"/>
    <w:rsid w:val="00212EB5"/>
    <w:rsid w:val="00213FC5"/>
    <w:rsid w:val="002142EC"/>
    <w:rsid w:val="00220061"/>
    <w:rsid w:val="002211D0"/>
    <w:rsid w:val="0022241F"/>
    <w:rsid w:val="00223867"/>
    <w:rsid w:val="0022592D"/>
    <w:rsid w:val="00225DD5"/>
    <w:rsid w:val="00226534"/>
    <w:rsid w:val="00231EEF"/>
    <w:rsid w:val="00232CAD"/>
    <w:rsid w:val="002340A8"/>
    <w:rsid w:val="00235A0A"/>
    <w:rsid w:val="00236EA0"/>
    <w:rsid w:val="00237D7A"/>
    <w:rsid w:val="00241EDB"/>
    <w:rsid w:val="00242B66"/>
    <w:rsid w:val="002430C9"/>
    <w:rsid w:val="0024572B"/>
    <w:rsid w:val="0024586D"/>
    <w:rsid w:val="0024770A"/>
    <w:rsid w:val="00247A84"/>
    <w:rsid w:val="002537D5"/>
    <w:rsid w:val="00253F1F"/>
    <w:rsid w:val="00255977"/>
    <w:rsid w:val="0025628B"/>
    <w:rsid w:val="00256883"/>
    <w:rsid w:val="002572A8"/>
    <w:rsid w:val="00257A12"/>
    <w:rsid w:val="00257E42"/>
    <w:rsid w:val="00260E93"/>
    <w:rsid w:val="0026297D"/>
    <w:rsid w:val="00262F4D"/>
    <w:rsid w:val="0026355E"/>
    <w:rsid w:val="002636D7"/>
    <w:rsid w:val="00266A6B"/>
    <w:rsid w:val="00270CB9"/>
    <w:rsid w:val="00271224"/>
    <w:rsid w:val="00272ACD"/>
    <w:rsid w:val="00272C61"/>
    <w:rsid w:val="00272EF3"/>
    <w:rsid w:val="002734E1"/>
    <w:rsid w:val="00273FC5"/>
    <w:rsid w:val="0027454C"/>
    <w:rsid w:val="00275160"/>
    <w:rsid w:val="002764A7"/>
    <w:rsid w:val="002803D7"/>
    <w:rsid w:val="0028064D"/>
    <w:rsid w:val="00280C19"/>
    <w:rsid w:val="00280D4D"/>
    <w:rsid w:val="00282137"/>
    <w:rsid w:val="00282E96"/>
    <w:rsid w:val="00283AA4"/>
    <w:rsid w:val="00287B04"/>
    <w:rsid w:val="002903AF"/>
    <w:rsid w:val="00296A52"/>
    <w:rsid w:val="002A5AC7"/>
    <w:rsid w:val="002A5AFD"/>
    <w:rsid w:val="002A606C"/>
    <w:rsid w:val="002A781C"/>
    <w:rsid w:val="002B23D3"/>
    <w:rsid w:val="002B3AFC"/>
    <w:rsid w:val="002B636F"/>
    <w:rsid w:val="002B7681"/>
    <w:rsid w:val="002B7D79"/>
    <w:rsid w:val="002B7E84"/>
    <w:rsid w:val="002C1F8B"/>
    <w:rsid w:val="002C2193"/>
    <w:rsid w:val="002C2374"/>
    <w:rsid w:val="002C3502"/>
    <w:rsid w:val="002C47DF"/>
    <w:rsid w:val="002D1223"/>
    <w:rsid w:val="002E2A15"/>
    <w:rsid w:val="002E54E3"/>
    <w:rsid w:val="002E6477"/>
    <w:rsid w:val="002E733E"/>
    <w:rsid w:val="002E74C3"/>
    <w:rsid w:val="002F186E"/>
    <w:rsid w:val="002F2D67"/>
    <w:rsid w:val="002F45B8"/>
    <w:rsid w:val="002F5C56"/>
    <w:rsid w:val="002F6E36"/>
    <w:rsid w:val="0030008D"/>
    <w:rsid w:val="003006FC"/>
    <w:rsid w:val="00300A15"/>
    <w:rsid w:val="00300EAC"/>
    <w:rsid w:val="00301364"/>
    <w:rsid w:val="003032CB"/>
    <w:rsid w:val="003054BE"/>
    <w:rsid w:val="00306A86"/>
    <w:rsid w:val="0031277F"/>
    <w:rsid w:val="00312AA4"/>
    <w:rsid w:val="00313E78"/>
    <w:rsid w:val="0032040D"/>
    <w:rsid w:val="00320F4E"/>
    <w:rsid w:val="00322921"/>
    <w:rsid w:val="00325087"/>
    <w:rsid w:val="00325416"/>
    <w:rsid w:val="003268A0"/>
    <w:rsid w:val="00330329"/>
    <w:rsid w:val="0033229B"/>
    <w:rsid w:val="0033428C"/>
    <w:rsid w:val="003352AC"/>
    <w:rsid w:val="003354AC"/>
    <w:rsid w:val="00337143"/>
    <w:rsid w:val="00341B55"/>
    <w:rsid w:val="00342ACE"/>
    <w:rsid w:val="003447E4"/>
    <w:rsid w:val="00344E86"/>
    <w:rsid w:val="003476FA"/>
    <w:rsid w:val="00350CCC"/>
    <w:rsid w:val="00353886"/>
    <w:rsid w:val="00355981"/>
    <w:rsid w:val="00356560"/>
    <w:rsid w:val="00356CB0"/>
    <w:rsid w:val="00361822"/>
    <w:rsid w:val="00364EC9"/>
    <w:rsid w:val="0036512D"/>
    <w:rsid w:val="00366423"/>
    <w:rsid w:val="00366AC1"/>
    <w:rsid w:val="0036796D"/>
    <w:rsid w:val="00367CB2"/>
    <w:rsid w:val="00371797"/>
    <w:rsid w:val="00372671"/>
    <w:rsid w:val="00374323"/>
    <w:rsid w:val="00374F09"/>
    <w:rsid w:val="00375B2F"/>
    <w:rsid w:val="00375CDF"/>
    <w:rsid w:val="0037708F"/>
    <w:rsid w:val="00380304"/>
    <w:rsid w:val="0038313A"/>
    <w:rsid w:val="003835D0"/>
    <w:rsid w:val="003855CD"/>
    <w:rsid w:val="00386DE3"/>
    <w:rsid w:val="0039076D"/>
    <w:rsid w:val="003919C4"/>
    <w:rsid w:val="00391AB3"/>
    <w:rsid w:val="003935C0"/>
    <w:rsid w:val="00394366"/>
    <w:rsid w:val="00397223"/>
    <w:rsid w:val="003A2011"/>
    <w:rsid w:val="003A23ED"/>
    <w:rsid w:val="003A346E"/>
    <w:rsid w:val="003A51A8"/>
    <w:rsid w:val="003A5D29"/>
    <w:rsid w:val="003A5EB6"/>
    <w:rsid w:val="003A5F0B"/>
    <w:rsid w:val="003A634C"/>
    <w:rsid w:val="003A6AAB"/>
    <w:rsid w:val="003B0156"/>
    <w:rsid w:val="003B0977"/>
    <w:rsid w:val="003B0EA5"/>
    <w:rsid w:val="003B0ED8"/>
    <w:rsid w:val="003B2A85"/>
    <w:rsid w:val="003B3867"/>
    <w:rsid w:val="003B38D0"/>
    <w:rsid w:val="003B3DCE"/>
    <w:rsid w:val="003B4060"/>
    <w:rsid w:val="003B5288"/>
    <w:rsid w:val="003B683F"/>
    <w:rsid w:val="003B6A19"/>
    <w:rsid w:val="003B7A5A"/>
    <w:rsid w:val="003C071F"/>
    <w:rsid w:val="003C415C"/>
    <w:rsid w:val="003C6636"/>
    <w:rsid w:val="003C6B54"/>
    <w:rsid w:val="003C7149"/>
    <w:rsid w:val="003C7FAA"/>
    <w:rsid w:val="003D139E"/>
    <w:rsid w:val="003D184D"/>
    <w:rsid w:val="003D31D4"/>
    <w:rsid w:val="003D4949"/>
    <w:rsid w:val="003D7AFB"/>
    <w:rsid w:val="003E0DF3"/>
    <w:rsid w:val="003E5106"/>
    <w:rsid w:val="003E5C39"/>
    <w:rsid w:val="003F0F17"/>
    <w:rsid w:val="003F2B3E"/>
    <w:rsid w:val="003F2ED0"/>
    <w:rsid w:val="003F32B3"/>
    <w:rsid w:val="003F48C3"/>
    <w:rsid w:val="003F5058"/>
    <w:rsid w:val="003F5B5C"/>
    <w:rsid w:val="003F7447"/>
    <w:rsid w:val="0040274D"/>
    <w:rsid w:val="004029AA"/>
    <w:rsid w:val="0040359D"/>
    <w:rsid w:val="0040393B"/>
    <w:rsid w:val="004040FE"/>
    <w:rsid w:val="0040454A"/>
    <w:rsid w:val="004046F1"/>
    <w:rsid w:val="004048C9"/>
    <w:rsid w:val="0040622A"/>
    <w:rsid w:val="0040651A"/>
    <w:rsid w:val="00416AF5"/>
    <w:rsid w:val="0041725B"/>
    <w:rsid w:val="004206D6"/>
    <w:rsid w:val="0042080B"/>
    <w:rsid w:val="00421E09"/>
    <w:rsid w:val="00424B6A"/>
    <w:rsid w:val="00431AF1"/>
    <w:rsid w:val="0043237E"/>
    <w:rsid w:val="00434851"/>
    <w:rsid w:val="00434944"/>
    <w:rsid w:val="004352CC"/>
    <w:rsid w:val="00444B9F"/>
    <w:rsid w:val="00444EFC"/>
    <w:rsid w:val="00446DB5"/>
    <w:rsid w:val="004479B1"/>
    <w:rsid w:val="00447B77"/>
    <w:rsid w:val="00450FAB"/>
    <w:rsid w:val="004519EF"/>
    <w:rsid w:val="00453A57"/>
    <w:rsid w:val="00456A6B"/>
    <w:rsid w:val="00456F3A"/>
    <w:rsid w:val="004574FC"/>
    <w:rsid w:val="00460E20"/>
    <w:rsid w:val="00463B72"/>
    <w:rsid w:val="00467DF6"/>
    <w:rsid w:val="0047365E"/>
    <w:rsid w:val="00473CE2"/>
    <w:rsid w:val="004746DD"/>
    <w:rsid w:val="0047486D"/>
    <w:rsid w:val="004764F8"/>
    <w:rsid w:val="004770BA"/>
    <w:rsid w:val="004814FB"/>
    <w:rsid w:val="00483381"/>
    <w:rsid w:val="004846FF"/>
    <w:rsid w:val="004910EF"/>
    <w:rsid w:val="00491FE3"/>
    <w:rsid w:val="004A0C83"/>
    <w:rsid w:val="004A3643"/>
    <w:rsid w:val="004A4E3C"/>
    <w:rsid w:val="004A6D6A"/>
    <w:rsid w:val="004B1748"/>
    <w:rsid w:val="004B1A0E"/>
    <w:rsid w:val="004B3518"/>
    <w:rsid w:val="004B3CDA"/>
    <w:rsid w:val="004B5CBC"/>
    <w:rsid w:val="004C0C99"/>
    <w:rsid w:val="004C1741"/>
    <w:rsid w:val="004C3535"/>
    <w:rsid w:val="004C3B64"/>
    <w:rsid w:val="004C4F83"/>
    <w:rsid w:val="004C68C4"/>
    <w:rsid w:val="004C78C4"/>
    <w:rsid w:val="004C7E89"/>
    <w:rsid w:val="004D10F1"/>
    <w:rsid w:val="004D1358"/>
    <w:rsid w:val="004E0E20"/>
    <w:rsid w:val="004E6FB2"/>
    <w:rsid w:val="004F032A"/>
    <w:rsid w:val="004F0EEA"/>
    <w:rsid w:val="004F11BD"/>
    <w:rsid w:val="004F1CF1"/>
    <w:rsid w:val="004F2A92"/>
    <w:rsid w:val="004F5F88"/>
    <w:rsid w:val="005002C1"/>
    <w:rsid w:val="00500662"/>
    <w:rsid w:val="00500905"/>
    <w:rsid w:val="005076FB"/>
    <w:rsid w:val="00510042"/>
    <w:rsid w:val="00510A5E"/>
    <w:rsid w:val="00514C96"/>
    <w:rsid w:val="00516632"/>
    <w:rsid w:val="0051686C"/>
    <w:rsid w:val="00517930"/>
    <w:rsid w:val="005210F8"/>
    <w:rsid w:val="005231AB"/>
    <w:rsid w:val="00523B38"/>
    <w:rsid w:val="005249D3"/>
    <w:rsid w:val="00525865"/>
    <w:rsid w:val="005259B9"/>
    <w:rsid w:val="005264DB"/>
    <w:rsid w:val="005314EA"/>
    <w:rsid w:val="00533C9F"/>
    <w:rsid w:val="00534D30"/>
    <w:rsid w:val="00536D16"/>
    <w:rsid w:val="00537687"/>
    <w:rsid w:val="00540C21"/>
    <w:rsid w:val="00540FE4"/>
    <w:rsid w:val="00541B72"/>
    <w:rsid w:val="005423AF"/>
    <w:rsid w:val="00543D1D"/>
    <w:rsid w:val="0054564A"/>
    <w:rsid w:val="00546EA8"/>
    <w:rsid w:val="00547EC5"/>
    <w:rsid w:val="00552F6E"/>
    <w:rsid w:val="005539C7"/>
    <w:rsid w:val="00554101"/>
    <w:rsid w:val="005547F4"/>
    <w:rsid w:val="00561E6F"/>
    <w:rsid w:val="00563761"/>
    <w:rsid w:val="00563DB4"/>
    <w:rsid w:val="00564CF9"/>
    <w:rsid w:val="005668DB"/>
    <w:rsid w:val="005703B8"/>
    <w:rsid w:val="00571D22"/>
    <w:rsid w:val="005733F3"/>
    <w:rsid w:val="00575CB4"/>
    <w:rsid w:val="00576D3D"/>
    <w:rsid w:val="005778E5"/>
    <w:rsid w:val="00577D1B"/>
    <w:rsid w:val="005814DC"/>
    <w:rsid w:val="00581E0A"/>
    <w:rsid w:val="00581EFE"/>
    <w:rsid w:val="0058414C"/>
    <w:rsid w:val="005845BF"/>
    <w:rsid w:val="00585CA2"/>
    <w:rsid w:val="00585D6F"/>
    <w:rsid w:val="00586151"/>
    <w:rsid w:val="00586ADC"/>
    <w:rsid w:val="005907A7"/>
    <w:rsid w:val="0059251C"/>
    <w:rsid w:val="00593AF8"/>
    <w:rsid w:val="00595B84"/>
    <w:rsid w:val="005A02FD"/>
    <w:rsid w:val="005A1721"/>
    <w:rsid w:val="005A36D0"/>
    <w:rsid w:val="005A4794"/>
    <w:rsid w:val="005A5104"/>
    <w:rsid w:val="005A5643"/>
    <w:rsid w:val="005A600E"/>
    <w:rsid w:val="005A623A"/>
    <w:rsid w:val="005A687E"/>
    <w:rsid w:val="005B031B"/>
    <w:rsid w:val="005B0973"/>
    <w:rsid w:val="005B2063"/>
    <w:rsid w:val="005B36CC"/>
    <w:rsid w:val="005B3A33"/>
    <w:rsid w:val="005B5FE0"/>
    <w:rsid w:val="005B6000"/>
    <w:rsid w:val="005B7AC2"/>
    <w:rsid w:val="005C036B"/>
    <w:rsid w:val="005C1C53"/>
    <w:rsid w:val="005C4B38"/>
    <w:rsid w:val="005C4F4D"/>
    <w:rsid w:val="005C5571"/>
    <w:rsid w:val="005D06F4"/>
    <w:rsid w:val="005D0D6A"/>
    <w:rsid w:val="005D38F5"/>
    <w:rsid w:val="005D39D3"/>
    <w:rsid w:val="005D5EE2"/>
    <w:rsid w:val="005D6916"/>
    <w:rsid w:val="005D75D8"/>
    <w:rsid w:val="005E250B"/>
    <w:rsid w:val="005E27D1"/>
    <w:rsid w:val="005E2F45"/>
    <w:rsid w:val="005E5ECC"/>
    <w:rsid w:val="005E61CE"/>
    <w:rsid w:val="005E78E5"/>
    <w:rsid w:val="005F0FCA"/>
    <w:rsid w:val="005F142F"/>
    <w:rsid w:val="005F1B2D"/>
    <w:rsid w:val="005F5AC0"/>
    <w:rsid w:val="005F7DFA"/>
    <w:rsid w:val="00600E8C"/>
    <w:rsid w:val="0060363E"/>
    <w:rsid w:val="00603D53"/>
    <w:rsid w:val="00605138"/>
    <w:rsid w:val="0060710D"/>
    <w:rsid w:val="00607C66"/>
    <w:rsid w:val="00607EF3"/>
    <w:rsid w:val="006128D6"/>
    <w:rsid w:val="006135C6"/>
    <w:rsid w:val="00613F05"/>
    <w:rsid w:val="0061545A"/>
    <w:rsid w:val="006172B1"/>
    <w:rsid w:val="006220C8"/>
    <w:rsid w:val="0062260C"/>
    <w:rsid w:val="00624730"/>
    <w:rsid w:val="0062694C"/>
    <w:rsid w:val="00631289"/>
    <w:rsid w:val="006315DA"/>
    <w:rsid w:val="006324AE"/>
    <w:rsid w:val="00634F41"/>
    <w:rsid w:val="0063746C"/>
    <w:rsid w:val="0064091F"/>
    <w:rsid w:val="006444CE"/>
    <w:rsid w:val="00644993"/>
    <w:rsid w:val="00644A08"/>
    <w:rsid w:val="0064527C"/>
    <w:rsid w:val="006459E7"/>
    <w:rsid w:val="00646428"/>
    <w:rsid w:val="00646566"/>
    <w:rsid w:val="00650CFB"/>
    <w:rsid w:val="006536FA"/>
    <w:rsid w:val="0065407F"/>
    <w:rsid w:val="00655489"/>
    <w:rsid w:val="00655B69"/>
    <w:rsid w:val="00655E25"/>
    <w:rsid w:val="006571CC"/>
    <w:rsid w:val="006623A7"/>
    <w:rsid w:val="00663BC6"/>
    <w:rsid w:val="0066645D"/>
    <w:rsid w:val="0066742A"/>
    <w:rsid w:val="00670316"/>
    <w:rsid w:val="00670B49"/>
    <w:rsid w:val="00670C15"/>
    <w:rsid w:val="00672541"/>
    <w:rsid w:val="0067440D"/>
    <w:rsid w:val="00674E9C"/>
    <w:rsid w:val="00675654"/>
    <w:rsid w:val="00676380"/>
    <w:rsid w:val="00677266"/>
    <w:rsid w:val="00677DED"/>
    <w:rsid w:val="006803BE"/>
    <w:rsid w:val="006808EA"/>
    <w:rsid w:val="00683108"/>
    <w:rsid w:val="00685012"/>
    <w:rsid w:val="006861EC"/>
    <w:rsid w:val="0069140C"/>
    <w:rsid w:val="0069304A"/>
    <w:rsid w:val="0069317B"/>
    <w:rsid w:val="006936B3"/>
    <w:rsid w:val="0069382E"/>
    <w:rsid w:val="00693FDD"/>
    <w:rsid w:val="006949CA"/>
    <w:rsid w:val="006955FB"/>
    <w:rsid w:val="00696210"/>
    <w:rsid w:val="00696C07"/>
    <w:rsid w:val="00697D95"/>
    <w:rsid w:val="006A0153"/>
    <w:rsid w:val="006A1E4D"/>
    <w:rsid w:val="006A31C7"/>
    <w:rsid w:val="006B1068"/>
    <w:rsid w:val="006B20FC"/>
    <w:rsid w:val="006B21C8"/>
    <w:rsid w:val="006B3C71"/>
    <w:rsid w:val="006B43C5"/>
    <w:rsid w:val="006B7DE4"/>
    <w:rsid w:val="006C3FAF"/>
    <w:rsid w:val="006C5885"/>
    <w:rsid w:val="006C5C61"/>
    <w:rsid w:val="006C7260"/>
    <w:rsid w:val="006C7F4E"/>
    <w:rsid w:val="006D1E38"/>
    <w:rsid w:val="006D51D8"/>
    <w:rsid w:val="006D551D"/>
    <w:rsid w:val="006D663C"/>
    <w:rsid w:val="006E4214"/>
    <w:rsid w:val="006E54A2"/>
    <w:rsid w:val="006E59EC"/>
    <w:rsid w:val="006E6139"/>
    <w:rsid w:val="006E6C2C"/>
    <w:rsid w:val="006E6DAC"/>
    <w:rsid w:val="006F0E6B"/>
    <w:rsid w:val="006F14ED"/>
    <w:rsid w:val="006F1FC1"/>
    <w:rsid w:val="006F30FB"/>
    <w:rsid w:val="006F3163"/>
    <w:rsid w:val="006F3881"/>
    <w:rsid w:val="006F57E7"/>
    <w:rsid w:val="006F7BF5"/>
    <w:rsid w:val="00700FC5"/>
    <w:rsid w:val="007059E3"/>
    <w:rsid w:val="007070DA"/>
    <w:rsid w:val="007111DB"/>
    <w:rsid w:val="007122ED"/>
    <w:rsid w:val="00712844"/>
    <w:rsid w:val="0071393B"/>
    <w:rsid w:val="00713E44"/>
    <w:rsid w:val="007158CB"/>
    <w:rsid w:val="007171C3"/>
    <w:rsid w:val="007174C7"/>
    <w:rsid w:val="00717954"/>
    <w:rsid w:val="00717C8A"/>
    <w:rsid w:val="007211F3"/>
    <w:rsid w:val="007224C9"/>
    <w:rsid w:val="0072281B"/>
    <w:rsid w:val="00722A59"/>
    <w:rsid w:val="007245D7"/>
    <w:rsid w:val="00724992"/>
    <w:rsid w:val="00724CDA"/>
    <w:rsid w:val="007341CE"/>
    <w:rsid w:val="00734409"/>
    <w:rsid w:val="0073560E"/>
    <w:rsid w:val="00740D41"/>
    <w:rsid w:val="0074184F"/>
    <w:rsid w:val="007431BC"/>
    <w:rsid w:val="00743AA1"/>
    <w:rsid w:val="00745F42"/>
    <w:rsid w:val="007460DE"/>
    <w:rsid w:val="007461FE"/>
    <w:rsid w:val="00750437"/>
    <w:rsid w:val="007516BE"/>
    <w:rsid w:val="007521C4"/>
    <w:rsid w:val="007522CD"/>
    <w:rsid w:val="00756E96"/>
    <w:rsid w:val="00757C0F"/>
    <w:rsid w:val="00760E32"/>
    <w:rsid w:val="00765952"/>
    <w:rsid w:val="00767751"/>
    <w:rsid w:val="007701A9"/>
    <w:rsid w:val="00770F92"/>
    <w:rsid w:val="00771603"/>
    <w:rsid w:val="00773BB2"/>
    <w:rsid w:val="00773FD4"/>
    <w:rsid w:val="00774ACC"/>
    <w:rsid w:val="007765F8"/>
    <w:rsid w:val="00776F02"/>
    <w:rsid w:val="00776FA5"/>
    <w:rsid w:val="00777168"/>
    <w:rsid w:val="007773E0"/>
    <w:rsid w:val="007804BF"/>
    <w:rsid w:val="00780CD2"/>
    <w:rsid w:val="00780FBF"/>
    <w:rsid w:val="00781D2F"/>
    <w:rsid w:val="007821DF"/>
    <w:rsid w:val="00783AB8"/>
    <w:rsid w:val="00784512"/>
    <w:rsid w:val="00784CD8"/>
    <w:rsid w:val="00785997"/>
    <w:rsid w:val="0078779A"/>
    <w:rsid w:val="00787BFE"/>
    <w:rsid w:val="0079078F"/>
    <w:rsid w:val="007908E4"/>
    <w:rsid w:val="007917C9"/>
    <w:rsid w:val="00791EDE"/>
    <w:rsid w:val="00791F31"/>
    <w:rsid w:val="00794030"/>
    <w:rsid w:val="00795509"/>
    <w:rsid w:val="007A02CD"/>
    <w:rsid w:val="007A32BD"/>
    <w:rsid w:val="007A3383"/>
    <w:rsid w:val="007A35B0"/>
    <w:rsid w:val="007A59A8"/>
    <w:rsid w:val="007A7AFE"/>
    <w:rsid w:val="007A7C49"/>
    <w:rsid w:val="007B271B"/>
    <w:rsid w:val="007B48BC"/>
    <w:rsid w:val="007B59B9"/>
    <w:rsid w:val="007B675B"/>
    <w:rsid w:val="007B76D0"/>
    <w:rsid w:val="007B78DA"/>
    <w:rsid w:val="007C0A6B"/>
    <w:rsid w:val="007C0CD8"/>
    <w:rsid w:val="007C19D3"/>
    <w:rsid w:val="007C1AF6"/>
    <w:rsid w:val="007C69DA"/>
    <w:rsid w:val="007D215F"/>
    <w:rsid w:val="007D4624"/>
    <w:rsid w:val="007D4E72"/>
    <w:rsid w:val="007D5302"/>
    <w:rsid w:val="007D6E3E"/>
    <w:rsid w:val="007E2E0A"/>
    <w:rsid w:val="007E313D"/>
    <w:rsid w:val="007E4958"/>
    <w:rsid w:val="007E4DE9"/>
    <w:rsid w:val="007E75B1"/>
    <w:rsid w:val="007E7C6C"/>
    <w:rsid w:val="007F18D5"/>
    <w:rsid w:val="007F301A"/>
    <w:rsid w:val="007F39E6"/>
    <w:rsid w:val="007F4828"/>
    <w:rsid w:val="0080062A"/>
    <w:rsid w:val="008027BD"/>
    <w:rsid w:val="00803C53"/>
    <w:rsid w:val="00804D4F"/>
    <w:rsid w:val="00806653"/>
    <w:rsid w:val="008076E4"/>
    <w:rsid w:val="00810F66"/>
    <w:rsid w:val="008115C0"/>
    <w:rsid w:val="0082080B"/>
    <w:rsid w:val="008209F7"/>
    <w:rsid w:val="0082289A"/>
    <w:rsid w:val="00824BAC"/>
    <w:rsid w:val="00825139"/>
    <w:rsid w:val="008254A3"/>
    <w:rsid w:val="0082770B"/>
    <w:rsid w:val="008304CD"/>
    <w:rsid w:val="00833ACE"/>
    <w:rsid w:val="00835028"/>
    <w:rsid w:val="00835080"/>
    <w:rsid w:val="00835D76"/>
    <w:rsid w:val="00836F12"/>
    <w:rsid w:val="008373D3"/>
    <w:rsid w:val="00837F59"/>
    <w:rsid w:val="00841BF1"/>
    <w:rsid w:val="0084441E"/>
    <w:rsid w:val="00845119"/>
    <w:rsid w:val="0084678D"/>
    <w:rsid w:val="0085031A"/>
    <w:rsid w:val="00850F99"/>
    <w:rsid w:val="00851102"/>
    <w:rsid w:val="008571B8"/>
    <w:rsid w:val="00857EAE"/>
    <w:rsid w:val="00857FD3"/>
    <w:rsid w:val="00865250"/>
    <w:rsid w:val="00870749"/>
    <w:rsid w:val="00874CFA"/>
    <w:rsid w:val="00876A24"/>
    <w:rsid w:val="00877D8B"/>
    <w:rsid w:val="008801B3"/>
    <w:rsid w:val="008803A4"/>
    <w:rsid w:val="008812B4"/>
    <w:rsid w:val="00882B85"/>
    <w:rsid w:val="00884CAF"/>
    <w:rsid w:val="008871BD"/>
    <w:rsid w:val="00887F9B"/>
    <w:rsid w:val="00890016"/>
    <w:rsid w:val="00890171"/>
    <w:rsid w:val="008902AC"/>
    <w:rsid w:val="00890CC4"/>
    <w:rsid w:val="00890F89"/>
    <w:rsid w:val="008921CE"/>
    <w:rsid w:val="0089238B"/>
    <w:rsid w:val="008A1EA4"/>
    <w:rsid w:val="008A2A21"/>
    <w:rsid w:val="008A5233"/>
    <w:rsid w:val="008B72F0"/>
    <w:rsid w:val="008B7C5F"/>
    <w:rsid w:val="008C0568"/>
    <w:rsid w:val="008C0987"/>
    <w:rsid w:val="008C0B96"/>
    <w:rsid w:val="008C25F0"/>
    <w:rsid w:val="008C4F54"/>
    <w:rsid w:val="008C6E96"/>
    <w:rsid w:val="008C7715"/>
    <w:rsid w:val="008D03CB"/>
    <w:rsid w:val="008D1B34"/>
    <w:rsid w:val="008D23E4"/>
    <w:rsid w:val="008D3BCC"/>
    <w:rsid w:val="008D3C69"/>
    <w:rsid w:val="008D410D"/>
    <w:rsid w:val="008D7292"/>
    <w:rsid w:val="008D78EA"/>
    <w:rsid w:val="008E0BA8"/>
    <w:rsid w:val="008E10F9"/>
    <w:rsid w:val="008E19D5"/>
    <w:rsid w:val="008E255F"/>
    <w:rsid w:val="008E2EA3"/>
    <w:rsid w:val="008E33E5"/>
    <w:rsid w:val="008E5226"/>
    <w:rsid w:val="008E7479"/>
    <w:rsid w:val="008F00D7"/>
    <w:rsid w:val="008F09E9"/>
    <w:rsid w:val="008F1FDB"/>
    <w:rsid w:val="008F3608"/>
    <w:rsid w:val="008F395B"/>
    <w:rsid w:val="008F3CAC"/>
    <w:rsid w:val="008F574B"/>
    <w:rsid w:val="008F7CAE"/>
    <w:rsid w:val="00901064"/>
    <w:rsid w:val="00904200"/>
    <w:rsid w:val="009059C1"/>
    <w:rsid w:val="00905B58"/>
    <w:rsid w:val="009060C1"/>
    <w:rsid w:val="00907439"/>
    <w:rsid w:val="00907605"/>
    <w:rsid w:val="00912525"/>
    <w:rsid w:val="009126C8"/>
    <w:rsid w:val="00916AE4"/>
    <w:rsid w:val="00917FAC"/>
    <w:rsid w:val="00920B4A"/>
    <w:rsid w:val="00920CD1"/>
    <w:rsid w:val="009242E2"/>
    <w:rsid w:val="0092462B"/>
    <w:rsid w:val="00925516"/>
    <w:rsid w:val="00930230"/>
    <w:rsid w:val="00930C3C"/>
    <w:rsid w:val="00931EF7"/>
    <w:rsid w:val="009345CA"/>
    <w:rsid w:val="00940DE7"/>
    <w:rsid w:val="009412F2"/>
    <w:rsid w:val="00941434"/>
    <w:rsid w:val="009466B8"/>
    <w:rsid w:val="00952518"/>
    <w:rsid w:val="00953501"/>
    <w:rsid w:val="009538A0"/>
    <w:rsid w:val="009540B8"/>
    <w:rsid w:val="0095576A"/>
    <w:rsid w:val="00957578"/>
    <w:rsid w:val="00963496"/>
    <w:rsid w:val="00965FCD"/>
    <w:rsid w:val="0097104F"/>
    <w:rsid w:val="00971117"/>
    <w:rsid w:val="00972041"/>
    <w:rsid w:val="00973D47"/>
    <w:rsid w:val="00975EBC"/>
    <w:rsid w:val="00980CE0"/>
    <w:rsid w:val="00981A79"/>
    <w:rsid w:val="00983CA6"/>
    <w:rsid w:val="0098441E"/>
    <w:rsid w:val="00985102"/>
    <w:rsid w:val="0098541A"/>
    <w:rsid w:val="0098552D"/>
    <w:rsid w:val="00985FFA"/>
    <w:rsid w:val="0098766C"/>
    <w:rsid w:val="00991448"/>
    <w:rsid w:val="00992308"/>
    <w:rsid w:val="00992B7A"/>
    <w:rsid w:val="00992F3B"/>
    <w:rsid w:val="0099525A"/>
    <w:rsid w:val="009952B5"/>
    <w:rsid w:val="00997DD9"/>
    <w:rsid w:val="009A047E"/>
    <w:rsid w:val="009A3115"/>
    <w:rsid w:val="009A4358"/>
    <w:rsid w:val="009B1B3E"/>
    <w:rsid w:val="009B4598"/>
    <w:rsid w:val="009B503B"/>
    <w:rsid w:val="009B654A"/>
    <w:rsid w:val="009B6981"/>
    <w:rsid w:val="009C1A7B"/>
    <w:rsid w:val="009C6B77"/>
    <w:rsid w:val="009C7BAC"/>
    <w:rsid w:val="009D0E43"/>
    <w:rsid w:val="009D5BD1"/>
    <w:rsid w:val="009D636E"/>
    <w:rsid w:val="009E189F"/>
    <w:rsid w:val="009E1AF2"/>
    <w:rsid w:val="009E1D76"/>
    <w:rsid w:val="009E31B0"/>
    <w:rsid w:val="009E324E"/>
    <w:rsid w:val="009E6607"/>
    <w:rsid w:val="009E6C23"/>
    <w:rsid w:val="009E738E"/>
    <w:rsid w:val="009F1B21"/>
    <w:rsid w:val="009F3FE7"/>
    <w:rsid w:val="009F4B18"/>
    <w:rsid w:val="009F720C"/>
    <w:rsid w:val="009F7457"/>
    <w:rsid w:val="00A044F8"/>
    <w:rsid w:val="00A11C0E"/>
    <w:rsid w:val="00A136CA"/>
    <w:rsid w:val="00A14C64"/>
    <w:rsid w:val="00A20A2A"/>
    <w:rsid w:val="00A22A4E"/>
    <w:rsid w:val="00A23AF8"/>
    <w:rsid w:val="00A30199"/>
    <w:rsid w:val="00A30F28"/>
    <w:rsid w:val="00A3159B"/>
    <w:rsid w:val="00A32705"/>
    <w:rsid w:val="00A33909"/>
    <w:rsid w:val="00A33C95"/>
    <w:rsid w:val="00A40626"/>
    <w:rsid w:val="00A406A0"/>
    <w:rsid w:val="00A43E9D"/>
    <w:rsid w:val="00A4462E"/>
    <w:rsid w:val="00A44E7D"/>
    <w:rsid w:val="00A4560E"/>
    <w:rsid w:val="00A47E78"/>
    <w:rsid w:val="00A53FF1"/>
    <w:rsid w:val="00A54250"/>
    <w:rsid w:val="00A54C1A"/>
    <w:rsid w:val="00A55D58"/>
    <w:rsid w:val="00A57098"/>
    <w:rsid w:val="00A57D11"/>
    <w:rsid w:val="00A60AED"/>
    <w:rsid w:val="00A611EF"/>
    <w:rsid w:val="00A635BE"/>
    <w:rsid w:val="00A66BDF"/>
    <w:rsid w:val="00A70521"/>
    <w:rsid w:val="00A72C4C"/>
    <w:rsid w:val="00A7323A"/>
    <w:rsid w:val="00A73ED0"/>
    <w:rsid w:val="00A74A3E"/>
    <w:rsid w:val="00A75D12"/>
    <w:rsid w:val="00A76F93"/>
    <w:rsid w:val="00A8305C"/>
    <w:rsid w:val="00A8591B"/>
    <w:rsid w:val="00A870BA"/>
    <w:rsid w:val="00A87A27"/>
    <w:rsid w:val="00A90CD0"/>
    <w:rsid w:val="00A90E9F"/>
    <w:rsid w:val="00AA3423"/>
    <w:rsid w:val="00AA3C8E"/>
    <w:rsid w:val="00AA48CB"/>
    <w:rsid w:val="00AA5362"/>
    <w:rsid w:val="00AB04DD"/>
    <w:rsid w:val="00AB2466"/>
    <w:rsid w:val="00AB35BB"/>
    <w:rsid w:val="00AB5669"/>
    <w:rsid w:val="00AB56DD"/>
    <w:rsid w:val="00ABA1D4"/>
    <w:rsid w:val="00AC0458"/>
    <w:rsid w:val="00AC0483"/>
    <w:rsid w:val="00AC26DA"/>
    <w:rsid w:val="00AC3B03"/>
    <w:rsid w:val="00AC45F1"/>
    <w:rsid w:val="00AC67B8"/>
    <w:rsid w:val="00AD1445"/>
    <w:rsid w:val="00AD1E90"/>
    <w:rsid w:val="00AD6E54"/>
    <w:rsid w:val="00AD79C4"/>
    <w:rsid w:val="00AE1ADE"/>
    <w:rsid w:val="00AE45C2"/>
    <w:rsid w:val="00AE7DCE"/>
    <w:rsid w:val="00AF08CB"/>
    <w:rsid w:val="00AF11D7"/>
    <w:rsid w:val="00AF2597"/>
    <w:rsid w:val="00AF7E6B"/>
    <w:rsid w:val="00B013A9"/>
    <w:rsid w:val="00B0171F"/>
    <w:rsid w:val="00B050FF"/>
    <w:rsid w:val="00B0704A"/>
    <w:rsid w:val="00B12502"/>
    <w:rsid w:val="00B14A85"/>
    <w:rsid w:val="00B15F4A"/>
    <w:rsid w:val="00B1604D"/>
    <w:rsid w:val="00B17C24"/>
    <w:rsid w:val="00B202F0"/>
    <w:rsid w:val="00B2067B"/>
    <w:rsid w:val="00B217A6"/>
    <w:rsid w:val="00B25559"/>
    <w:rsid w:val="00B30C5E"/>
    <w:rsid w:val="00B30E52"/>
    <w:rsid w:val="00B30E8E"/>
    <w:rsid w:val="00B3107D"/>
    <w:rsid w:val="00B3252F"/>
    <w:rsid w:val="00B3516F"/>
    <w:rsid w:val="00B359C5"/>
    <w:rsid w:val="00B37116"/>
    <w:rsid w:val="00B41231"/>
    <w:rsid w:val="00B41A22"/>
    <w:rsid w:val="00B41D53"/>
    <w:rsid w:val="00B42CFC"/>
    <w:rsid w:val="00B4332E"/>
    <w:rsid w:val="00B433E5"/>
    <w:rsid w:val="00B44C57"/>
    <w:rsid w:val="00B477CD"/>
    <w:rsid w:val="00B503A3"/>
    <w:rsid w:val="00B50EA2"/>
    <w:rsid w:val="00B51212"/>
    <w:rsid w:val="00B51DBB"/>
    <w:rsid w:val="00B5213C"/>
    <w:rsid w:val="00B53378"/>
    <w:rsid w:val="00B53FB8"/>
    <w:rsid w:val="00B54341"/>
    <w:rsid w:val="00B545F4"/>
    <w:rsid w:val="00B57590"/>
    <w:rsid w:val="00B6038F"/>
    <w:rsid w:val="00B62987"/>
    <w:rsid w:val="00B66259"/>
    <w:rsid w:val="00B678D4"/>
    <w:rsid w:val="00B67CBD"/>
    <w:rsid w:val="00B73CA8"/>
    <w:rsid w:val="00B802C5"/>
    <w:rsid w:val="00B80EE6"/>
    <w:rsid w:val="00B82D01"/>
    <w:rsid w:val="00B82E7C"/>
    <w:rsid w:val="00B82F35"/>
    <w:rsid w:val="00B84DB2"/>
    <w:rsid w:val="00B851C1"/>
    <w:rsid w:val="00B862A1"/>
    <w:rsid w:val="00B91434"/>
    <w:rsid w:val="00B92C52"/>
    <w:rsid w:val="00B950EB"/>
    <w:rsid w:val="00B95617"/>
    <w:rsid w:val="00B956B7"/>
    <w:rsid w:val="00B96182"/>
    <w:rsid w:val="00BA035B"/>
    <w:rsid w:val="00BA28BA"/>
    <w:rsid w:val="00BB0B2C"/>
    <w:rsid w:val="00BB205A"/>
    <w:rsid w:val="00BB2AB0"/>
    <w:rsid w:val="00BB57F6"/>
    <w:rsid w:val="00BC0673"/>
    <w:rsid w:val="00BC2532"/>
    <w:rsid w:val="00BC2F1A"/>
    <w:rsid w:val="00BC3456"/>
    <w:rsid w:val="00BC475B"/>
    <w:rsid w:val="00BC6AE2"/>
    <w:rsid w:val="00BD242F"/>
    <w:rsid w:val="00BD25E7"/>
    <w:rsid w:val="00BD5F47"/>
    <w:rsid w:val="00BE0F47"/>
    <w:rsid w:val="00BE2992"/>
    <w:rsid w:val="00BE2E2C"/>
    <w:rsid w:val="00BF1667"/>
    <w:rsid w:val="00BF16DB"/>
    <w:rsid w:val="00BF683D"/>
    <w:rsid w:val="00BF7625"/>
    <w:rsid w:val="00C01AAF"/>
    <w:rsid w:val="00C039C3"/>
    <w:rsid w:val="00C0500D"/>
    <w:rsid w:val="00C05D10"/>
    <w:rsid w:val="00C05EF3"/>
    <w:rsid w:val="00C0738B"/>
    <w:rsid w:val="00C07D67"/>
    <w:rsid w:val="00C12904"/>
    <w:rsid w:val="00C154DA"/>
    <w:rsid w:val="00C17C8A"/>
    <w:rsid w:val="00C20EAB"/>
    <w:rsid w:val="00C230EA"/>
    <w:rsid w:val="00C245E4"/>
    <w:rsid w:val="00C258B4"/>
    <w:rsid w:val="00C26A4C"/>
    <w:rsid w:val="00C3052E"/>
    <w:rsid w:val="00C3092C"/>
    <w:rsid w:val="00C31D52"/>
    <w:rsid w:val="00C341A0"/>
    <w:rsid w:val="00C3451F"/>
    <w:rsid w:val="00C41120"/>
    <w:rsid w:val="00C434FE"/>
    <w:rsid w:val="00C4389B"/>
    <w:rsid w:val="00C44BC0"/>
    <w:rsid w:val="00C461EA"/>
    <w:rsid w:val="00C469A7"/>
    <w:rsid w:val="00C5068E"/>
    <w:rsid w:val="00C5131C"/>
    <w:rsid w:val="00C548B6"/>
    <w:rsid w:val="00C5640C"/>
    <w:rsid w:val="00C56C49"/>
    <w:rsid w:val="00C572DF"/>
    <w:rsid w:val="00C57E5B"/>
    <w:rsid w:val="00C60BB2"/>
    <w:rsid w:val="00C6755D"/>
    <w:rsid w:val="00C6B061"/>
    <w:rsid w:val="00C71E1E"/>
    <w:rsid w:val="00C724AA"/>
    <w:rsid w:val="00C72C28"/>
    <w:rsid w:val="00C74E71"/>
    <w:rsid w:val="00C76B0F"/>
    <w:rsid w:val="00C77961"/>
    <w:rsid w:val="00C82121"/>
    <w:rsid w:val="00C834F5"/>
    <w:rsid w:val="00C85D8D"/>
    <w:rsid w:val="00C86006"/>
    <w:rsid w:val="00C86B9B"/>
    <w:rsid w:val="00C90B1D"/>
    <w:rsid w:val="00C92C37"/>
    <w:rsid w:val="00C931B6"/>
    <w:rsid w:val="00C94DFE"/>
    <w:rsid w:val="00C95C72"/>
    <w:rsid w:val="00C95CFA"/>
    <w:rsid w:val="00C96D88"/>
    <w:rsid w:val="00C97385"/>
    <w:rsid w:val="00CA2F44"/>
    <w:rsid w:val="00CA65CD"/>
    <w:rsid w:val="00CA674F"/>
    <w:rsid w:val="00CA7D40"/>
    <w:rsid w:val="00CB1C1F"/>
    <w:rsid w:val="00CB1F00"/>
    <w:rsid w:val="00CB5D68"/>
    <w:rsid w:val="00CB714F"/>
    <w:rsid w:val="00CB7B1C"/>
    <w:rsid w:val="00CC2268"/>
    <w:rsid w:val="00CC2883"/>
    <w:rsid w:val="00CC4BFD"/>
    <w:rsid w:val="00CC5688"/>
    <w:rsid w:val="00CC69CF"/>
    <w:rsid w:val="00CC7767"/>
    <w:rsid w:val="00CC7E2F"/>
    <w:rsid w:val="00CD04A7"/>
    <w:rsid w:val="00CD1E18"/>
    <w:rsid w:val="00CD2D4D"/>
    <w:rsid w:val="00CD67CE"/>
    <w:rsid w:val="00CE08A2"/>
    <w:rsid w:val="00CE0E2D"/>
    <w:rsid w:val="00CE1342"/>
    <w:rsid w:val="00CE2CE9"/>
    <w:rsid w:val="00CE5590"/>
    <w:rsid w:val="00CE71C4"/>
    <w:rsid w:val="00CF2215"/>
    <w:rsid w:val="00CF2B53"/>
    <w:rsid w:val="00CF407B"/>
    <w:rsid w:val="00CF499A"/>
    <w:rsid w:val="00CF6945"/>
    <w:rsid w:val="00CF6C30"/>
    <w:rsid w:val="00CF6D4E"/>
    <w:rsid w:val="00CF6F32"/>
    <w:rsid w:val="00CF7EDE"/>
    <w:rsid w:val="00CF7FF6"/>
    <w:rsid w:val="00D01A4D"/>
    <w:rsid w:val="00D02DA9"/>
    <w:rsid w:val="00D03077"/>
    <w:rsid w:val="00D042F3"/>
    <w:rsid w:val="00D0432B"/>
    <w:rsid w:val="00D05226"/>
    <w:rsid w:val="00D060FD"/>
    <w:rsid w:val="00D06F4D"/>
    <w:rsid w:val="00D10008"/>
    <w:rsid w:val="00D1364C"/>
    <w:rsid w:val="00D139BA"/>
    <w:rsid w:val="00D1472B"/>
    <w:rsid w:val="00D15FF5"/>
    <w:rsid w:val="00D20B84"/>
    <w:rsid w:val="00D24798"/>
    <w:rsid w:val="00D277F6"/>
    <w:rsid w:val="00D306F4"/>
    <w:rsid w:val="00D30E23"/>
    <w:rsid w:val="00D32171"/>
    <w:rsid w:val="00D35BFB"/>
    <w:rsid w:val="00D35EB5"/>
    <w:rsid w:val="00D3682F"/>
    <w:rsid w:val="00D37DE4"/>
    <w:rsid w:val="00D406C4"/>
    <w:rsid w:val="00D41CC5"/>
    <w:rsid w:val="00D42670"/>
    <w:rsid w:val="00D451C9"/>
    <w:rsid w:val="00D46291"/>
    <w:rsid w:val="00D5262F"/>
    <w:rsid w:val="00D52992"/>
    <w:rsid w:val="00D533D3"/>
    <w:rsid w:val="00D54753"/>
    <w:rsid w:val="00D5516B"/>
    <w:rsid w:val="00D5585B"/>
    <w:rsid w:val="00D55F36"/>
    <w:rsid w:val="00D572FD"/>
    <w:rsid w:val="00D57F3E"/>
    <w:rsid w:val="00D60C24"/>
    <w:rsid w:val="00D62C4B"/>
    <w:rsid w:val="00D64B62"/>
    <w:rsid w:val="00D710F7"/>
    <w:rsid w:val="00D71F1F"/>
    <w:rsid w:val="00D7244B"/>
    <w:rsid w:val="00D74A9E"/>
    <w:rsid w:val="00D805E3"/>
    <w:rsid w:val="00D80B45"/>
    <w:rsid w:val="00D81EAB"/>
    <w:rsid w:val="00D82D62"/>
    <w:rsid w:val="00D837B4"/>
    <w:rsid w:val="00D871CE"/>
    <w:rsid w:val="00D87A03"/>
    <w:rsid w:val="00D9021E"/>
    <w:rsid w:val="00D92DA8"/>
    <w:rsid w:val="00D950AC"/>
    <w:rsid w:val="00D95B5B"/>
    <w:rsid w:val="00DA16BE"/>
    <w:rsid w:val="00DA1726"/>
    <w:rsid w:val="00DA2322"/>
    <w:rsid w:val="00DA27CA"/>
    <w:rsid w:val="00DA4FC4"/>
    <w:rsid w:val="00DA6091"/>
    <w:rsid w:val="00DB077A"/>
    <w:rsid w:val="00DB0944"/>
    <w:rsid w:val="00DB20B6"/>
    <w:rsid w:val="00DB20ED"/>
    <w:rsid w:val="00DB4B37"/>
    <w:rsid w:val="00DB5D6C"/>
    <w:rsid w:val="00DC0F97"/>
    <w:rsid w:val="00DC3789"/>
    <w:rsid w:val="00DC42BE"/>
    <w:rsid w:val="00DC5528"/>
    <w:rsid w:val="00DC6690"/>
    <w:rsid w:val="00DC6B98"/>
    <w:rsid w:val="00DC74BE"/>
    <w:rsid w:val="00DD0DA3"/>
    <w:rsid w:val="00DD711F"/>
    <w:rsid w:val="00DE0E83"/>
    <w:rsid w:val="00DE13DE"/>
    <w:rsid w:val="00DE1439"/>
    <w:rsid w:val="00DE447A"/>
    <w:rsid w:val="00DE4C0F"/>
    <w:rsid w:val="00DE4E5A"/>
    <w:rsid w:val="00DE729A"/>
    <w:rsid w:val="00DF3C68"/>
    <w:rsid w:val="00DF4B2C"/>
    <w:rsid w:val="00DF4F58"/>
    <w:rsid w:val="00DF70F3"/>
    <w:rsid w:val="00E0453B"/>
    <w:rsid w:val="00E11DFC"/>
    <w:rsid w:val="00E12A8C"/>
    <w:rsid w:val="00E13FF0"/>
    <w:rsid w:val="00E14718"/>
    <w:rsid w:val="00E1752E"/>
    <w:rsid w:val="00E20D1E"/>
    <w:rsid w:val="00E239E2"/>
    <w:rsid w:val="00E23F74"/>
    <w:rsid w:val="00E24413"/>
    <w:rsid w:val="00E25030"/>
    <w:rsid w:val="00E25189"/>
    <w:rsid w:val="00E25992"/>
    <w:rsid w:val="00E259CB"/>
    <w:rsid w:val="00E26A2F"/>
    <w:rsid w:val="00E27767"/>
    <w:rsid w:val="00E31B68"/>
    <w:rsid w:val="00E327B8"/>
    <w:rsid w:val="00E34569"/>
    <w:rsid w:val="00E3778D"/>
    <w:rsid w:val="00E37AFE"/>
    <w:rsid w:val="00E40722"/>
    <w:rsid w:val="00E41289"/>
    <w:rsid w:val="00E43067"/>
    <w:rsid w:val="00E43E6E"/>
    <w:rsid w:val="00E446A3"/>
    <w:rsid w:val="00E44D61"/>
    <w:rsid w:val="00E46E8F"/>
    <w:rsid w:val="00E5018D"/>
    <w:rsid w:val="00E52412"/>
    <w:rsid w:val="00E54180"/>
    <w:rsid w:val="00E546C8"/>
    <w:rsid w:val="00E55010"/>
    <w:rsid w:val="00E55F53"/>
    <w:rsid w:val="00E608B0"/>
    <w:rsid w:val="00E62A4E"/>
    <w:rsid w:val="00E63C72"/>
    <w:rsid w:val="00E6470A"/>
    <w:rsid w:val="00E6581E"/>
    <w:rsid w:val="00E65AAD"/>
    <w:rsid w:val="00E67F8D"/>
    <w:rsid w:val="00E719B2"/>
    <w:rsid w:val="00E7390F"/>
    <w:rsid w:val="00E739A3"/>
    <w:rsid w:val="00E73A7A"/>
    <w:rsid w:val="00E74630"/>
    <w:rsid w:val="00E763A6"/>
    <w:rsid w:val="00E77ABF"/>
    <w:rsid w:val="00E8170F"/>
    <w:rsid w:val="00E87524"/>
    <w:rsid w:val="00E87947"/>
    <w:rsid w:val="00E912C7"/>
    <w:rsid w:val="00E921F9"/>
    <w:rsid w:val="00E92592"/>
    <w:rsid w:val="00E9448F"/>
    <w:rsid w:val="00E94EC1"/>
    <w:rsid w:val="00E95A86"/>
    <w:rsid w:val="00E965AA"/>
    <w:rsid w:val="00EA10C9"/>
    <w:rsid w:val="00EA4B70"/>
    <w:rsid w:val="00EA76BE"/>
    <w:rsid w:val="00EB0B93"/>
    <w:rsid w:val="00EB1648"/>
    <w:rsid w:val="00EB2C78"/>
    <w:rsid w:val="00EB64A1"/>
    <w:rsid w:val="00EB6AA4"/>
    <w:rsid w:val="00EC3354"/>
    <w:rsid w:val="00EC3BFD"/>
    <w:rsid w:val="00EC476A"/>
    <w:rsid w:val="00EC4FAD"/>
    <w:rsid w:val="00ED26F8"/>
    <w:rsid w:val="00ED7819"/>
    <w:rsid w:val="00EE039E"/>
    <w:rsid w:val="00EE12E0"/>
    <w:rsid w:val="00EE21B8"/>
    <w:rsid w:val="00EE4522"/>
    <w:rsid w:val="00EE479F"/>
    <w:rsid w:val="00EE5B46"/>
    <w:rsid w:val="00EE7236"/>
    <w:rsid w:val="00EF09DA"/>
    <w:rsid w:val="00EF18CD"/>
    <w:rsid w:val="00EF35DB"/>
    <w:rsid w:val="00EF6A7D"/>
    <w:rsid w:val="00EF6D51"/>
    <w:rsid w:val="00F02A5C"/>
    <w:rsid w:val="00F03078"/>
    <w:rsid w:val="00F051F9"/>
    <w:rsid w:val="00F053EF"/>
    <w:rsid w:val="00F060E3"/>
    <w:rsid w:val="00F0683C"/>
    <w:rsid w:val="00F120BF"/>
    <w:rsid w:val="00F1260B"/>
    <w:rsid w:val="00F14B19"/>
    <w:rsid w:val="00F166E7"/>
    <w:rsid w:val="00F20502"/>
    <w:rsid w:val="00F22352"/>
    <w:rsid w:val="00F24EAC"/>
    <w:rsid w:val="00F30F13"/>
    <w:rsid w:val="00F318B4"/>
    <w:rsid w:val="00F340BD"/>
    <w:rsid w:val="00F34FE8"/>
    <w:rsid w:val="00F3533E"/>
    <w:rsid w:val="00F35A27"/>
    <w:rsid w:val="00F407CD"/>
    <w:rsid w:val="00F40FAC"/>
    <w:rsid w:val="00F41C12"/>
    <w:rsid w:val="00F4416E"/>
    <w:rsid w:val="00F45FB7"/>
    <w:rsid w:val="00F50308"/>
    <w:rsid w:val="00F51C70"/>
    <w:rsid w:val="00F52310"/>
    <w:rsid w:val="00F5347B"/>
    <w:rsid w:val="00F568FA"/>
    <w:rsid w:val="00F56E69"/>
    <w:rsid w:val="00F579A6"/>
    <w:rsid w:val="00F62295"/>
    <w:rsid w:val="00F631DE"/>
    <w:rsid w:val="00F643A6"/>
    <w:rsid w:val="00F649DA"/>
    <w:rsid w:val="00F662E1"/>
    <w:rsid w:val="00F718F1"/>
    <w:rsid w:val="00F71C90"/>
    <w:rsid w:val="00F722A7"/>
    <w:rsid w:val="00F72A12"/>
    <w:rsid w:val="00F75443"/>
    <w:rsid w:val="00F76F95"/>
    <w:rsid w:val="00F85400"/>
    <w:rsid w:val="00F85426"/>
    <w:rsid w:val="00F86C56"/>
    <w:rsid w:val="00F87B1C"/>
    <w:rsid w:val="00F87C5E"/>
    <w:rsid w:val="00F90041"/>
    <w:rsid w:val="00F92DC1"/>
    <w:rsid w:val="00F9562F"/>
    <w:rsid w:val="00F956CA"/>
    <w:rsid w:val="00F9710D"/>
    <w:rsid w:val="00F979F9"/>
    <w:rsid w:val="00F97B3C"/>
    <w:rsid w:val="00FA277E"/>
    <w:rsid w:val="00FA2DC8"/>
    <w:rsid w:val="00FA7819"/>
    <w:rsid w:val="00FB0F0E"/>
    <w:rsid w:val="00FB3C93"/>
    <w:rsid w:val="00FB4FCB"/>
    <w:rsid w:val="00FB55DF"/>
    <w:rsid w:val="00FC018F"/>
    <w:rsid w:val="00FC3976"/>
    <w:rsid w:val="00FC586A"/>
    <w:rsid w:val="00FD068F"/>
    <w:rsid w:val="00FD3921"/>
    <w:rsid w:val="00FD6826"/>
    <w:rsid w:val="00FD7450"/>
    <w:rsid w:val="00FD7DF6"/>
    <w:rsid w:val="00FE109C"/>
    <w:rsid w:val="00FE766A"/>
    <w:rsid w:val="00FF1ECD"/>
    <w:rsid w:val="00FF3216"/>
    <w:rsid w:val="00FF5DE4"/>
    <w:rsid w:val="018070FD"/>
    <w:rsid w:val="01C07FEA"/>
    <w:rsid w:val="01D9387A"/>
    <w:rsid w:val="0264D5CF"/>
    <w:rsid w:val="031E6729"/>
    <w:rsid w:val="03608BC5"/>
    <w:rsid w:val="03D459DA"/>
    <w:rsid w:val="04554160"/>
    <w:rsid w:val="04852A70"/>
    <w:rsid w:val="04E7198F"/>
    <w:rsid w:val="0542E090"/>
    <w:rsid w:val="05910474"/>
    <w:rsid w:val="0658B16E"/>
    <w:rsid w:val="07201A70"/>
    <w:rsid w:val="075379AA"/>
    <w:rsid w:val="07DB17F9"/>
    <w:rsid w:val="07DE1911"/>
    <w:rsid w:val="08F96A19"/>
    <w:rsid w:val="097174C9"/>
    <w:rsid w:val="09869C2D"/>
    <w:rsid w:val="0A62F762"/>
    <w:rsid w:val="0AA423ED"/>
    <w:rsid w:val="0AC9BE49"/>
    <w:rsid w:val="0B602474"/>
    <w:rsid w:val="0BB2FF6C"/>
    <w:rsid w:val="0BFB27DB"/>
    <w:rsid w:val="0C0DEBF7"/>
    <w:rsid w:val="0E52A2D9"/>
    <w:rsid w:val="0E81943E"/>
    <w:rsid w:val="0F0278B8"/>
    <w:rsid w:val="0FE0E0B6"/>
    <w:rsid w:val="0FF6EEEE"/>
    <w:rsid w:val="101B4BC7"/>
    <w:rsid w:val="1072A721"/>
    <w:rsid w:val="10EBFDF1"/>
    <w:rsid w:val="1146BBF3"/>
    <w:rsid w:val="11BC9F98"/>
    <w:rsid w:val="11E1A7EB"/>
    <w:rsid w:val="1213A492"/>
    <w:rsid w:val="121D37F3"/>
    <w:rsid w:val="12F8BE5A"/>
    <w:rsid w:val="132FF862"/>
    <w:rsid w:val="13437E4D"/>
    <w:rsid w:val="1409327C"/>
    <w:rsid w:val="142D162D"/>
    <w:rsid w:val="145765AE"/>
    <w:rsid w:val="150B8B88"/>
    <w:rsid w:val="152173DB"/>
    <w:rsid w:val="156D7913"/>
    <w:rsid w:val="159415DB"/>
    <w:rsid w:val="168A8D4B"/>
    <w:rsid w:val="16957DA0"/>
    <w:rsid w:val="16CB1151"/>
    <w:rsid w:val="17601883"/>
    <w:rsid w:val="17F05B40"/>
    <w:rsid w:val="1831FA55"/>
    <w:rsid w:val="19F6813F"/>
    <w:rsid w:val="19FD69FC"/>
    <w:rsid w:val="1ADB7BCE"/>
    <w:rsid w:val="1AE58C66"/>
    <w:rsid w:val="1AF059CE"/>
    <w:rsid w:val="1BE6B96C"/>
    <w:rsid w:val="1C458900"/>
    <w:rsid w:val="1C6B4E3E"/>
    <w:rsid w:val="1CBEA076"/>
    <w:rsid w:val="1CD774CF"/>
    <w:rsid w:val="1DB2D9B6"/>
    <w:rsid w:val="1E01EFB1"/>
    <w:rsid w:val="1E2008F0"/>
    <w:rsid w:val="206EEEC2"/>
    <w:rsid w:val="20C29996"/>
    <w:rsid w:val="20C733FB"/>
    <w:rsid w:val="21BB885C"/>
    <w:rsid w:val="2254172C"/>
    <w:rsid w:val="226BA48E"/>
    <w:rsid w:val="22B97165"/>
    <w:rsid w:val="24E6F953"/>
    <w:rsid w:val="254E3E26"/>
    <w:rsid w:val="2580413E"/>
    <w:rsid w:val="2585CEC2"/>
    <w:rsid w:val="25AAD7EB"/>
    <w:rsid w:val="25CA5035"/>
    <w:rsid w:val="275ED740"/>
    <w:rsid w:val="2772BF9B"/>
    <w:rsid w:val="282622A4"/>
    <w:rsid w:val="2875B58B"/>
    <w:rsid w:val="2986F9B5"/>
    <w:rsid w:val="2A47B96D"/>
    <w:rsid w:val="2A77068A"/>
    <w:rsid w:val="2A911EB6"/>
    <w:rsid w:val="2ABB9637"/>
    <w:rsid w:val="2ABCC489"/>
    <w:rsid w:val="2BC15F13"/>
    <w:rsid w:val="2BEB0A00"/>
    <w:rsid w:val="2C321FFB"/>
    <w:rsid w:val="2C4EBCCE"/>
    <w:rsid w:val="2C7565A3"/>
    <w:rsid w:val="2CA6B745"/>
    <w:rsid w:val="2DEA8D2F"/>
    <w:rsid w:val="2DFCA189"/>
    <w:rsid w:val="2E24E08C"/>
    <w:rsid w:val="2F12A293"/>
    <w:rsid w:val="304EBB7C"/>
    <w:rsid w:val="308F8ACA"/>
    <w:rsid w:val="30E065B2"/>
    <w:rsid w:val="30EF9119"/>
    <w:rsid w:val="310BEDE7"/>
    <w:rsid w:val="3170DE87"/>
    <w:rsid w:val="317A7108"/>
    <w:rsid w:val="3204DFD6"/>
    <w:rsid w:val="32741E19"/>
    <w:rsid w:val="327FD3E7"/>
    <w:rsid w:val="33177C77"/>
    <w:rsid w:val="335E3FF5"/>
    <w:rsid w:val="343D74D0"/>
    <w:rsid w:val="3463E4A4"/>
    <w:rsid w:val="34778056"/>
    <w:rsid w:val="34F5C4C9"/>
    <w:rsid w:val="358D29E2"/>
    <w:rsid w:val="35AF2ED1"/>
    <w:rsid w:val="35B49B09"/>
    <w:rsid w:val="35BA42FE"/>
    <w:rsid w:val="3680AFE7"/>
    <w:rsid w:val="3727E11C"/>
    <w:rsid w:val="37ECEEFF"/>
    <w:rsid w:val="3807093A"/>
    <w:rsid w:val="396441DE"/>
    <w:rsid w:val="397931EE"/>
    <w:rsid w:val="39E07526"/>
    <w:rsid w:val="3A509A53"/>
    <w:rsid w:val="3A7D6645"/>
    <w:rsid w:val="3AF77AB4"/>
    <w:rsid w:val="3C86F42A"/>
    <w:rsid w:val="3D3C122E"/>
    <w:rsid w:val="3D92B218"/>
    <w:rsid w:val="3F467057"/>
    <w:rsid w:val="3F5CE2AA"/>
    <w:rsid w:val="3F7B7315"/>
    <w:rsid w:val="3FB54C02"/>
    <w:rsid w:val="3FD8FEDE"/>
    <w:rsid w:val="402A1779"/>
    <w:rsid w:val="411AB16C"/>
    <w:rsid w:val="41426F7A"/>
    <w:rsid w:val="41808087"/>
    <w:rsid w:val="421BD7B3"/>
    <w:rsid w:val="42CD7BC9"/>
    <w:rsid w:val="4319DF64"/>
    <w:rsid w:val="438D81A8"/>
    <w:rsid w:val="43C6D9E4"/>
    <w:rsid w:val="44A37036"/>
    <w:rsid w:val="44F4BE40"/>
    <w:rsid w:val="4509B75A"/>
    <w:rsid w:val="45A9755A"/>
    <w:rsid w:val="45B44165"/>
    <w:rsid w:val="45B6C091"/>
    <w:rsid w:val="4607E388"/>
    <w:rsid w:val="46136F36"/>
    <w:rsid w:val="46174DC8"/>
    <w:rsid w:val="46260D0B"/>
    <w:rsid w:val="467E9015"/>
    <w:rsid w:val="46FADE54"/>
    <w:rsid w:val="475894B6"/>
    <w:rsid w:val="47CC66C4"/>
    <w:rsid w:val="47D5E27B"/>
    <w:rsid w:val="487D68BD"/>
    <w:rsid w:val="4977D98D"/>
    <w:rsid w:val="49972256"/>
    <w:rsid w:val="49FAB4E0"/>
    <w:rsid w:val="49FAEE65"/>
    <w:rsid w:val="4B70F247"/>
    <w:rsid w:val="4B98C2BB"/>
    <w:rsid w:val="4C38410D"/>
    <w:rsid w:val="4CE08730"/>
    <w:rsid w:val="4D19B271"/>
    <w:rsid w:val="4DEE2859"/>
    <w:rsid w:val="4EA8CFC5"/>
    <w:rsid w:val="4EF52ED5"/>
    <w:rsid w:val="4FACA938"/>
    <w:rsid w:val="4FC403B8"/>
    <w:rsid w:val="4FF5DE8B"/>
    <w:rsid w:val="5044433F"/>
    <w:rsid w:val="50AA9CCC"/>
    <w:rsid w:val="51B55A35"/>
    <w:rsid w:val="534A7035"/>
    <w:rsid w:val="53DD8D31"/>
    <w:rsid w:val="540B2891"/>
    <w:rsid w:val="543F958C"/>
    <w:rsid w:val="55003B1E"/>
    <w:rsid w:val="553A80E7"/>
    <w:rsid w:val="554858C8"/>
    <w:rsid w:val="558EE4F2"/>
    <w:rsid w:val="56FAB246"/>
    <w:rsid w:val="5881FB88"/>
    <w:rsid w:val="59A2662D"/>
    <w:rsid w:val="5A2B8357"/>
    <w:rsid w:val="5CE1F6FF"/>
    <w:rsid w:val="5DA71BD1"/>
    <w:rsid w:val="5E03E75C"/>
    <w:rsid w:val="5F2C7F47"/>
    <w:rsid w:val="5F34AF4D"/>
    <w:rsid w:val="5F5348A8"/>
    <w:rsid w:val="5F8ECABB"/>
    <w:rsid w:val="5FA99714"/>
    <w:rsid w:val="5FB0C1C3"/>
    <w:rsid w:val="6016083E"/>
    <w:rsid w:val="603BA9CD"/>
    <w:rsid w:val="609228AD"/>
    <w:rsid w:val="60EF1CE3"/>
    <w:rsid w:val="61186B06"/>
    <w:rsid w:val="618E02EF"/>
    <w:rsid w:val="623F17B1"/>
    <w:rsid w:val="6245D2F1"/>
    <w:rsid w:val="62B54AEB"/>
    <w:rsid w:val="631D9D58"/>
    <w:rsid w:val="64BF8D59"/>
    <w:rsid w:val="64E55297"/>
    <w:rsid w:val="65B62A4E"/>
    <w:rsid w:val="66182600"/>
    <w:rsid w:val="6744EE61"/>
    <w:rsid w:val="6764FDB6"/>
    <w:rsid w:val="676B390B"/>
    <w:rsid w:val="6825DBA8"/>
    <w:rsid w:val="68309FF4"/>
    <w:rsid w:val="686CBDED"/>
    <w:rsid w:val="687031F6"/>
    <w:rsid w:val="68E7E3FA"/>
    <w:rsid w:val="6957A0CC"/>
    <w:rsid w:val="698D4E65"/>
    <w:rsid w:val="69930AE3"/>
    <w:rsid w:val="6A93A73F"/>
    <w:rsid w:val="6AA3F11A"/>
    <w:rsid w:val="6B8AE942"/>
    <w:rsid w:val="6CE7CD1D"/>
    <w:rsid w:val="6CFDDBE8"/>
    <w:rsid w:val="6D34C508"/>
    <w:rsid w:val="6D8CC989"/>
    <w:rsid w:val="6DA456EB"/>
    <w:rsid w:val="6E337C4D"/>
    <w:rsid w:val="6E466DB1"/>
    <w:rsid w:val="6EA15E7A"/>
    <w:rsid w:val="6F1278AC"/>
    <w:rsid w:val="6F6DF494"/>
    <w:rsid w:val="6FCA0EA6"/>
    <w:rsid w:val="6FF7B2F9"/>
    <w:rsid w:val="70B2C5C3"/>
    <w:rsid w:val="70CB166D"/>
    <w:rsid w:val="71000E03"/>
    <w:rsid w:val="71A34F72"/>
    <w:rsid w:val="72161F8F"/>
    <w:rsid w:val="7219C33E"/>
    <w:rsid w:val="7264A7AF"/>
    <w:rsid w:val="7291E5BD"/>
    <w:rsid w:val="7397A31C"/>
    <w:rsid w:val="74135D56"/>
    <w:rsid w:val="7434CC58"/>
    <w:rsid w:val="755040DD"/>
    <w:rsid w:val="7552C8A7"/>
    <w:rsid w:val="76B5441C"/>
    <w:rsid w:val="76BB2CF4"/>
    <w:rsid w:val="76CF4C75"/>
    <w:rsid w:val="77399BFC"/>
    <w:rsid w:val="7776C785"/>
    <w:rsid w:val="779DE43D"/>
    <w:rsid w:val="77E99C81"/>
    <w:rsid w:val="77EFC0EB"/>
    <w:rsid w:val="7836E868"/>
    <w:rsid w:val="797608B5"/>
    <w:rsid w:val="79B6007C"/>
    <w:rsid w:val="7A745721"/>
    <w:rsid w:val="7ADAEFC0"/>
    <w:rsid w:val="7B3887D0"/>
    <w:rsid w:val="7B8017BF"/>
    <w:rsid w:val="7C57DCB9"/>
    <w:rsid w:val="7C9C95D0"/>
    <w:rsid w:val="7CA2D58A"/>
    <w:rsid w:val="7CAEBC7F"/>
    <w:rsid w:val="7D687120"/>
    <w:rsid w:val="7DEF66E5"/>
    <w:rsid w:val="7FDA3AC1"/>
    <w:rsid w:val="7FE87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210F7"/>
  <w15:docId w15:val="{A65C0525-13FB-4F48-B53D-7A9BF84D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06A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semiHidden/>
    <w:unhideWhenUsed/>
    <w:qFormat/>
    <w:rsid w:val="00517930"/>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semiHidden/>
    <w:rsid w:val="0051793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8921CE"/>
    <w:pPr>
      <w:ind w:left="720"/>
      <w:contextualSpacing/>
    </w:p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8921C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E189F"/>
    <w:rPr>
      <w:color w:val="0000FF" w:themeColor="hyperlink"/>
      <w:u w:val="single"/>
    </w:rPr>
  </w:style>
  <w:style w:type="character" w:styleId="Perirtashipersaitas">
    <w:name w:val="FollowedHyperlink"/>
    <w:basedOn w:val="Numatytasispastraiposriftas"/>
    <w:uiPriority w:val="99"/>
    <w:semiHidden/>
    <w:unhideWhenUsed/>
    <w:rsid w:val="009242E2"/>
    <w:rPr>
      <w:color w:val="800080" w:themeColor="followedHyperlink"/>
      <w:u w:val="single"/>
    </w:rPr>
  </w:style>
  <w:style w:type="paragraph" w:styleId="Antrats">
    <w:name w:val="header"/>
    <w:basedOn w:val="prastasis"/>
    <w:link w:val="AntratsDiagrama"/>
    <w:uiPriority w:val="99"/>
    <w:unhideWhenUsed/>
    <w:rsid w:val="00256883"/>
    <w:pPr>
      <w:tabs>
        <w:tab w:val="center" w:pos="4819"/>
        <w:tab w:val="right" w:pos="9638"/>
      </w:tabs>
    </w:pPr>
  </w:style>
  <w:style w:type="character" w:customStyle="1" w:styleId="AntratsDiagrama">
    <w:name w:val="Antraštės Diagrama"/>
    <w:basedOn w:val="Numatytasispastraiposriftas"/>
    <w:link w:val="Antrats"/>
    <w:uiPriority w:val="99"/>
    <w:rsid w:val="0025688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56883"/>
    <w:pPr>
      <w:tabs>
        <w:tab w:val="center" w:pos="4819"/>
        <w:tab w:val="right" w:pos="9638"/>
      </w:tabs>
    </w:pPr>
  </w:style>
  <w:style w:type="character" w:customStyle="1" w:styleId="PoratDiagrama">
    <w:name w:val="Poraštė Diagrama"/>
    <w:basedOn w:val="Numatytasispastraiposriftas"/>
    <w:link w:val="Porat"/>
    <w:uiPriority w:val="99"/>
    <w:rsid w:val="0025688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1B4E74"/>
    <w:pPr>
      <w:spacing w:before="100" w:beforeAutospacing="1" w:after="100" w:afterAutospacing="1"/>
    </w:pPr>
    <w:rPr>
      <w:szCs w:val="24"/>
      <w:lang w:eastAsia="lt-LT"/>
    </w:rPr>
  </w:style>
  <w:style w:type="character" w:customStyle="1" w:styleId="st">
    <w:name w:val="st"/>
    <w:basedOn w:val="Numatytasispastraiposriftas"/>
    <w:rsid w:val="00456F3A"/>
  </w:style>
  <w:style w:type="character" w:styleId="Emfaz">
    <w:name w:val="Emphasis"/>
    <w:basedOn w:val="Numatytasispastraiposriftas"/>
    <w:uiPriority w:val="20"/>
    <w:qFormat/>
    <w:rsid w:val="00456F3A"/>
    <w:rPr>
      <w:i/>
      <w:iCs/>
    </w:rPr>
  </w:style>
  <w:style w:type="paragraph" w:styleId="Pataisymai">
    <w:name w:val="Revision"/>
    <w:hidden/>
    <w:uiPriority w:val="99"/>
    <w:semiHidden/>
    <w:rsid w:val="007765F8"/>
    <w:pPr>
      <w:spacing w:after="0" w:line="240" w:lineRule="auto"/>
    </w:pPr>
    <w:rPr>
      <w:rFonts w:ascii="Times New Roman" w:eastAsia="Times New Roman" w:hAnsi="Times New Roman" w:cs="Times New Roman"/>
      <w:sz w:val="24"/>
      <w:szCs w:val="20"/>
    </w:rPr>
  </w:style>
  <w:style w:type="character" w:customStyle="1" w:styleId="acopre">
    <w:name w:val="acopre"/>
    <w:basedOn w:val="Numatytasispastraiposriftas"/>
    <w:rsid w:val="00FB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4202">
      <w:bodyDiv w:val="1"/>
      <w:marLeft w:val="0"/>
      <w:marRight w:val="0"/>
      <w:marTop w:val="0"/>
      <w:marBottom w:val="0"/>
      <w:divBdr>
        <w:top w:val="none" w:sz="0" w:space="0" w:color="auto"/>
        <w:left w:val="none" w:sz="0" w:space="0" w:color="auto"/>
        <w:bottom w:val="none" w:sz="0" w:space="0" w:color="auto"/>
        <w:right w:val="none" w:sz="0" w:space="0" w:color="auto"/>
      </w:divBdr>
    </w:div>
    <w:div w:id="167402003">
      <w:bodyDiv w:val="1"/>
      <w:marLeft w:val="0"/>
      <w:marRight w:val="0"/>
      <w:marTop w:val="0"/>
      <w:marBottom w:val="0"/>
      <w:divBdr>
        <w:top w:val="none" w:sz="0" w:space="0" w:color="auto"/>
        <w:left w:val="none" w:sz="0" w:space="0" w:color="auto"/>
        <w:bottom w:val="none" w:sz="0" w:space="0" w:color="auto"/>
        <w:right w:val="none" w:sz="0" w:space="0" w:color="auto"/>
      </w:divBdr>
    </w:div>
    <w:div w:id="217864328">
      <w:bodyDiv w:val="1"/>
      <w:marLeft w:val="0"/>
      <w:marRight w:val="0"/>
      <w:marTop w:val="0"/>
      <w:marBottom w:val="0"/>
      <w:divBdr>
        <w:top w:val="none" w:sz="0" w:space="0" w:color="auto"/>
        <w:left w:val="none" w:sz="0" w:space="0" w:color="auto"/>
        <w:bottom w:val="none" w:sz="0" w:space="0" w:color="auto"/>
        <w:right w:val="none" w:sz="0" w:space="0" w:color="auto"/>
      </w:divBdr>
      <w:divsChild>
        <w:div w:id="1703552126">
          <w:marLeft w:val="0"/>
          <w:marRight w:val="0"/>
          <w:marTop w:val="0"/>
          <w:marBottom w:val="0"/>
          <w:divBdr>
            <w:top w:val="none" w:sz="0" w:space="0" w:color="auto"/>
            <w:left w:val="none" w:sz="0" w:space="0" w:color="auto"/>
            <w:bottom w:val="none" w:sz="0" w:space="0" w:color="auto"/>
            <w:right w:val="none" w:sz="0" w:space="0" w:color="auto"/>
          </w:divBdr>
          <w:divsChild>
            <w:div w:id="717054225">
              <w:marLeft w:val="0"/>
              <w:marRight w:val="0"/>
              <w:marTop w:val="0"/>
              <w:marBottom w:val="0"/>
              <w:divBdr>
                <w:top w:val="none" w:sz="0" w:space="0" w:color="auto"/>
                <w:left w:val="none" w:sz="0" w:space="0" w:color="auto"/>
                <w:bottom w:val="none" w:sz="0" w:space="0" w:color="auto"/>
                <w:right w:val="none" w:sz="0" w:space="0" w:color="auto"/>
              </w:divBdr>
              <w:divsChild>
                <w:div w:id="1707482375">
                  <w:marLeft w:val="0"/>
                  <w:marRight w:val="0"/>
                  <w:marTop w:val="0"/>
                  <w:marBottom w:val="0"/>
                  <w:divBdr>
                    <w:top w:val="none" w:sz="0" w:space="0" w:color="auto"/>
                    <w:left w:val="none" w:sz="0" w:space="0" w:color="auto"/>
                    <w:bottom w:val="none" w:sz="0" w:space="0" w:color="auto"/>
                    <w:right w:val="none" w:sz="0" w:space="0" w:color="auto"/>
                  </w:divBdr>
                  <w:divsChild>
                    <w:div w:id="94133541">
                      <w:marLeft w:val="0"/>
                      <w:marRight w:val="0"/>
                      <w:marTop w:val="0"/>
                      <w:marBottom w:val="0"/>
                      <w:divBdr>
                        <w:top w:val="none" w:sz="0" w:space="0" w:color="auto"/>
                        <w:left w:val="none" w:sz="0" w:space="0" w:color="auto"/>
                        <w:bottom w:val="none" w:sz="0" w:space="0" w:color="auto"/>
                        <w:right w:val="none" w:sz="0" w:space="0" w:color="auto"/>
                      </w:divBdr>
                      <w:divsChild>
                        <w:div w:id="5612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283815">
      <w:bodyDiv w:val="1"/>
      <w:marLeft w:val="0"/>
      <w:marRight w:val="0"/>
      <w:marTop w:val="0"/>
      <w:marBottom w:val="0"/>
      <w:divBdr>
        <w:top w:val="none" w:sz="0" w:space="0" w:color="auto"/>
        <w:left w:val="none" w:sz="0" w:space="0" w:color="auto"/>
        <w:bottom w:val="none" w:sz="0" w:space="0" w:color="auto"/>
        <w:right w:val="none" w:sz="0" w:space="0" w:color="auto"/>
      </w:divBdr>
    </w:div>
    <w:div w:id="262764885">
      <w:bodyDiv w:val="1"/>
      <w:marLeft w:val="0"/>
      <w:marRight w:val="0"/>
      <w:marTop w:val="0"/>
      <w:marBottom w:val="0"/>
      <w:divBdr>
        <w:top w:val="none" w:sz="0" w:space="0" w:color="auto"/>
        <w:left w:val="none" w:sz="0" w:space="0" w:color="auto"/>
        <w:bottom w:val="none" w:sz="0" w:space="0" w:color="auto"/>
        <w:right w:val="none" w:sz="0" w:space="0" w:color="auto"/>
      </w:divBdr>
    </w:div>
    <w:div w:id="265234722">
      <w:bodyDiv w:val="1"/>
      <w:marLeft w:val="0"/>
      <w:marRight w:val="0"/>
      <w:marTop w:val="0"/>
      <w:marBottom w:val="0"/>
      <w:divBdr>
        <w:top w:val="none" w:sz="0" w:space="0" w:color="auto"/>
        <w:left w:val="none" w:sz="0" w:space="0" w:color="auto"/>
        <w:bottom w:val="none" w:sz="0" w:space="0" w:color="auto"/>
        <w:right w:val="none" w:sz="0" w:space="0" w:color="auto"/>
      </w:divBdr>
    </w:div>
    <w:div w:id="342709877">
      <w:bodyDiv w:val="1"/>
      <w:marLeft w:val="0"/>
      <w:marRight w:val="0"/>
      <w:marTop w:val="0"/>
      <w:marBottom w:val="0"/>
      <w:divBdr>
        <w:top w:val="none" w:sz="0" w:space="0" w:color="auto"/>
        <w:left w:val="none" w:sz="0" w:space="0" w:color="auto"/>
        <w:bottom w:val="none" w:sz="0" w:space="0" w:color="auto"/>
        <w:right w:val="none" w:sz="0" w:space="0" w:color="auto"/>
      </w:divBdr>
    </w:div>
    <w:div w:id="357583485">
      <w:bodyDiv w:val="1"/>
      <w:marLeft w:val="0"/>
      <w:marRight w:val="0"/>
      <w:marTop w:val="0"/>
      <w:marBottom w:val="0"/>
      <w:divBdr>
        <w:top w:val="none" w:sz="0" w:space="0" w:color="auto"/>
        <w:left w:val="none" w:sz="0" w:space="0" w:color="auto"/>
        <w:bottom w:val="none" w:sz="0" w:space="0" w:color="auto"/>
        <w:right w:val="none" w:sz="0" w:space="0" w:color="auto"/>
      </w:divBdr>
    </w:div>
    <w:div w:id="475877985">
      <w:bodyDiv w:val="1"/>
      <w:marLeft w:val="0"/>
      <w:marRight w:val="0"/>
      <w:marTop w:val="0"/>
      <w:marBottom w:val="0"/>
      <w:divBdr>
        <w:top w:val="none" w:sz="0" w:space="0" w:color="auto"/>
        <w:left w:val="none" w:sz="0" w:space="0" w:color="auto"/>
        <w:bottom w:val="none" w:sz="0" w:space="0" w:color="auto"/>
        <w:right w:val="none" w:sz="0" w:space="0" w:color="auto"/>
      </w:divBdr>
    </w:div>
    <w:div w:id="493765620">
      <w:bodyDiv w:val="1"/>
      <w:marLeft w:val="0"/>
      <w:marRight w:val="0"/>
      <w:marTop w:val="0"/>
      <w:marBottom w:val="0"/>
      <w:divBdr>
        <w:top w:val="none" w:sz="0" w:space="0" w:color="auto"/>
        <w:left w:val="none" w:sz="0" w:space="0" w:color="auto"/>
        <w:bottom w:val="none" w:sz="0" w:space="0" w:color="auto"/>
        <w:right w:val="none" w:sz="0" w:space="0" w:color="auto"/>
      </w:divBdr>
    </w:div>
    <w:div w:id="535696269">
      <w:bodyDiv w:val="1"/>
      <w:marLeft w:val="0"/>
      <w:marRight w:val="0"/>
      <w:marTop w:val="0"/>
      <w:marBottom w:val="0"/>
      <w:divBdr>
        <w:top w:val="none" w:sz="0" w:space="0" w:color="auto"/>
        <w:left w:val="none" w:sz="0" w:space="0" w:color="auto"/>
        <w:bottom w:val="none" w:sz="0" w:space="0" w:color="auto"/>
        <w:right w:val="none" w:sz="0" w:space="0" w:color="auto"/>
      </w:divBdr>
    </w:div>
    <w:div w:id="536699920">
      <w:bodyDiv w:val="1"/>
      <w:marLeft w:val="0"/>
      <w:marRight w:val="0"/>
      <w:marTop w:val="0"/>
      <w:marBottom w:val="0"/>
      <w:divBdr>
        <w:top w:val="none" w:sz="0" w:space="0" w:color="auto"/>
        <w:left w:val="none" w:sz="0" w:space="0" w:color="auto"/>
        <w:bottom w:val="none" w:sz="0" w:space="0" w:color="auto"/>
        <w:right w:val="none" w:sz="0" w:space="0" w:color="auto"/>
      </w:divBdr>
    </w:div>
    <w:div w:id="637226305">
      <w:bodyDiv w:val="1"/>
      <w:marLeft w:val="0"/>
      <w:marRight w:val="0"/>
      <w:marTop w:val="0"/>
      <w:marBottom w:val="0"/>
      <w:divBdr>
        <w:top w:val="none" w:sz="0" w:space="0" w:color="auto"/>
        <w:left w:val="none" w:sz="0" w:space="0" w:color="auto"/>
        <w:bottom w:val="none" w:sz="0" w:space="0" w:color="auto"/>
        <w:right w:val="none" w:sz="0" w:space="0" w:color="auto"/>
      </w:divBdr>
    </w:div>
    <w:div w:id="696002765">
      <w:bodyDiv w:val="1"/>
      <w:marLeft w:val="0"/>
      <w:marRight w:val="0"/>
      <w:marTop w:val="0"/>
      <w:marBottom w:val="0"/>
      <w:divBdr>
        <w:top w:val="none" w:sz="0" w:space="0" w:color="auto"/>
        <w:left w:val="none" w:sz="0" w:space="0" w:color="auto"/>
        <w:bottom w:val="none" w:sz="0" w:space="0" w:color="auto"/>
        <w:right w:val="none" w:sz="0" w:space="0" w:color="auto"/>
      </w:divBdr>
    </w:div>
    <w:div w:id="714087325">
      <w:bodyDiv w:val="1"/>
      <w:marLeft w:val="0"/>
      <w:marRight w:val="0"/>
      <w:marTop w:val="0"/>
      <w:marBottom w:val="0"/>
      <w:divBdr>
        <w:top w:val="none" w:sz="0" w:space="0" w:color="auto"/>
        <w:left w:val="none" w:sz="0" w:space="0" w:color="auto"/>
        <w:bottom w:val="none" w:sz="0" w:space="0" w:color="auto"/>
        <w:right w:val="none" w:sz="0" w:space="0" w:color="auto"/>
      </w:divBdr>
    </w:div>
    <w:div w:id="731925498">
      <w:bodyDiv w:val="1"/>
      <w:marLeft w:val="0"/>
      <w:marRight w:val="0"/>
      <w:marTop w:val="0"/>
      <w:marBottom w:val="0"/>
      <w:divBdr>
        <w:top w:val="none" w:sz="0" w:space="0" w:color="auto"/>
        <w:left w:val="none" w:sz="0" w:space="0" w:color="auto"/>
        <w:bottom w:val="none" w:sz="0" w:space="0" w:color="auto"/>
        <w:right w:val="none" w:sz="0" w:space="0" w:color="auto"/>
      </w:divBdr>
    </w:div>
    <w:div w:id="741760839">
      <w:bodyDiv w:val="1"/>
      <w:marLeft w:val="0"/>
      <w:marRight w:val="0"/>
      <w:marTop w:val="0"/>
      <w:marBottom w:val="0"/>
      <w:divBdr>
        <w:top w:val="none" w:sz="0" w:space="0" w:color="auto"/>
        <w:left w:val="none" w:sz="0" w:space="0" w:color="auto"/>
        <w:bottom w:val="none" w:sz="0" w:space="0" w:color="auto"/>
        <w:right w:val="none" w:sz="0" w:space="0" w:color="auto"/>
      </w:divBdr>
    </w:div>
    <w:div w:id="856039485">
      <w:bodyDiv w:val="1"/>
      <w:marLeft w:val="0"/>
      <w:marRight w:val="0"/>
      <w:marTop w:val="0"/>
      <w:marBottom w:val="0"/>
      <w:divBdr>
        <w:top w:val="none" w:sz="0" w:space="0" w:color="auto"/>
        <w:left w:val="none" w:sz="0" w:space="0" w:color="auto"/>
        <w:bottom w:val="none" w:sz="0" w:space="0" w:color="auto"/>
        <w:right w:val="none" w:sz="0" w:space="0" w:color="auto"/>
      </w:divBdr>
    </w:div>
    <w:div w:id="857043493">
      <w:bodyDiv w:val="1"/>
      <w:marLeft w:val="0"/>
      <w:marRight w:val="0"/>
      <w:marTop w:val="0"/>
      <w:marBottom w:val="0"/>
      <w:divBdr>
        <w:top w:val="none" w:sz="0" w:space="0" w:color="auto"/>
        <w:left w:val="none" w:sz="0" w:space="0" w:color="auto"/>
        <w:bottom w:val="none" w:sz="0" w:space="0" w:color="auto"/>
        <w:right w:val="none" w:sz="0" w:space="0" w:color="auto"/>
      </w:divBdr>
    </w:div>
    <w:div w:id="913931785">
      <w:bodyDiv w:val="1"/>
      <w:marLeft w:val="0"/>
      <w:marRight w:val="0"/>
      <w:marTop w:val="0"/>
      <w:marBottom w:val="0"/>
      <w:divBdr>
        <w:top w:val="none" w:sz="0" w:space="0" w:color="auto"/>
        <w:left w:val="none" w:sz="0" w:space="0" w:color="auto"/>
        <w:bottom w:val="none" w:sz="0" w:space="0" w:color="auto"/>
        <w:right w:val="none" w:sz="0" w:space="0" w:color="auto"/>
      </w:divBdr>
    </w:div>
    <w:div w:id="915163934">
      <w:bodyDiv w:val="1"/>
      <w:marLeft w:val="0"/>
      <w:marRight w:val="0"/>
      <w:marTop w:val="0"/>
      <w:marBottom w:val="0"/>
      <w:divBdr>
        <w:top w:val="none" w:sz="0" w:space="0" w:color="auto"/>
        <w:left w:val="none" w:sz="0" w:space="0" w:color="auto"/>
        <w:bottom w:val="none" w:sz="0" w:space="0" w:color="auto"/>
        <w:right w:val="none" w:sz="0" w:space="0" w:color="auto"/>
      </w:divBdr>
    </w:div>
    <w:div w:id="1379547768">
      <w:bodyDiv w:val="1"/>
      <w:marLeft w:val="0"/>
      <w:marRight w:val="0"/>
      <w:marTop w:val="0"/>
      <w:marBottom w:val="0"/>
      <w:divBdr>
        <w:top w:val="none" w:sz="0" w:space="0" w:color="auto"/>
        <w:left w:val="none" w:sz="0" w:space="0" w:color="auto"/>
        <w:bottom w:val="none" w:sz="0" w:space="0" w:color="auto"/>
        <w:right w:val="none" w:sz="0" w:space="0" w:color="auto"/>
      </w:divBdr>
    </w:div>
    <w:div w:id="1390375108">
      <w:bodyDiv w:val="1"/>
      <w:marLeft w:val="0"/>
      <w:marRight w:val="0"/>
      <w:marTop w:val="0"/>
      <w:marBottom w:val="0"/>
      <w:divBdr>
        <w:top w:val="none" w:sz="0" w:space="0" w:color="auto"/>
        <w:left w:val="none" w:sz="0" w:space="0" w:color="auto"/>
        <w:bottom w:val="none" w:sz="0" w:space="0" w:color="auto"/>
        <w:right w:val="none" w:sz="0" w:space="0" w:color="auto"/>
      </w:divBdr>
    </w:div>
    <w:div w:id="1538620681">
      <w:bodyDiv w:val="1"/>
      <w:marLeft w:val="0"/>
      <w:marRight w:val="0"/>
      <w:marTop w:val="0"/>
      <w:marBottom w:val="0"/>
      <w:divBdr>
        <w:top w:val="none" w:sz="0" w:space="0" w:color="auto"/>
        <w:left w:val="none" w:sz="0" w:space="0" w:color="auto"/>
        <w:bottom w:val="none" w:sz="0" w:space="0" w:color="auto"/>
        <w:right w:val="none" w:sz="0" w:space="0" w:color="auto"/>
      </w:divBdr>
    </w:div>
    <w:div w:id="1607233062">
      <w:bodyDiv w:val="1"/>
      <w:marLeft w:val="0"/>
      <w:marRight w:val="0"/>
      <w:marTop w:val="0"/>
      <w:marBottom w:val="0"/>
      <w:divBdr>
        <w:top w:val="none" w:sz="0" w:space="0" w:color="auto"/>
        <w:left w:val="none" w:sz="0" w:space="0" w:color="auto"/>
        <w:bottom w:val="none" w:sz="0" w:space="0" w:color="auto"/>
        <w:right w:val="none" w:sz="0" w:space="0" w:color="auto"/>
      </w:divBdr>
    </w:div>
    <w:div w:id="1654721700">
      <w:bodyDiv w:val="1"/>
      <w:marLeft w:val="0"/>
      <w:marRight w:val="0"/>
      <w:marTop w:val="0"/>
      <w:marBottom w:val="0"/>
      <w:divBdr>
        <w:top w:val="none" w:sz="0" w:space="0" w:color="auto"/>
        <w:left w:val="none" w:sz="0" w:space="0" w:color="auto"/>
        <w:bottom w:val="none" w:sz="0" w:space="0" w:color="auto"/>
        <w:right w:val="none" w:sz="0" w:space="0" w:color="auto"/>
      </w:divBdr>
    </w:div>
    <w:div w:id="1666736874">
      <w:bodyDiv w:val="1"/>
      <w:marLeft w:val="0"/>
      <w:marRight w:val="0"/>
      <w:marTop w:val="0"/>
      <w:marBottom w:val="0"/>
      <w:divBdr>
        <w:top w:val="none" w:sz="0" w:space="0" w:color="auto"/>
        <w:left w:val="none" w:sz="0" w:space="0" w:color="auto"/>
        <w:bottom w:val="none" w:sz="0" w:space="0" w:color="auto"/>
        <w:right w:val="none" w:sz="0" w:space="0" w:color="auto"/>
      </w:divBdr>
    </w:div>
    <w:div w:id="1772508483">
      <w:bodyDiv w:val="1"/>
      <w:marLeft w:val="0"/>
      <w:marRight w:val="0"/>
      <w:marTop w:val="0"/>
      <w:marBottom w:val="0"/>
      <w:divBdr>
        <w:top w:val="none" w:sz="0" w:space="0" w:color="auto"/>
        <w:left w:val="none" w:sz="0" w:space="0" w:color="auto"/>
        <w:bottom w:val="none" w:sz="0" w:space="0" w:color="auto"/>
        <w:right w:val="none" w:sz="0" w:space="0" w:color="auto"/>
      </w:divBdr>
    </w:div>
    <w:div w:id="1839005816">
      <w:bodyDiv w:val="1"/>
      <w:marLeft w:val="0"/>
      <w:marRight w:val="0"/>
      <w:marTop w:val="0"/>
      <w:marBottom w:val="0"/>
      <w:divBdr>
        <w:top w:val="none" w:sz="0" w:space="0" w:color="auto"/>
        <w:left w:val="none" w:sz="0" w:space="0" w:color="auto"/>
        <w:bottom w:val="none" w:sz="0" w:space="0" w:color="auto"/>
        <w:right w:val="none" w:sz="0" w:space="0" w:color="auto"/>
      </w:divBdr>
    </w:div>
    <w:div w:id="1905096735">
      <w:bodyDiv w:val="1"/>
      <w:marLeft w:val="0"/>
      <w:marRight w:val="0"/>
      <w:marTop w:val="0"/>
      <w:marBottom w:val="0"/>
      <w:divBdr>
        <w:top w:val="none" w:sz="0" w:space="0" w:color="auto"/>
        <w:left w:val="none" w:sz="0" w:space="0" w:color="auto"/>
        <w:bottom w:val="none" w:sz="0" w:space="0" w:color="auto"/>
        <w:right w:val="none" w:sz="0" w:space="0" w:color="auto"/>
      </w:divBdr>
      <w:divsChild>
        <w:div w:id="184908581">
          <w:marLeft w:val="605"/>
          <w:marRight w:val="0"/>
          <w:marTop w:val="0"/>
          <w:marBottom w:val="0"/>
          <w:divBdr>
            <w:top w:val="none" w:sz="0" w:space="0" w:color="auto"/>
            <w:left w:val="none" w:sz="0" w:space="0" w:color="auto"/>
            <w:bottom w:val="none" w:sz="0" w:space="0" w:color="auto"/>
            <w:right w:val="none" w:sz="0" w:space="0" w:color="auto"/>
          </w:divBdr>
        </w:div>
      </w:divsChild>
    </w:div>
    <w:div w:id="1966957889">
      <w:bodyDiv w:val="1"/>
      <w:marLeft w:val="0"/>
      <w:marRight w:val="0"/>
      <w:marTop w:val="0"/>
      <w:marBottom w:val="0"/>
      <w:divBdr>
        <w:top w:val="none" w:sz="0" w:space="0" w:color="auto"/>
        <w:left w:val="none" w:sz="0" w:space="0" w:color="auto"/>
        <w:bottom w:val="none" w:sz="0" w:space="0" w:color="auto"/>
        <w:right w:val="none" w:sz="0" w:space="0" w:color="auto"/>
      </w:divBdr>
    </w:div>
    <w:div w:id="2001959676">
      <w:bodyDiv w:val="1"/>
      <w:marLeft w:val="0"/>
      <w:marRight w:val="0"/>
      <w:marTop w:val="0"/>
      <w:marBottom w:val="0"/>
      <w:divBdr>
        <w:top w:val="none" w:sz="0" w:space="0" w:color="auto"/>
        <w:left w:val="none" w:sz="0" w:space="0" w:color="auto"/>
        <w:bottom w:val="none" w:sz="0" w:space="0" w:color="auto"/>
        <w:right w:val="none" w:sz="0" w:space="0" w:color="auto"/>
      </w:divBdr>
    </w:div>
    <w:div w:id="2060470327">
      <w:bodyDiv w:val="1"/>
      <w:marLeft w:val="0"/>
      <w:marRight w:val="0"/>
      <w:marTop w:val="0"/>
      <w:marBottom w:val="0"/>
      <w:divBdr>
        <w:top w:val="none" w:sz="0" w:space="0" w:color="auto"/>
        <w:left w:val="none" w:sz="0" w:space="0" w:color="auto"/>
        <w:bottom w:val="none" w:sz="0" w:space="0" w:color="auto"/>
        <w:right w:val="none" w:sz="0" w:space="0" w:color="auto"/>
      </w:divBdr>
    </w:div>
    <w:div w:id="21062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appsso.eurostat.ec.europa.eu/nui/show.do?dataset=rd_p_perslf&amp;lang=en"
                 TargetMode="External"
                 Type="http://schemas.openxmlformats.org/officeDocument/2006/relationships/hyperlink"/>
   <Relationship Id="rId10"
                 Target="https://appsso.eurostat.ec.europa.eu/nui/show.do?dataset=rd_e_gerdfund&amp;lang=en"
                 TargetMode="External"
                 Type="http://schemas.openxmlformats.org/officeDocument/2006/relationships/hyperlink"/>
   <Relationship Id="rId11" Target="https://www.more3.eu/online-indicator-tool?view=deliver"
                 TargetMode="External"
                 Type="http://schemas.openxmlformats.org/officeDocument/2006/relationships/hyperlink"/>
   <Relationship Id="rId12" Target="https://www.more3.eu/online-indicator-tool?view=deliver"
                 TargetMode="External"
                 Type="http://schemas.openxmlformats.org/officeDocument/2006/relationships/hyperlink"/>
   <Relationship Id="rId13"
                 Target="https://appsso.eurostat.ec.europa.eu/nui/show.do?dataset=educ_uoe_grad02&amp;lang=en"
                 TargetMode="External"
                 Type="http://schemas.openxmlformats.org/officeDocument/2006/relationships/hyperlink"/>
   <Relationship Id="rId14" Target="https://www.more3.eu/online-indicator-tool?view=deliver"
                 TargetMode="External"
                 Type="http://schemas.openxmlformats.org/officeDocument/2006/relationships/hyperlink"/>
   <Relationship Id="rId15" Target="https://www.more3.eu/online-indicator-tool?view=deliver"
                 TargetMode="External"
                 Type="http://schemas.openxmlformats.org/officeDocument/2006/relationships/hyperlink"/>
   <Relationship Id="rId16" Target="https://www.more3.eu/online-indicator-tool?view=deliver"
                 TargetMode="External"
                 Type="http://schemas.openxmlformats.org/officeDocument/2006/relationships/hyperlink"/>
   <Relationship Id="rId17" Target="https://www.more3.eu/online-indicator-tool?view=deliver"
                 TargetMode="External"
                 Type="http://schemas.openxmlformats.org/officeDocument/2006/relationships/hyperlink"/>
   <Relationship Id="rId18" Target="https://ec.europa.eu/docsroom/documents/41864"
                 TargetMode="External"
                 Type="http://schemas.openxmlformats.org/officeDocument/2006/relationships/hyperlink"/>
   <Relationship Id="rId19" Target="https://www.more3.eu/online-indicator-tool?view=deliver"
                 TargetMode="External"
                 Type="http://schemas.openxmlformats.org/officeDocument/2006/relationships/hyperlink"/>
   <Relationship Id="rId2" Target="https://www.more3.eu/online-indicator-tool?view=deliver"
                 TargetMode="External"
                 Type="http://schemas.openxmlformats.org/officeDocument/2006/relationships/hyperlink"/>
   <Relationship Id="rId20" Target="https://webgate.ec.europa.eu/dashboard/"
                 TargetMode="External"
                 Type="http://schemas.openxmlformats.org/officeDocument/2006/relationships/hyperlink"/>
   <Relationship Id="rId21"
                 Target="https://eur-lex.europa.eu/legal-content/LT/TXT/HTML/?uri=CELEX:52018PC0435&amp;from=LT"
                 TargetMode="External"
                 Type="http://schemas.openxmlformats.org/officeDocument/2006/relationships/hyperlink"/>
   <Relationship Id="rId22" Target="https://webgate.ec.europa.eu/dashboard/"
                 TargetMode="External"
                 Type="http://schemas.openxmlformats.org/officeDocument/2006/relationships/hyperlink"/>
   <Relationship Id="rId23" Target="https://webgate.ec.europa.eu/dashboard/"
                 TargetMode="External"
                 Type="http://schemas.openxmlformats.org/officeDocument/2006/relationships/hyperlink"/>
   <Relationship Id="rId24"
                 Target="https://appsso.eurostat.ec.europa.eu/nui/show.do?dataset=rd_e_gerdfund&amp;lang=en"
                 TargetMode="External"
                 Type="http://schemas.openxmlformats.org/officeDocument/2006/relationships/hyperlink"/>
   <Relationship Id="rId25"
                 Target="https://appsso.eurostat.ec.europa.eu/nui/show.do?dataset=rd_e_gerdfund&amp;lang=en"
                 TargetMode="External"
                 Type="http://schemas.openxmlformats.org/officeDocument/2006/relationships/hyperlink"/>
   <Relationship Id="rId26" Target="https://www.more3.eu/online-indicator-tool?view=deliver"
                 TargetMode="External"
                 Type="http://schemas.openxmlformats.org/officeDocument/2006/relationships/hyperlink"/>
   <Relationship Id="rId27" Target="https://www.more3.eu/online-indicator-tool?view=deliver"
                 TargetMode="External"
                 Type="http://schemas.openxmlformats.org/officeDocument/2006/relationships/hyperlink"/>
   <Relationship Id="rId28"
                 Target="http://www.bendrasisplanas.lt/wp-content/uploads/2020/10/LRBP_SPRENDINIU%CC%A8_DOKUMENTAS.pdf"
                 TargetMode="External"
                 Type="http://schemas.openxmlformats.org/officeDocument/2006/relationships/hyperlink"/>
   <Relationship Id="rId29"
                 Target="https://appsso.eurostat.ec.europa.eu/nui/show.do?dataset=rd_e_gerdfund&amp;lang=en"
                 TargetMode="External"
                 Type="http://schemas.openxmlformats.org/officeDocument/2006/relationships/hyperlink"/>
   <Relationship Id="rId3"
                 Target="https://appsso.eurostat.ec.europa.eu/nui/show.do?dataset=rd_p_perslf&amp;lang=en"
                 TargetMode="External"
                 Type="http://schemas.openxmlformats.org/officeDocument/2006/relationships/hyperlink"/>
   <Relationship Id="rId30" Target="https://ec.europa.eu/docsroom/documents/41864"
                 TargetMode="External"
                 Type="http://schemas.openxmlformats.org/officeDocument/2006/relationships/hyperlink"/>
   <Relationship Id="rId31"
                 Target="https://appsso.eurostat.ec.europa.eu/nui/show.do?dataset=rd_p_perslf&amp;lang=en"
                 TargetMode="External"
                 Type="http://schemas.openxmlformats.org/officeDocument/2006/relationships/hyperlink"/>
   <Relationship Id="rId32"
                 Target="https://appsso.eurostat.ec.europa.eu/nui/show.do?dataset=rd_e_gerdfund&amp;lang=en"
                 TargetMode="External"
                 Type="http://schemas.openxmlformats.org/officeDocument/2006/relationships/hyperlink"/>
   <Relationship Id="rId33" Target="https://ec.europa.eu/docsroom/documents/41864"
                 TargetMode="External"
                 Type="http://schemas.openxmlformats.org/officeDocument/2006/relationships/hyperlink"/>
   <Relationship Id="rId34"
                 Target="https://www.esinvesticijos.lt/lt//finansavimas/patvirtintos_priemones/mtep-rezultatu-komercinimo-ir-tarptautiskumo-skatinimas"
                 TargetMode="External"
                 Type="http://schemas.openxmlformats.org/officeDocument/2006/relationships/hyperlink"/>
   <Relationship Id="rId35"
                 Target="http://appsso.eurostat.ec.europa.eu/nui/show.do?dataset=htec_emp_nat2&amp;lang=en"
                 TargetMode="External"
                 Type="http://schemas.openxmlformats.org/officeDocument/2006/relationships/hyperlink"/>
   <Relationship Id="rId36"
                 Target="https://www.topuniversities.com/university-rankings/world-university-rankings/2021"
                 TargetMode="External"
                 Type="http://schemas.openxmlformats.org/officeDocument/2006/relationships/hyperlink"/>
   <Relationship Id="rId37"
                 Target="https://appsso.eurostat.ec.europa.eu/nui/show.do?dataset=rd_e_gerdfund&amp;lang=en"
                 TargetMode="External"
                 Type="http://schemas.openxmlformats.org/officeDocument/2006/relationships/hyperlink"/>
   <Relationship Id="rId38"
                 Target="https://www.lmt.lt/lt/mokslo-politika/moksliniu-tyrimu-finansavimo-instrumentai/nacionalines-mokslo-programos/260"
                 TargetMode="External"
                 Type="http://schemas.openxmlformats.org/officeDocument/2006/relationships/hyperlink"/>
   <Relationship Id="rId4"
                 Target="https://appsso.eurostat.ec.europa.eu/nui/show.do?dataset=rd_e_gerdfund&amp;lang=en"
                 TargetMode="External"
                 Type="http://schemas.openxmlformats.org/officeDocument/2006/relationships/hyperlink"/>
   <Relationship Id="rId5"
                 Target="http://appsso.eurostat.ec.europa.eu/nui/show.do?dataset=educ_uoe_grad06&amp;lang=en"
                 TargetMode="External"
                 Type="http://schemas.openxmlformats.org/officeDocument/2006/relationships/hyperlink"/>
   <Relationship Id="rId6"
                 Target="http://appsso.eurostat.ec.europa.eu/nui/show.do?dataset=educ_uoe_mobs03&amp;lang=en"
                 TargetMode="External"
                 Type="http://schemas.openxmlformats.org/officeDocument/2006/relationships/hyperlink"/>
   <Relationship Id="rId7"
                 Target="https://www.lmt.lt/lt/mokslo-finansavimas/kalendorinis-kvietimu-planas/2287/kvietimas-498"
                 TargetMode="External"
                 Type="http://schemas.openxmlformats.org/officeDocument/2006/relationships/hyperlink"/>
   <Relationship Id="rId8"
                 Target="https://appsso.eurostat.ec.europa.eu/nui/show.do?dataset=rd_e_gerdfund&amp;lang=en"
                 TargetMode="External"
                 Type="http://schemas.openxmlformats.org/officeDocument/2006/relationships/hyperlink"/>
   <Relationship Id="rId9"
                 Target="https://appsso.eurostat.ec.europa.eu/nui/show.do?dataset=rd_p_perslf&amp;lang=en"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07E4-9490-45AF-9AC7-38B2094795BD}"/>
</file>

<file path=customXml/itemProps2.xml><?xml version="1.0" encoding="utf-8"?>
<ds:datastoreItem xmlns:ds="http://schemas.openxmlformats.org/officeDocument/2006/customXml" ds:itemID="{287C8CC6-58B1-49A6-A318-EFB4CD47C976}">
  <ds:schemaRefs>
    <ds:schemaRef ds:uri="http://schemas.microsoft.com/sharepoint/v3/contenttype/forms"/>
  </ds:schemaRefs>
</ds:datastoreItem>
</file>

<file path=customXml/itemProps3.xml><?xml version="1.0" encoding="utf-8"?>
<ds:datastoreItem xmlns:ds="http://schemas.openxmlformats.org/officeDocument/2006/customXml" ds:itemID="{BB38AA22-C655-44FF-962D-66D469092F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0596B7-54F9-4D8D-8B04-99F9DD00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35864</Words>
  <Characters>20443</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58f65b04-187c-485d-a23a-eb5bdcdeda82</vt:lpstr>
    </vt:vector>
  </TitlesOfParts>
  <Company>HP Inc.</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2021-12-03T07:14:00Z</dcterms:created>
  <dc:creator>Božena</dc:creator>
  <cp:lastModifiedBy>Vasiliauskas Jurgis | ŠMSM</cp:lastModifiedBy>
  <dcterms:modified xsi:type="dcterms:W3CDTF">2022-01-20T11:45:00Z</dcterms:modified>
  <cp:revision>6</cp:revision>
  <dc:title>31917a34-ffde-4723-9796-f4700b56136a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