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14CD" w14:textId="77777777" w:rsidR="00FD1D5E" w:rsidRPr="00CA1438" w:rsidRDefault="00ED0642" w:rsidP="001477F1">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sidRPr="00CA1438">
        <w:rPr>
          <w:rFonts w:ascii="Times New Roman" w:eastAsia="Times New Roman" w:hAnsi="Times New Roman" w:cs="Times New Roman"/>
          <w:b/>
          <w:bCs/>
          <w:caps/>
          <w:kern w:val="3"/>
          <w:sz w:val="24"/>
          <w:szCs w:val="24"/>
          <w:lang w:val="en-US" w:eastAsia="zh-CN"/>
        </w:rPr>
        <w:t>DERINIMO PAŽYMA</w:t>
      </w:r>
    </w:p>
    <w:p w14:paraId="684BE645" w14:textId="43A79FA1" w:rsidR="00FD1D5E" w:rsidRPr="00BE02B3" w:rsidRDefault="00FD1D5E" w:rsidP="001477F1">
      <w:pPr>
        <w:tabs>
          <w:tab w:val="left" w:pos="-284"/>
        </w:tabs>
        <w:spacing w:after="0" w:line="240" w:lineRule="auto"/>
        <w:jc w:val="center"/>
        <w:rPr>
          <w:rFonts w:ascii="Times New Roman" w:eastAsia="Times New Roman" w:hAnsi="Times New Roman" w:cs="Times New Roman"/>
          <w:b/>
          <w:bCs/>
          <w:caps/>
          <w:kern w:val="3"/>
          <w:sz w:val="24"/>
          <w:szCs w:val="24"/>
          <w:lang w:eastAsia="zh-CN"/>
        </w:rPr>
      </w:pPr>
      <w:bookmarkStart w:id="0" w:name="_Hlk513734621"/>
      <w:r w:rsidRPr="00BE02B3">
        <w:rPr>
          <w:rFonts w:ascii="Times New Roman" w:eastAsia="Times New Roman" w:hAnsi="Times New Roman" w:cs="Times New Roman"/>
          <w:b/>
          <w:bCs/>
          <w:caps/>
          <w:kern w:val="3"/>
          <w:sz w:val="24"/>
          <w:szCs w:val="24"/>
          <w:lang w:val="en-US" w:eastAsia="zh-CN"/>
        </w:rPr>
        <w:t xml:space="preserve">DĖL </w:t>
      </w:r>
      <w:bookmarkEnd w:id="0"/>
      <w:r w:rsidR="00BE02B3" w:rsidRPr="00BE02B3">
        <w:rPr>
          <w:rFonts w:ascii="Times New Roman" w:hAnsi="Times New Roman" w:cs="Times New Roman"/>
          <w:b/>
          <w:sz w:val="24"/>
          <w:szCs w:val="24"/>
        </w:rPr>
        <w:t xml:space="preserve">ĮSTATYMŲ PROJEKTŲ, ĮGYVENDINANČIŲ DIREKTYVĄ </w:t>
      </w:r>
      <w:r w:rsidR="00BE02B3" w:rsidRPr="00BE02B3">
        <w:rPr>
          <w:rFonts w:ascii="Times New Roman" w:hAnsi="Times New Roman" w:cs="Times New Roman"/>
          <w:b/>
          <w:color w:val="000000"/>
          <w:sz w:val="24"/>
          <w:szCs w:val="24"/>
        </w:rPr>
        <w:t>(ES)</w:t>
      </w:r>
      <w:r w:rsidR="00BE02B3" w:rsidRPr="00BE02B3">
        <w:rPr>
          <w:rFonts w:ascii="Times New Roman" w:hAnsi="Times New Roman" w:cs="Times New Roman"/>
          <w:b/>
          <w:bCs/>
          <w:color w:val="000000"/>
          <w:sz w:val="24"/>
          <w:szCs w:val="24"/>
        </w:rPr>
        <w:t xml:space="preserve"> 2019/2161</w:t>
      </w:r>
    </w:p>
    <w:p w14:paraId="42CDD130" w14:textId="77777777" w:rsidR="00FD1D5E" w:rsidRPr="00CA1438" w:rsidRDefault="00FD1D5E" w:rsidP="001477F1">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eastAsia="zh-CN"/>
        </w:rPr>
      </w:pPr>
    </w:p>
    <w:tbl>
      <w:tblPr>
        <w:tblStyle w:val="Lentelstinklelis"/>
        <w:tblW w:w="0" w:type="auto"/>
        <w:tblLook w:val="04A0" w:firstRow="1" w:lastRow="0" w:firstColumn="1" w:lastColumn="0" w:noHBand="0" w:noVBand="1"/>
      </w:tblPr>
      <w:tblGrid>
        <w:gridCol w:w="607"/>
        <w:gridCol w:w="1947"/>
        <w:gridCol w:w="6144"/>
        <w:gridCol w:w="5862"/>
      </w:tblGrid>
      <w:tr w:rsidR="00FD770A" w:rsidRPr="00CA1438" w14:paraId="677640D9" w14:textId="77777777" w:rsidTr="004B2FA2">
        <w:tc>
          <w:tcPr>
            <w:tcW w:w="0" w:type="auto"/>
          </w:tcPr>
          <w:p w14:paraId="6CDEFC65" w14:textId="77777777" w:rsidR="00FD1D5E" w:rsidRPr="00CA1438" w:rsidRDefault="00FD1D5E" w:rsidP="001477F1">
            <w:pPr>
              <w:tabs>
                <w:tab w:val="left" w:pos="449"/>
              </w:tabs>
              <w:spacing w:after="80"/>
              <w:jc w:val="center"/>
              <w:rPr>
                <w:rFonts w:ascii="Times New Roman" w:hAnsi="Times New Roman" w:cs="Times New Roman"/>
                <w:bCs/>
                <w:sz w:val="24"/>
                <w:szCs w:val="24"/>
              </w:rPr>
            </w:pPr>
            <w:r w:rsidRPr="00CA1438">
              <w:rPr>
                <w:rFonts w:ascii="Times New Roman" w:hAnsi="Times New Roman" w:cs="Times New Roman"/>
                <w:bCs/>
                <w:sz w:val="24"/>
                <w:szCs w:val="24"/>
              </w:rPr>
              <w:t>Eil. Nr.</w:t>
            </w:r>
          </w:p>
        </w:tc>
        <w:tc>
          <w:tcPr>
            <w:tcW w:w="0" w:type="auto"/>
          </w:tcPr>
          <w:p w14:paraId="4185A65A" w14:textId="3514E4F5" w:rsidR="00FD1D5E" w:rsidRPr="00CA1438" w:rsidRDefault="00CA1438" w:rsidP="001477F1">
            <w:pPr>
              <w:tabs>
                <w:tab w:val="left" w:pos="449"/>
              </w:tabs>
              <w:spacing w:after="80"/>
              <w:jc w:val="center"/>
              <w:rPr>
                <w:rFonts w:ascii="Times New Roman" w:hAnsi="Times New Roman" w:cs="Times New Roman"/>
                <w:sz w:val="24"/>
                <w:szCs w:val="24"/>
              </w:rPr>
            </w:pPr>
            <w:r w:rsidRPr="00CA1438">
              <w:rPr>
                <w:rFonts w:ascii="Times New Roman" w:hAnsi="Times New Roman" w:cs="Times New Roman"/>
                <w:bCs/>
                <w:sz w:val="24"/>
                <w:szCs w:val="24"/>
              </w:rPr>
              <w:t>Subjektas</w:t>
            </w:r>
            <w:r w:rsidR="00FD1D5E" w:rsidRPr="00CA1438">
              <w:rPr>
                <w:rFonts w:ascii="Times New Roman" w:hAnsi="Times New Roman" w:cs="Times New Roman"/>
                <w:bCs/>
                <w:sz w:val="24"/>
                <w:szCs w:val="24"/>
              </w:rPr>
              <w:t>, pateik</w:t>
            </w:r>
            <w:r w:rsidRPr="00CA1438">
              <w:rPr>
                <w:rFonts w:ascii="Times New Roman" w:hAnsi="Times New Roman" w:cs="Times New Roman"/>
                <w:bCs/>
                <w:sz w:val="24"/>
                <w:szCs w:val="24"/>
              </w:rPr>
              <w:t>ęs</w:t>
            </w:r>
            <w:r w:rsidR="00FD1D5E" w:rsidRPr="00CA1438">
              <w:rPr>
                <w:rFonts w:ascii="Times New Roman" w:hAnsi="Times New Roman" w:cs="Times New Roman"/>
                <w:bCs/>
                <w:sz w:val="24"/>
                <w:szCs w:val="24"/>
              </w:rPr>
              <w:t xml:space="preserve"> pastabas ir pasiūlymus</w:t>
            </w:r>
          </w:p>
        </w:tc>
        <w:tc>
          <w:tcPr>
            <w:tcW w:w="0" w:type="auto"/>
          </w:tcPr>
          <w:p w14:paraId="3F4BA7AF" w14:textId="77777777" w:rsidR="00FD1D5E" w:rsidRPr="00CA1438" w:rsidRDefault="00FD1D5E" w:rsidP="001477F1">
            <w:pPr>
              <w:tabs>
                <w:tab w:val="left" w:pos="449"/>
              </w:tabs>
              <w:spacing w:after="80"/>
              <w:jc w:val="center"/>
              <w:rPr>
                <w:rFonts w:ascii="Times New Roman" w:hAnsi="Times New Roman" w:cs="Times New Roman"/>
                <w:sz w:val="24"/>
                <w:szCs w:val="24"/>
              </w:rPr>
            </w:pPr>
            <w:r w:rsidRPr="00CA1438">
              <w:rPr>
                <w:rFonts w:ascii="Times New Roman" w:eastAsia="Times New Roman" w:hAnsi="Times New Roman" w:cs="Times New Roman"/>
                <w:sz w:val="24"/>
                <w:szCs w:val="24"/>
              </w:rPr>
              <w:t>Pastabos ir pasiūlymai</w:t>
            </w:r>
          </w:p>
        </w:tc>
        <w:tc>
          <w:tcPr>
            <w:tcW w:w="0" w:type="auto"/>
          </w:tcPr>
          <w:p w14:paraId="546CA802" w14:textId="77777777" w:rsidR="00FD1D5E" w:rsidRPr="00CA1438" w:rsidRDefault="00FD1D5E" w:rsidP="001477F1">
            <w:pPr>
              <w:jc w:val="center"/>
              <w:rPr>
                <w:rFonts w:ascii="Times New Roman" w:hAnsi="Times New Roman" w:cs="Times New Roman"/>
                <w:b/>
                <w:sz w:val="24"/>
                <w:szCs w:val="24"/>
              </w:rPr>
            </w:pPr>
            <w:r w:rsidRPr="00CA1438">
              <w:rPr>
                <w:rFonts w:ascii="Times New Roman" w:eastAsia="Times New Roman" w:hAnsi="Times New Roman" w:cs="Times New Roman"/>
                <w:sz w:val="24"/>
                <w:szCs w:val="24"/>
              </w:rPr>
              <w:t>Pastabų ir pasiūlymų įvertinimas</w:t>
            </w:r>
          </w:p>
        </w:tc>
      </w:tr>
      <w:tr w:rsidR="00FD770A" w:rsidRPr="00CA1438" w14:paraId="7320D4DA" w14:textId="77777777" w:rsidTr="004B2FA2">
        <w:tc>
          <w:tcPr>
            <w:tcW w:w="0" w:type="auto"/>
          </w:tcPr>
          <w:p w14:paraId="58B62E6D" w14:textId="110DA976" w:rsidR="00386B97" w:rsidRPr="00CA1438" w:rsidRDefault="00DF0C70" w:rsidP="001477F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w:t>
            </w:r>
            <w:r w:rsidR="001C5A24" w:rsidRPr="00CA1438">
              <w:rPr>
                <w:rFonts w:ascii="Times New Roman" w:hAnsi="Times New Roman" w:cs="Times New Roman"/>
                <w:bCs/>
                <w:sz w:val="24"/>
                <w:szCs w:val="24"/>
              </w:rPr>
              <w:t>.</w:t>
            </w:r>
          </w:p>
        </w:tc>
        <w:tc>
          <w:tcPr>
            <w:tcW w:w="0" w:type="auto"/>
          </w:tcPr>
          <w:p w14:paraId="60200248" w14:textId="2F1FB5D9" w:rsidR="00386B97" w:rsidRPr="00CA1438" w:rsidRDefault="00BE02B3" w:rsidP="001477F1">
            <w:pPr>
              <w:rPr>
                <w:rFonts w:ascii="Times New Roman" w:hAnsi="Times New Roman" w:cs="Times New Roman"/>
                <w:sz w:val="24"/>
                <w:szCs w:val="24"/>
              </w:rPr>
            </w:pPr>
            <w:r>
              <w:rPr>
                <w:rFonts w:ascii="Times New Roman" w:hAnsi="Times New Roman" w:cs="Times New Roman"/>
                <w:sz w:val="24"/>
                <w:szCs w:val="24"/>
              </w:rPr>
              <w:t>Nacionalinė teismų administracija</w:t>
            </w:r>
          </w:p>
        </w:tc>
        <w:tc>
          <w:tcPr>
            <w:tcW w:w="0" w:type="auto"/>
          </w:tcPr>
          <w:p w14:paraId="47047992" w14:textId="76E5D07A" w:rsidR="00386B97" w:rsidRPr="00CA1438" w:rsidRDefault="005F165C" w:rsidP="001477F1">
            <w:pPr>
              <w:pStyle w:val="Betarp"/>
              <w:jc w:val="both"/>
              <w:rPr>
                <w:sz w:val="24"/>
                <w:szCs w:val="24"/>
              </w:rPr>
            </w:pPr>
            <w:r>
              <w:rPr>
                <w:sz w:val="24"/>
                <w:szCs w:val="24"/>
              </w:rPr>
              <w:t xml:space="preserve">1. </w:t>
            </w:r>
            <w:r w:rsidR="00BE02B3">
              <w:rPr>
                <w:sz w:val="24"/>
                <w:szCs w:val="24"/>
              </w:rPr>
              <w:t>Koreguotina CK 6.228</w:t>
            </w:r>
            <w:r w:rsidR="00BE02B3" w:rsidRPr="00BE02B3">
              <w:rPr>
                <w:sz w:val="24"/>
                <w:szCs w:val="24"/>
                <w:vertAlign w:val="superscript"/>
              </w:rPr>
              <w:t>1</w:t>
            </w:r>
            <w:r w:rsidR="00BE02B3">
              <w:rPr>
                <w:sz w:val="24"/>
                <w:szCs w:val="24"/>
              </w:rPr>
              <w:t xml:space="preserve"> straipsnio 4 dalyje įtvirtinta prekės sąvoka, aiškiai įtraukiant skaitmeninių elementų turinčias prekes. Atitinkamai koreguotina prekės sąvoka, įtvirtinta VTAĮ 2 straipsnyje. </w:t>
            </w:r>
          </w:p>
        </w:tc>
        <w:tc>
          <w:tcPr>
            <w:tcW w:w="0" w:type="auto"/>
          </w:tcPr>
          <w:p w14:paraId="143DE595" w14:textId="4897A916" w:rsidR="001C1053" w:rsidRPr="00BE02B3" w:rsidRDefault="00E0444A" w:rsidP="001477F1">
            <w:pPr>
              <w:jc w:val="both"/>
              <w:rPr>
                <w:rFonts w:ascii="Times New Roman" w:hAnsi="Times New Roman" w:cs="Times New Roman"/>
                <w:color w:val="000000"/>
                <w:sz w:val="24"/>
                <w:szCs w:val="24"/>
              </w:rPr>
            </w:pPr>
            <w:r w:rsidRPr="00BE02B3">
              <w:rPr>
                <w:rFonts w:ascii="Times New Roman" w:hAnsi="Times New Roman" w:cs="Times New Roman"/>
                <w:b/>
                <w:bCs/>
                <w:sz w:val="24"/>
                <w:szCs w:val="24"/>
              </w:rPr>
              <w:t>Atsižvelgta</w:t>
            </w:r>
            <w:r w:rsidR="00E46F80" w:rsidRPr="00BE02B3">
              <w:rPr>
                <w:rFonts w:ascii="Times New Roman" w:hAnsi="Times New Roman" w:cs="Times New Roman"/>
                <w:b/>
                <w:bCs/>
                <w:sz w:val="24"/>
                <w:szCs w:val="24"/>
              </w:rPr>
              <w:t xml:space="preserve"> iš dalies</w:t>
            </w:r>
            <w:r w:rsidRPr="00BE02B3">
              <w:rPr>
                <w:rFonts w:ascii="Times New Roman" w:hAnsi="Times New Roman" w:cs="Times New Roman"/>
                <w:b/>
                <w:bCs/>
                <w:sz w:val="24"/>
                <w:szCs w:val="24"/>
              </w:rPr>
              <w:t xml:space="preserve">. </w:t>
            </w:r>
            <w:r w:rsidR="00BE02B3" w:rsidRPr="00BE02B3">
              <w:rPr>
                <w:rFonts w:ascii="Times New Roman" w:hAnsi="Times New Roman" w:cs="Times New Roman"/>
                <w:sz w:val="24"/>
                <w:szCs w:val="24"/>
              </w:rPr>
              <w:t>Civilinio kodekso 6.228</w:t>
            </w:r>
            <w:r w:rsidR="00BE02B3" w:rsidRPr="00BE02B3">
              <w:rPr>
                <w:rFonts w:ascii="Times New Roman" w:hAnsi="Times New Roman" w:cs="Times New Roman"/>
                <w:sz w:val="24"/>
                <w:szCs w:val="24"/>
                <w:vertAlign w:val="superscript"/>
              </w:rPr>
              <w:t>1</w:t>
            </w:r>
            <w:r w:rsidR="00BE02B3" w:rsidRPr="00BE02B3">
              <w:rPr>
                <w:rFonts w:ascii="Times New Roman" w:hAnsi="Times New Roman" w:cs="Times New Roman"/>
                <w:sz w:val="24"/>
                <w:szCs w:val="24"/>
              </w:rPr>
              <w:t xml:space="preserve"> straipsnio 4 dalyje apibrėžta prekės sąvoka jau pakeista įstatymu Nr. </w:t>
            </w:r>
            <w:r w:rsidR="00BE02B3" w:rsidRPr="00BE02B3">
              <w:rPr>
                <w:rFonts w:ascii="Times New Roman" w:hAnsi="Times New Roman" w:cs="Times New Roman"/>
                <w:color w:val="000000"/>
                <w:sz w:val="24"/>
                <w:szCs w:val="24"/>
              </w:rPr>
              <w:t xml:space="preserve">XIV-466 (įsigalios 2022 m. sausio 1 d.). </w:t>
            </w:r>
          </w:p>
          <w:p w14:paraId="11B8A1B8" w14:textId="6E2299A7" w:rsidR="00BE02B3" w:rsidRPr="00BE02B3" w:rsidRDefault="00BE02B3" w:rsidP="001477F1">
            <w:pPr>
              <w:jc w:val="both"/>
              <w:rPr>
                <w:rFonts w:ascii="Times New Roman" w:hAnsi="Times New Roman" w:cs="Times New Roman"/>
                <w:sz w:val="24"/>
                <w:szCs w:val="24"/>
              </w:rPr>
            </w:pPr>
            <w:r w:rsidRPr="00BE02B3">
              <w:rPr>
                <w:rFonts w:ascii="Times New Roman" w:hAnsi="Times New Roman" w:cs="Times New Roman"/>
                <w:sz w:val="24"/>
                <w:szCs w:val="24"/>
              </w:rPr>
              <w:t>VTAĮ pakeitimo įstatymo projektas</w:t>
            </w:r>
            <w:r>
              <w:rPr>
                <w:rFonts w:ascii="Times New Roman" w:hAnsi="Times New Roman" w:cs="Times New Roman"/>
                <w:sz w:val="24"/>
                <w:szCs w:val="24"/>
              </w:rPr>
              <w:t xml:space="preserve"> patikslintas, įtraukiant ir prekės sąvokos pakeitimą</w:t>
            </w:r>
            <w:r w:rsidR="000C7DDC">
              <w:rPr>
                <w:rFonts w:ascii="Times New Roman" w:hAnsi="Times New Roman" w:cs="Times New Roman"/>
                <w:sz w:val="24"/>
                <w:szCs w:val="24"/>
              </w:rPr>
              <w:t xml:space="preserve"> (suderinant su </w:t>
            </w:r>
            <w:r w:rsidR="000C7DDC" w:rsidRPr="00BE02B3">
              <w:rPr>
                <w:rFonts w:ascii="Times New Roman" w:hAnsi="Times New Roman" w:cs="Times New Roman"/>
                <w:sz w:val="24"/>
                <w:szCs w:val="24"/>
              </w:rPr>
              <w:t>Civilinio kodekso 6.228</w:t>
            </w:r>
            <w:r w:rsidR="000C7DDC" w:rsidRPr="00BE02B3">
              <w:rPr>
                <w:rFonts w:ascii="Times New Roman" w:hAnsi="Times New Roman" w:cs="Times New Roman"/>
                <w:sz w:val="24"/>
                <w:szCs w:val="24"/>
                <w:vertAlign w:val="superscript"/>
              </w:rPr>
              <w:t>1</w:t>
            </w:r>
            <w:r w:rsidR="000C7DDC" w:rsidRPr="00BE02B3">
              <w:rPr>
                <w:rFonts w:ascii="Times New Roman" w:hAnsi="Times New Roman" w:cs="Times New Roman"/>
                <w:sz w:val="24"/>
                <w:szCs w:val="24"/>
              </w:rPr>
              <w:t xml:space="preserve"> straipsnio 4 dalyje</w:t>
            </w:r>
            <w:r w:rsidR="000C7DDC">
              <w:rPr>
                <w:rFonts w:ascii="Times New Roman" w:hAnsi="Times New Roman" w:cs="Times New Roman"/>
                <w:sz w:val="24"/>
                <w:szCs w:val="24"/>
              </w:rPr>
              <w:t xml:space="preserve"> apibrėžta sąvoka)</w:t>
            </w:r>
            <w:r>
              <w:rPr>
                <w:rFonts w:ascii="Times New Roman" w:hAnsi="Times New Roman" w:cs="Times New Roman"/>
                <w:sz w:val="24"/>
                <w:szCs w:val="24"/>
              </w:rPr>
              <w:t>.</w:t>
            </w:r>
          </w:p>
        </w:tc>
      </w:tr>
      <w:tr w:rsidR="00FD770A" w:rsidRPr="00CA1438" w14:paraId="6396FD15" w14:textId="77777777" w:rsidTr="004B2FA2">
        <w:tc>
          <w:tcPr>
            <w:tcW w:w="0" w:type="auto"/>
          </w:tcPr>
          <w:p w14:paraId="55381776" w14:textId="07E0B023" w:rsidR="00E0444A" w:rsidRPr="00CA1438" w:rsidRDefault="00DF0C70" w:rsidP="001477F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w:t>
            </w:r>
            <w:r w:rsidR="001C5A24" w:rsidRPr="00CA1438">
              <w:rPr>
                <w:rFonts w:ascii="Times New Roman" w:hAnsi="Times New Roman" w:cs="Times New Roman"/>
                <w:bCs/>
                <w:sz w:val="24"/>
                <w:szCs w:val="24"/>
              </w:rPr>
              <w:t>.</w:t>
            </w:r>
          </w:p>
        </w:tc>
        <w:tc>
          <w:tcPr>
            <w:tcW w:w="0" w:type="auto"/>
          </w:tcPr>
          <w:p w14:paraId="63E8F803" w14:textId="3D10C52D" w:rsidR="00E0444A" w:rsidRPr="00CA1438" w:rsidRDefault="00BE02B3" w:rsidP="001477F1">
            <w:pPr>
              <w:rPr>
                <w:rFonts w:ascii="Times New Roman" w:hAnsi="Times New Roman" w:cs="Times New Roman"/>
                <w:sz w:val="24"/>
                <w:szCs w:val="24"/>
              </w:rPr>
            </w:pPr>
            <w:r>
              <w:rPr>
                <w:rFonts w:ascii="Times New Roman" w:hAnsi="Times New Roman" w:cs="Times New Roman"/>
                <w:sz w:val="24"/>
                <w:szCs w:val="24"/>
              </w:rPr>
              <w:t>Nacionalinė teismų administracija</w:t>
            </w:r>
          </w:p>
        </w:tc>
        <w:tc>
          <w:tcPr>
            <w:tcW w:w="0" w:type="auto"/>
          </w:tcPr>
          <w:p w14:paraId="7B7F6560" w14:textId="0AA0C6D6" w:rsidR="00E0444A" w:rsidRPr="00CA1438" w:rsidRDefault="005F165C" w:rsidP="001477F1">
            <w:pPr>
              <w:pStyle w:val="Betarp"/>
              <w:jc w:val="both"/>
              <w:rPr>
                <w:sz w:val="24"/>
                <w:szCs w:val="24"/>
              </w:rPr>
            </w:pPr>
            <w:r>
              <w:rPr>
                <w:sz w:val="24"/>
                <w:szCs w:val="24"/>
              </w:rPr>
              <w:t xml:space="preserve">2. </w:t>
            </w:r>
            <w:r w:rsidR="000C7DDC">
              <w:rPr>
                <w:sz w:val="24"/>
                <w:szCs w:val="24"/>
              </w:rPr>
              <w:t xml:space="preserve">Koreguotina CK 6.716 straipsnio 1 dalyje įtvirtina paslaugų sutarties sąvoka, į šios sutarties nuostatų taikymo sritį aiškiai įtraukiant skaitmenines paslaugas. Atitinkamai koreguotina paslaugos sąvoka, įtvirtinta VTAĮ 2 straipsnyje. Į VTAĮ neįtrauktos skaitmeninio turinio, skaitmeninės paslaugos sąvokos, šios sąvokos CK pakeitimuose naudojamos, tačiau jų turinys lieka neaiškus. </w:t>
            </w:r>
          </w:p>
        </w:tc>
        <w:tc>
          <w:tcPr>
            <w:tcW w:w="0" w:type="auto"/>
          </w:tcPr>
          <w:p w14:paraId="31596EA4" w14:textId="7D3E886E" w:rsidR="00302818" w:rsidRDefault="00E0444A" w:rsidP="001477F1">
            <w:pPr>
              <w:jc w:val="both"/>
              <w:rPr>
                <w:rFonts w:ascii="Times New Roman" w:hAnsi="Times New Roman" w:cs="Times New Roman"/>
                <w:color w:val="000000"/>
                <w:sz w:val="24"/>
                <w:szCs w:val="24"/>
              </w:rPr>
            </w:pPr>
            <w:r w:rsidRPr="00CA1438">
              <w:rPr>
                <w:rFonts w:ascii="Times New Roman" w:hAnsi="Times New Roman" w:cs="Times New Roman"/>
                <w:b/>
                <w:bCs/>
                <w:sz w:val="24"/>
                <w:szCs w:val="24"/>
              </w:rPr>
              <w:t xml:space="preserve">Neatsižvelgta. </w:t>
            </w:r>
            <w:r w:rsidR="000C7DDC">
              <w:rPr>
                <w:rFonts w:ascii="Times New Roman" w:hAnsi="Times New Roman" w:cs="Times New Roman"/>
                <w:sz w:val="24"/>
                <w:szCs w:val="24"/>
              </w:rPr>
              <w:t xml:space="preserve">Skaitmeninio turinio, skaitmeninės paslaugos ir kitos susijusios sąvokos jau yra apibrėžtos Civiliniame kodekse – </w:t>
            </w:r>
            <w:r w:rsidR="000C7DDC" w:rsidRPr="00BE02B3">
              <w:rPr>
                <w:rFonts w:ascii="Times New Roman" w:hAnsi="Times New Roman" w:cs="Times New Roman"/>
                <w:sz w:val="24"/>
                <w:szCs w:val="24"/>
              </w:rPr>
              <w:t>įstatymu Nr. </w:t>
            </w:r>
            <w:r w:rsidR="000C7DDC" w:rsidRPr="00BE02B3">
              <w:rPr>
                <w:rFonts w:ascii="Times New Roman" w:hAnsi="Times New Roman" w:cs="Times New Roman"/>
                <w:color w:val="000000"/>
                <w:sz w:val="24"/>
                <w:szCs w:val="24"/>
              </w:rPr>
              <w:t>XIV-466 (įsigalios 2022 m. sausio 1 d.).</w:t>
            </w:r>
          </w:p>
          <w:p w14:paraId="08547954" w14:textId="77777777" w:rsidR="00DD1ACE" w:rsidRDefault="000C7DDC" w:rsidP="001477F1">
            <w:pPr>
              <w:jc w:val="both"/>
              <w:rPr>
                <w:rFonts w:ascii="Times New Roman" w:hAnsi="Times New Roman" w:cs="Times New Roman"/>
                <w:sz w:val="24"/>
                <w:szCs w:val="24"/>
              </w:rPr>
            </w:pPr>
            <w:r w:rsidRPr="000C7DDC">
              <w:rPr>
                <w:rFonts w:ascii="Times New Roman" w:hAnsi="Times New Roman" w:cs="Times New Roman"/>
                <w:sz w:val="24"/>
                <w:szCs w:val="24"/>
              </w:rPr>
              <w:t>Vartojimo sutartys dėl skaitmeninio turinio ir skaitmeninių paslaugų teiki</w:t>
            </w:r>
            <w:r w:rsidRPr="00DD1ACE">
              <w:rPr>
                <w:rFonts w:ascii="Times New Roman" w:hAnsi="Times New Roman" w:cs="Times New Roman"/>
                <w:sz w:val="24"/>
                <w:szCs w:val="24"/>
              </w:rPr>
              <w:t xml:space="preserve">mo yra apibrėžtos ir išsamiai reglamentuotos </w:t>
            </w:r>
            <w:r w:rsidR="00DD1ACE" w:rsidRPr="00DD1ACE">
              <w:rPr>
                <w:rFonts w:ascii="Times New Roman" w:hAnsi="Times New Roman" w:cs="Times New Roman"/>
                <w:sz w:val="24"/>
                <w:szCs w:val="24"/>
              </w:rPr>
              <w:t>Civilinio kodekso 6.228</w:t>
            </w:r>
            <w:r w:rsidR="00DD1ACE" w:rsidRPr="00DD1ACE">
              <w:rPr>
                <w:rFonts w:ascii="Times New Roman" w:hAnsi="Times New Roman" w:cs="Times New Roman"/>
                <w:sz w:val="24"/>
                <w:szCs w:val="24"/>
                <w:vertAlign w:val="superscript"/>
              </w:rPr>
              <w:t>17</w:t>
            </w:r>
            <w:r w:rsidR="00DD1ACE" w:rsidRPr="00DD1ACE">
              <w:rPr>
                <w:rFonts w:ascii="Times New Roman" w:hAnsi="Times New Roman" w:cs="Times New Roman"/>
                <w:sz w:val="24"/>
                <w:szCs w:val="24"/>
              </w:rPr>
              <w:t xml:space="preserve"> straipsnyje (žr. įstatymą Nr. XIV-466, kuris įsigalios 2022 m. sausio 1 d.). </w:t>
            </w:r>
          </w:p>
          <w:p w14:paraId="61610F5B" w14:textId="3985CF3A" w:rsidR="000C7DDC" w:rsidRPr="000C7DDC" w:rsidRDefault="00DD1ACE" w:rsidP="001477F1">
            <w:pPr>
              <w:jc w:val="both"/>
              <w:rPr>
                <w:rFonts w:ascii="Times New Roman" w:hAnsi="Times New Roman" w:cs="Times New Roman"/>
                <w:sz w:val="24"/>
                <w:szCs w:val="24"/>
              </w:rPr>
            </w:pPr>
            <w:r w:rsidRPr="00DD1ACE">
              <w:rPr>
                <w:rFonts w:ascii="Times New Roman" w:hAnsi="Times New Roman" w:cs="Times New Roman"/>
                <w:sz w:val="24"/>
                <w:szCs w:val="24"/>
              </w:rPr>
              <w:t>C</w:t>
            </w:r>
            <w:r>
              <w:rPr>
                <w:rFonts w:ascii="Times New Roman" w:hAnsi="Times New Roman" w:cs="Times New Roman"/>
                <w:sz w:val="24"/>
                <w:szCs w:val="24"/>
              </w:rPr>
              <w:t>ivilinio kodekso</w:t>
            </w:r>
            <w:r w:rsidRPr="00DD1ACE">
              <w:rPr>
                <w:rFonts w:ascii="Times New Roman" w:hAnsi="Times New Roman" w:cs="Times New Roman"/>
                <w:sz w:val="24"/>
                <w:szCs w:val="24"/>
              </w:rPr>
              <w:t xml:space="preserve"> 6.716</w:t>
            </w:r>
            <w:r w:rsidR="001477F1">
              <w:rPr>
                <w:rFonts w:ascii="Times New Roman" w:hAnsi="Times New Roman" w:cs="Times New Roman"/>
                <w:sz w:val="24"/>
                <w:szCs w:val="24"/>
              </w:rPr>
              <w:t> </w:t>
            </w:r>
            <w:r w:rsidRPr="00DD1ACE">
              <w:rPr>
                <w:rFonts w:ascii="Times New Roman" w:hAnsi="Times New Roman" w:cs="Times New Roman"/>
                <w:sz w:val="24"/>
                <w:szCs w:val="24"/>
              </w:rPr>
              <w:t>straipsnio 1</w:t>
            </w:r>
            <w:r w:rsidR="001477F1">
              <w:rPr>
                <w:rFonts w:ascii="Times New Roman" w:hAnsi="Times New Roman" w:cs="Times New Roman"/>
                <w:sz w:val="24"/>
                <w:szCs w:val="24"/>
              </w:rPr>
              <w:t> </w:t>
            </w:r>
            <w:r w:rsidRPr="00DD1ACE">
              <w:rPr>
                <w:rFonts w:ascii="Times New Roman" w:hAnsi="Times New Roman" w:cs="Times New Roman"/>
                <w:sz w:val="24"/>
                <w:szCs w:val="24"/>
              </w:rPr>
              <w:t xml:space="preserve">dalyje </w:t>
            </w:r>
            <w:r>
              <w:rPr>
                <w:rFonts w:ascii="Times New Roman" w:hAnsi="Times New Roman" w:cs="Times New Roman"/>
                <w:sz w:val="24"/>
                <w:szCs w:val="24"/>
              </w:rPr>
              <w:t xml:space="preserve">apibrėžiant </w:t>
            </w:r>
            <w:r w:rsidRPr="00DD1ACE">
              <w:rPr>
                <w:rFonts w:ascii="Times New Roman" w:hAnsi="Times New Roman" w:cs="Times New Roman"/>
                <w:sz w:val="24"/>
                <w:szCs w:val="24"/>
              </w:rPr>
              <w:t xml:space="preserve">paslaugų sutarties </w:t>
            </w:r>
            <w:r>
              <w:rPr>
                <w:rFonts w:ascii="Times New Roman" w:hAnsi="Times New Roman" w:cs="Times New Roman"/>
                <w:sz w:val="24"/>
                <w:szCs w:val="24"/>
              </w:rPr>
              <w:t>sampratą, nėra vardijamos atskiros paslaugų rūšys, todėl n</w:t>
            </w:r>
            <w:r w:rsidRPr="00DD1ACE">
              <w:rPr>
                <w:rFonts w:ascii="Times New Roman" w:hAnsi="Times New Roman" w:cs="Times New Roman"/>
                <w:sz w:val="24"/>
                <w:szCs w:val="24"/>
              </w:rPr>
              <w:t xml:space="preserve">ėra tikslinga </w:t>
            </w:r>
            <w:r>
              <w:rPr>
                <w:rFonts w:ascii="Times New Roman" w:hAnsi="Times New Roman" w:cs="Times New Roman"/>
                <w:sz w:val="24"/>
                <w:szCs w:val="24"/>
              </w:rPr>
              <w:t>joje nurodyti (išskirti) skaitmenine</w:t>
            </w:r>
            <w:r w:rsidRPr="00DD1ACE">
              <w:rPr>
                <w:rFonts w:ascii="Times New Roman" w:hAnsi="Times New Roman" w:cs="Times New Roman"/>
                <w:sz w:val="24"/>
                <w:szCs w:val="24"/>
              </w:rPr>
              <w:t>s paslaugas. Vartotojų teisių apsaugos įstatymo 2</w:t>
            </w:r>
            <w:r w:rsidR="001477F1">
              <w:rPr>
                <w:rFonts w:ascii="Times New Roman" w:hAnsi="Times New Roman" w:cs="Times New Roman"/>
                <w:sz w:val="24"/>
                <w:szCs w:val="24"/>
              </w:rPr>
              <w:t> </w:t>
            </w:r>
            <w:r w:rsidRPr="00DD1ACE">
              <w:rPr>
                <w:rFonts w:ascii="Times New Roman" w:hAnsi="Times New Roman" w:cs="Times New Roman"/>
                <w:sz w:val="24"/>
                <w:szCs w:val="24"/>
              </w:rPr>
              <w:t>straipsnio 7</w:t>
            </w:r>
            <w:r w:rsidR="001477F1">
              <w:rPr>
                <w:rFonts w:ascii="Times New Roman" w:hAnsi="Times New Roman" w:cs="Times New Roman"/>
                <w:sz w:val="24"/>
                <w:szCs w:val="24"/>
              </w:rPr>
              <w:t> </w:t>
            </w:r>
            <w:r w:rsidRPr="00DD1ACE">
              <w:rPr>
                <w:rFonts w:ascii="Times New Roman" w:hAnsi="Times New Roman" w:cs="Times New Roman"/>
                <w:sz w:val="24"/>
                <w:szCs w:val="24"/>
              </w:rPr>
              <w:t xml:space="preserve">dalyje pateikta bendra paslaugų sąvokos apibrėžtis (atlygintina veikla arba (ir) jos rezultatas, kuriais siūloma tenkinti ar yra tenkinamas konkretus vartotojo poreikis) ir joje nėra vardijamos atskiros paslaugų rūšys ar kategorijos. </w:t>
            </w:r>
          </w:p>
        </w:tc>
      </w:tr>
      <w:tr w:rsidR="00FD770A" w:rsidRPr="00CA1438" w14:paraId="5CB25FB8" w14:textId="77777777" w:rsidTr="004B2FA2">
        <w:tc>
          <w:tcPr>
            <w:tcW w:w="0" w:type="auto"/>
          </w:tcPr>
          <w:p w14:paraId="785CBF6F" w14:textId="7B3B6AD7" w:rsidR="00CD4747" w:rsidRPr="00CA1438" w:rsidRDefault="00DF0C70" w:rsidP="001477F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w:t>
            </w:r>
            <w:r w:rsidR="001C5A24" w:rsidRPr="00CA1438">
              <w:rPr>
                <w:rFonts w:ascii="Times New Roman" w:hAnsi="Times New Roman" w:cs="Times New Roman"/>
                <w:bCs/>
                <w:sz w:val="24"/>
                <w:szCs w:val="24"/>
              </w:rPr>
              <w:t>.</w:t>
            </w:r>
          </w:p>
        </w:tc>
        <w:tc>
          <w:tcPr>
            <w:tcW w:w="0" w:type="auto"/>
          </w:tcPr>
          <w:p w14:paraId="1928F293" w14:textId="476926F1" w:rsidR="00CD4747" w:rsidRPr="00CA1438" w:rsidRDefault="00BE02B3" w:rsidP="001477F1">
            <w:pPr>
              <w:rPr>
                <w:rFonts w:ascii="Times New Roman" w:hAnsi="Times New Roman" w:cs="Times New Roman"/>
                <w:sz w:val="24"/>
                <w:szCs w:val="24"/>
              </w:rPr>
            </w:pPr>
            <w:r>
              <w:rPr>
                <w:rFonts w:ascii="Times New Roman" w:hAnsi="Times New Roman" w:cs="Times New Roman"/>
                <w:sz w:val="24"/>
                <w:szCs w:val="24"/>
              </w:rPr>
              <w:t>Nacionalinė teismų administracija</w:t>
            </w:r>
          </w:p>
        </w:tc>
        <w:tc>
          <w:tcPr>
            <w:tcW w:w="0" w:type="auto"/>
          </w:tcPr>
          <w:p w14:paraId="52EE9E95" w14:textId="6CE3046F" w:rsidR="00742BA8" w:rsidRPr="00CA1438" w:rsidRDefault="005F165C" w:rsidP="001477F1">
            <w:pPr>
              <w:pStyle w:val="Betarp"/>
              <w:jc w:val="both"/>
              <w:rPr>
                <w:sz w:val="24"/>
                <w:szCs w:val="24"/>
              </w:rPr>
            </w:pPr>
            <w:r>
              <w:rPr>
                <w:sz w:val="24"/>
                <w:szCs w:val="24"/>
              </w:rPr>
              <w:t>4. Iš VTAĮ pakeitimo įstatymo projektu keičiamo VTAĮ 40 straipsnio formuluotės nėra aišku, kokiais atvejais sankcijos skiriamos už nesąžiningų sąlygų naudojimą (CK 6.228</w:t>
            </w:r>
            <w:r w:rsidRPr="005F165C">
              <w:rPr>
                <w:sz w:val="24"/>
                <w:szCs w:val="24"/>
                <w:vertAlign w:val="superscript"/>
              </w:rPr>
              <w:t>4</w:t>
            </w:r>
            <w:r>
              <w:rPr>
                <w:sz w:val="24"/>
                <w:szCs w:val="24"/>
              </w:rPr>
              <w:t xml:space="preserve"> straipsnis, Direktyvos 2019/2161 1 straipsnis), ar tokias baudas gali skirti tik Valstybinė vartotojų teisių apsaugos </w:t>
            </w:r>
            <w:r>
              <w:rPr>
                <w:sz w:val="24"/>
                <w:szCs w:val="24"/>
              </w:rPr>
              <w:lastRenderedPageBreak/>
              <w:t xml:space="preserve">tarnyba ir (ar) teismas. Jei baudas gali skirti teismas (ką Direktyva 2019/2161 iš esmės leidžia), neaišku, ar tik administracinis, ar ir bendrosios kompetencijos teismas, sprendžiantis ginčą dėl sąlygų nesąžiningumo. </w:t>
            </w:r>
          </w:p>
        </w:tc>
        <w:tc>
          <w:tcPr>
            <w:tcW w:w="0" w:type="auto"/>
          </w:tcPr>
          <w:p w14:paraId="6051E6C2" w14:textId="6E94413D" w:rsidR="00761581" w:rsidRDefault="005F165C" w:rsidP="005F165C">
            <w:pPr>
              <w:jc w:val="both"/>
              <w:rPr>
                <w:rFonts w:ascii="Times New Roman" w:hAnsi="Times New Roman" w:cs="Times New Roman"/>
                <w:sz w:val="24"/>
                <w:szCs w:val="24"/>
              </w:rPr>
            </w:pPr>
            <w:r w:rsidRPr="00CA1438">
              <w:rPr>
                <w:rFonts w:ascii="Times New Roman" w:hAnsi="Times New Roman" w:cs="Times New Roman"/>
                <w:b/>
                <w:bCs/>
                <w:sz w:val="24"/>
                <w:szCs w:val="24"/>
              </w:rPr>
              <w:lastRenderedPageBreak/>
              <w:t xml:space="preserve">Neatsižvelgta. </w:t>
            </w:r>
            <w:r w:rsidRPr="00A84AF5">
              <w:rPr>
                <w:rFonts w:ascii="Times New Roman" w:hAnsi="Times New Roman" w:cs="Times New Roman"/>
                <w:sz w:val="24"/>
                <w:szCs w:val="24"/>
              </w:rPr>
              <w:t>VTAĮ pakeitimo įstatymo projekte nėra numatomas sankcijų verslininkui už nesąžiningų sąlygų naudojimą</w:t>
            </w:r>
            <w:r w:rsidR="00A84AF5" w:rsidRPr="00A84AF5">
              <w:rPr>
                <w:rFonts w:ascii="Times New Roman" w:hAnsi="Times New Roman" w:cs="Times New Roman"/>
                <w:sz w:val="24"/>
                <w:szCs w:val="24"/>
              </w:rPr>
              <w:t xml:space="preserve"> skyrimas. </w:t>
            </w:r>
          </w:p>
          <w:p w14:paraId="2746A846" w14:textId="28C29AF2" w:rsidR="00435BAA" w:rsidRPr="00435BAA" w:rsidRDefault="00A84AF5" w:rsidP="00435BAA">
            <w:pPr>
              <w:jc w:val="both"/>
              <w:rPr>
                <w:rFonts w:ascii="Times New Roman" w:hAnsi="Times New Roman" w:cs="Times New Roman"/>
                <w:sz w:val="24"/>
                <w:szCs w:val="24"/>
              </w:rPr>
            </w:pPr>
            <w:r>
              <w:rPr>
                <w:rFonts w:ascii="Times New Roman" w:hAnsi="Times New Roman" w:cs="Times New Roman"/>
                <w:sz w:val="24"/>
                <w:szCs w:val="24"/>
              </w:rPr>
              <w:t>Pažymėtina, kad tokias sankcijas deta</w:t>
            </w:r>
            <w:r w:rsidRPr="00A84AF5">
              <w:rPr>
                <w:rFonts w:ascii="Times New Roman" w:hAnsi="Times New Roman" w:cs="Times New Roman"/>
                <w:sz w:val="24"/>
                <w:szCs w:val="24"/>
              </w:rPr>
              <w:t>liai siūloma reglamentuoti įstatymo projekte</w:t>
            </w:r>
            <w:r w:rsidRPr="00435BAA">
              <w:rPr>
                <w:rFonts w:ascii="Times New Roman" w:hAnsi="Times New Roman" w:cs="Times New Roman"/>
                <w:sz w:val="24"/>
                <w:szCs w:val="24"/>
              </w:rPr>
              <w:t xml:space="preserve"> Nr. </w:t>
            </w:r>
            <w:r w:rsidRPr="00435BAA">
              <w:rPr>
                <w:rFonts w:ascii="Times New Roman" w:hAnsi="Times New Roman" w:cs="Times New Roman"/>
                <w:caps/>
                <w:sz w:val="24"/>
                <w:szCs w:val="24"/>
              </w:rPr>
              <w:t>XIIIP-5328</w:t>
            </w:r>
            <w:r w:rsidRPr="00435BAA">
              <w:rPr>
                <w:rFonts w:ascii="Times New Roman" w:hAnsi="Times New Roman" w:cs="Times New Roman"/>
                <w:sz w:val="24"/>
                <w:szCs w:val="24"/>
              </w:rPr>
              <w:t xml:space="preserve"> </w:t>
            </w:r>
            <w:r w:rsidRPr="00435BAA">
              <w:rPr>
                <w:rFonts w:ascii="Times New Roman" w:hAnsi="Times New Roman" w:cs="Times New Roman"/>
                <w:sz w:val="24"/>
                <w:szCs w:val="24"/>
              </w:rPr>
              <w:lastRenderedPageBreak/>
              <w:t>(svarstomas Seime</w:t>
            </w:r>
            <w:r w:rsidRPr="00435BAA">
              <w:rPr>
                <w:rFonts w:ascii="Times New Roman" w:hAnsi="Times New Roman" w:cs="Times New Roman"/>
                <w:caps/>
                <w:sz w:val="24"/>
                <w:szCs w:val="24"/>
              </w:rPr>
              <w:t xml:space="preserve">). </w:t>
            </w:r>
            <w:r w:rsidR="00435BAA" w:rsidRPr="00435BAA">
              <w:rPr>
                <w:rFonts w:ascii="Times New Roman" w:hAnsi="Times New Roman" w:cs="Times New Roman"/>
                <w:sz w:val="24"/>
                <w:szCs w:val="24"/>
              </w:rPr>
              <w:t>Jame numatyta, kad baudas už vartojimo sutarčių sąlygų, kurios buvo pripažintos nesąžiningomis, tolesnį taikymą po atitinkamo teismo sprendimo įsiteisėjimo arba Valstybinės vartotojų teisių apsaugos tarnybos nutarimo paskelbimo, taiko Valstybinė vartotojų teisių apsaugos tarnyba.</w:t>
            </w:r>
          </w:p>
        </w:tc>
      </w:tr>
      <w:tr w:rsidR="00FD770A" w:rsidRPr="00CA1438" w14:paraId="59A18EC8" w14:textId="77777777" w:rsidTr="004B2FA2">
        <w:tc>
          <w:tcPr>
            <w:tcW w:w="0" w:type="auto"/>
          </w:tcPr>
          <w:p w14:paraId="597CC588" w14:textId="5BC05CA6" w:rsidR="00BE02B3" w:rsidRDefault="00BE02B3" w:rsidP="001477F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lastRenderedPageBreak/>
              <w:t xml:space="preserve">4. </w:t>
            </w:r>
          </w:p>
        </w:tc>
        <w:tc>
          <w:tcPr>
            <w:tcW w:w="0" w:type="auto"/>
          </w:tcPr>
          <w:p w14:paraId="22B2C594" w14:textId="7DAF416A" w:rsidR="00BE02B3" w:rsidRDefault="00BE02B3" w:rsidP="001477F1">
            <w:pPr>
              <w:rPr>
                <w:rFonts w:ascii="Times New Roman" w:hAnsi="Times New Roman" w:cs="Times New Roman"/>
                <w:sz w:val="24"/>
                <w:szCs w:val="24"/>
              </w:rPr>
            </w:pPr>
            <w:r>
              <w:rPr>
                <w:rFonts w:ascii="Times New Roman" w:hAnsi="Times New Roman" w:cs="Times New Roman"/>
                <w:sz w:val="24"/>
                <w:szCs w:val="24"/>
              </w:rPr>
              <w:t>Nacionalinė teismų administracija</w:t>
            </w:r>
          </w:p>
        </w:tc>
        <w:tc>
          <w:tcPr>
            <w:tcW w:w="0" w:type="auto"/>
          </w:tcPr>
          <w:p w14:paraId="3F528A12" w14:textId="599353D4" w:rsidR="00BE02B3" w:rsidRPr="00435BAA" w:rsidRDefault="00435BAA" w:rsidP="001477F1">
            <w:pPr>
              <w:pStyle w:val="Betarp"/>
              <w:jc w:val="both"/>
              <w:rPr>
                <w:sz w:val="24"/>
                <w:szCs w:val="24"/>
              </w:rPr>
            </w:pPr>
            <w:r>
              <w:rPr>
                <w:sz w:val="24"/>
                <w:szCs w:val="24"/>
              </w:rPr>
              <w:t>5. Atsižvelgiant į tai, kad Direktyva 2019/2161 numato, jog administracinės institucijos arba nacionaliniai teismai gali skirti sankcijas, kai verslininkas taiko nesąžiningas sutarties sąlygas, o sankcijų taikymą reglamentuojančios normos buvo perkeltos į VTAĮ, siekiant aiškumo, siūlytina CK 6.228</w:t>
            </w:r>
            <w:r w:rsidRPr="005F165C">
              <w:rPr>
                <w:sz w:val="24"/>
                <w:szCs w:val="24"/>
                <w:vertAlign w:val="superscript"/>
              </w:rPr>
              <w:t>4</w:t>
            </w:r>
            <w:r>
              <w:rPr>
                <w:sz w:val="24"/>
                <w:szCs w:val="24"/>
                <w:vertAlign w:val="superscript"/>
              </w:rPr>
              <w:t xml:space="preserve"> </w:t>
            </w:r>
            <w:r>
              <w:rPr>
                <w:sz w:val="24"/>
                <w:szCs w:val="24"/>
              </w:rPr>
              <w:t>straipsnį papildyti 11 dalimi, numatant, kad atsakomybę u</w:t>
            </w:r>
            <w:r w:rsidR="00A2707C">
              <w:rPr>
                <w:sz w:val="24"/>
                <w:szCs w:val="24"/>
              </w:rPr>
              <w:t>ž</w:t>
            </w:r>
            <w:r>
              <w:rPr>
                <w:sz w:val="24"/>
                <w:szCs w:val="24"/>
              </w:rPr>
              <w:t xml:space="preserve"> šio straipsnio pažeidimus nustato specialus įstatymas. </w:t>
            </w:r>
          </w:p>
        </w:tc>
        <w:tc>
          <w:tcPr>
            <w:tcW w:w="0" w:type="auto"/>
          </w:tcPr>
          <w:p w14:paraId="5C879D11" w14:textId="6FFD96EF" w:rsidR="00BE02B3" w:rsidRPr="00CA1438" w:rsidRDefault="00435BAA" w:rsidP="00546504">
            <w:pPr>
              <w:jc w:val="both"/>
              <w:rPr>
                <w:rFonts w:ascii="Times New Roman" w:hAnsi="Times New Roman" w:cs="Times New Roman"/>
                <w:sz w:val="24"/>
                <w:szCs w:val="24"/>
              </w:rPr>
            </w:pPr>
            <w:r w:rsidRPr="00CA1438">
              <w:rPr>
                <w:rFonts w:ascii="Times New Roman" w:hAnsi="Times New Roman" w:cs="Times New Roman"/>
                <w:b/>
                <w:bCs/>
                <w:sz w:val="24"/>
                <w:szCs w:val="24"/>
              </w:rPr>
              <w:t xml:space="preserve">Neatsižvelgta. </w:t>
            </w:r>
            <w:r w:rsidR="00A2707C">
              <w:rPr>
                <w:rFonts w:ascii="Times New Roman" w:hAnsi="Times New Roman" w:cs="Times New Roman"/>
                <w:sz w:val="24"/>
                <w:szCs w:val="24"/>
              </w:rPr>
              <w:t>Vartotojų teisių apsaugos įstatymo 40 straipsnyje nustatyta v</w:t>
            </w:r>
            <w:r>
              <w:rPr>
                <w:rFonts w:ascii="Times New Roman" w:hAnsi="Times New Roman" w:cs="Times New Roman"/>
                <w:sz w:val="24"/>
                <w:szCs w:val="24"/>
              </w:rPr>
              <w:t>erslininkų administracin</w:t>
            </w:r>
            <w:r w:rsidR="00A2707C">
              <w:rPr>
                <w:rFonts w:ascii="Times New Roman" w:hAnsi="Times New Roman" w:cs="Times New Roman"/>
                <w:sz w:val="24"/>
                <w:szCs w:val="24"/>
              </w:rPr>
              <w:t xml:space="preserve">ė, o ne civilinė </w:t>
            </w:r>
            <w:r>
              <w:rPr>
                <w:rFonts w:ascii="Times New Roman" w:hAnsi="Times New Roman" w:cs="Times New Roman"/>
                <w:sz w:val="24"/>
                <w:szCs w:val="24"/>
              </w:rPr>
              <w:t>atsakomyb</w:t>
            </w:r>
            <w:r w:rsidR="00A2707C">
              <w:rPr>
                <w:rFonts w:ascii="Times New Roman" w:hAnsi="Times New Roman" w:cs="Times New Roman"/>
                <w:sz w:val="24"/>
                <w:szCs w:val="24"/>
              </w:rPr>
              <w:t>ė</w:t>
            </w:r>
            <w:r>
              <w:rPr>
                <w:rFonts w:ascii="Times New Roman" w:hAnsi="Times New Roman" w:cs="Times New Roman"/>
                <w:sz w:val="24"/>
                <w:szCs w:val="24"/>
              </w:rPr>
              <w:t xml:space="preserve"> už vartotojų teisių apsaugos reikalavimų pažeidim</w:t>
            </w:r>
            <w:r w:rsidRPr="00A2707C">
              <w:rPr>
                <w:rFonts w:ascii="Times New Roman" w:hAnsi="Times New Roman" w:cs="Times New Roman"/>
                <w:sz w:val="24"/>
                <w:szCs w:val="24"/>
              </w:rPr>
              <w:t xml:space="preserve">us </w:t>
            </w:r>
            <w:r w:rsidR="00A2707C" w:rsidRPr="00A2707C">
              <w:rPr>
                <w:rFonts w:ascii="Times New Roman" w:hAnsi="Times New Roman" w:cs="Times New Roman"/>
                <w:sz w:val="24"/>
                <w:szCs w:val="24"/>
              </w:rPr>
              <w:t>(baudos).</w:t>
            </w:r>
            <w:r w:rsidRPr="00A2707C">
              <w:rPr>
                <w:rFonts w:ascii="Times New Roman" w:hAnsi="Times New Roman" w:cs="Times New Roman"/>
                <w:sz w:val="24"/>
                <w:szCs w:val="24"/>
              </w:rPr>
              <w:t xml:space="preserve"> </w:t>
            </w:r>
            <w:r w:rsidR="00A2707C" w:rsidRPr="00A2707C">
              <w:rPr>
                <w:rFonts w:ascii="Times New Roman" w:hAnsi="Times New Roman" w:cs="Times New Roman"/>
                <w:sz w:val="24"/>
                <w:szCs w:val="24"/>
              </w:rPr>
              <w:t>Be to, šiame straipsnyje nustat</w:t>
            </w:r>
            <w:r w:rsidR="00A2707C">
              <w:rPr>
                <w:rFonts w:ascii="Times New Roman" w:hAnsi="Times New Roman" w:cs="Times New Roman"/>
                <w:sz w:val="24"/>
                <w:szCs w:val="24"/>
              </w:rPr>
              <w:t>om</w:t>
            </w:r>
            <w:r w:rsidR="00A2707C" w:rsidRPr="00A2707C">
              <w:rPr>
                <w:rFonts w:ascii="Times New Roman" w:hAnsi="Times New Roman" w:cs="Times New Roman"/>
                <w:sz w:val="24"/>
                <w:szCs w:val="24"/>
              </w:rPr>
              <w:t>a atsakomybė ne tik už Civilinio kodekso 6.228</w:t>
            </w:r>
            <w:r w:rsidR="00A2707C" w:rsidRPr="00A2707C">
              <w:rPr>
                <w:rFonts w:ascii="Times New Roman" w:hAnsi="Times New Roman" w:cs="Times New Roman"/>
                <w:sz w:val="24"/>
                <w:szCs w:val="24"/>
                <w:vertAlign w:val="superscript"/>
              </w:rPr>
              <w:t xml:space="preserve">4 </w:t>
            </w:r>
            <w:r w:rsidR="00A2707C" w:rsidRPr="00A2707C">
              <w:rPr>
                <w:rFonts w:ascii="Times New Roman" w:hAnsi="Times New Roman" w:cs="Times New Roman"/>
                <w:sz w:val="24"/>
                <w:szCs w:val="24"/>
              </w:rPr>
              <w:t>straipsnyje</w:t>
            </w:r>
            <w:r w:rsidR="00A2707C">
              <w:rPr>
                <w:rFonts w:ascii="Times New Roman" w:hAnsi="Times New Roman" w:cs="Times New Roman"/>
                <w:sz w:val="24"/>
                <w:szCs w:val="24"/>
              </w:rPr>
              <w:t xml:space="preserve"> (įvertinus </w:t>
            </w:r>
            <w:r w:rsidR="00A2707C" w:rsidRPr="00A84AF5">
              <w:rPr>
                <w:rFonts w:ascii="Times New Roman" w:hAnsi="Times New Roman" w:cs="Times New Roman"/>
                <w:sz w:val="24"/>
                <w:szCs w:val="24"/>
              </w:rPr>
              <w:t>įstatymo projekt</w:t>
            </w:r>
            <w:r w:rsidR="00A2707C">
              <w:rPr>
                <w:rFonts w:ascii="Times New Roman" w:hAnsi="Times New Roman" w:cs="Times New Roman"/>
                <w:sz w:val="24"/>
                <w:szCs w:val="24"/>
              </w:rPr>
              <w:t>ą</w:t>
            </w:r>
            <w:r w:rsidR="00A2707C" w:rsidRPr="00435BAA">
              <w:rPr>
                <w:rFonts w:ascii="Times New Roman" w:hAnsi="Times New Roman" w:cs="Times New Roman"/>
                <w:sz w:val="24"/>
                <w:szCs w:val="24"/>
              </w:rPr>
              <w:t xml:space="preserve"> Nr. </w:t>
            </w:r>
            <w:r w:rsidR="00A2707C" w:rsidRPr="00435BAA">
              <w:rPr>
                <w:rFonts w:ascii="Times New Roman" w:hAnsi="Times New Roman" w:cs="Times New Roman"/>
                <w:caps/>
                <w:sz w:val="24"/>
                <w:szCs w:val="24"/>
              </w:rPr>
              <w:t>XIIIP-5328</w:t>
            </w:r>
            <w:r w:rsidR="00A2707C">
              <w:rPr>
                <w:rFonts w:ascii="Times New Roman" w:hAnsi="Times New Roman" w:cs="Times New Roman"/>
                <w:caps/>
                <w:sz w:val="24"/>
                <w:szCs w:val="24"/>
              </w:rPr>
              <w:t>).</w:t>
            </w:r>
            <w:r w:rsidR="00A2707C" w:rsidRPr="00A2707C">
              <w:rPr>
                <w:rFonts w:ascii="Times New Roman" w:hAnsi="Times New Roman" w:cs="Times New Roman"/>
                <w:sz w:val="24"/>
                <w:szCs w:val="24"/>
              </w:rPr>
              <w:t xml:space="preserve"> </w:t>
            </w:r>
            <w:r w:rsidR="00A2707C">
              <w:rPr>
                <w:rFonts w:ascii="Times New Roman" w:hAnsi="Times New Roman" w:cs="Times New Roman"/>
                <w:sz w:val="24"/>
                <w:szCs w:val="24"/>
              </w:rPr>
              <w:t xml:space="preserve">Todėl jeigu būtų papildomas </w:t>
            </w:r>
            <w:r w:rsidR="00A2707C" w:rsidRPr="00A2707C">
              <w:rPr>
                <w:rFonts w:ascii="Times New Roman" w:hAnsi="Times New Roman" w:cs="Times New Roman"/>
                <w:sz w:val="24"/>
                <w:szCs w:val="24"/>
              </w:rPr>
              <w:t>Civilinio kodekso 6.228</w:t>
            </w:r>
            <w:r w:rsidR="00A2707C" w:rsidRPr="00A2707C">
              <w:rPr>
                <w:rFonts w:ascii="Times New Roman" w:hAnsi="Times New Roman" w:cs="Times New Roman"/>
                <w:sz w:val="24"/>
                <w:szCs w:val="24"/>
                <w:vertAlign w:val="superscript"/>
              </w:rPr>
              <w:t xml:space="preserve">4 </w:t>
            </w:r>
            <w:r w:rsidR="00A2707C" w:rsidRPr="00A2707C">
              <w:rPr>
                <w:rFonts w:ascii="Times New Roman" w:hAnsi="Times New Roman" w:cs="Times New Roman"/>
                <w:sz w:val="24"/>
                <w:szCs w:val="24"/>
              </w:rPr>
              <w:t>straipsn</w:t>
            </w:r>
            <w:r w:rsidR="00A2707C">
              <w:rPr>
                <w:rFonts w:ascii="Times New Roman" w:hAnsi="Times New Roman" w:cs="Times New Roman"/>
                <w:sz w:val="24"/>
                <w:szCs w:val="24"/>
              </w:rPr>
              <w:t xml:space="preserve">is, nuosekliai reikėtų papildyti </w:t>
            </w:r>
            <w:r w:rsidR="00A2707C" w:rsidRPr="00A2707C">
              <w:rPr>
                <w:rFonts w:ascii="Times New Roman" w:hAnsi="Times New Roman" w:cs="Times New Roman"/>
                <w:sz w:val="24"/>
                <w:szCs w:val="24"/>
              </w:rPr>
              <w:t>ir kitus kodekso straipsnius</w:t>
            </w:r>
            <w:r w:rsidR="00A2707C">
              <w:rPr>
                <w:rFonts w:ascii="Times New Roman" w:hAnsi="Times New Roman" w:cs="Times New Roman"/>
                <w:sz w:val="24"/>
                <w:szCs w:val="24"/>
              </w:rPr>
              <w:t>, kuriuose</w:t>
            </w:r>
            <w:r w:rsidR="00A2707C" w:rsidRPr="00A2707C">
              <w:rPr>
                <w:rFonts w:ascii="Times New Roman" w:hAnsi="Times New Roman" w:cs="Times New Roman"/>
                <w:sz w:val="24"/>
                <w:szCs w:val="24"/>
              </w:rPr>
              <w:t xml:space="preserve"> nustatyt</w:t>
            </w:r>
            <w:r w:rsidR="00A2707C">
              <w:rPr>
                <w:rFonts w:ascii="Times New Roman" w:hAnsi="Times New Roman" w:cs="Times New Roman"/>
                <w:sz w:val="24"/>
                <w:szCs w:val="24"/>
              </w:rPr>
              <w:t>i vartotojų apsaugos reikalavimai, už kurių pažeidimą atsakomybė nustatyta Vartotojų teisių apsaugos įstatymo 40 straipsnyje.</w:t>
            </w:r>
          </w:p>
        </w:tc>
      </w:tr>
      <w:tr w:rsidR="00FD770A" w:rsidRPr="00CA1438" w14:paraId="20E7DB29" w14:textId="77777777" w:rsidTr="004B2FA2">
        <w:tc>
          <w:tcPr>
            <w:tcW w:w="0" w:type="auto"/>
          </w:tcPr>
          <w:p w14:paraId="22AB33AF" w14:textId="44FF9986" w:rsidR="00BE02B3" w:rsidRDefault="00BE02B3" w:rsidP="001477F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5. </w:t>
            </w:r>
          </w:p>
        </w:tc>
        <w:tc>
          <w:tcPr>
            <w:tcW w:w="0" w:type="auto"/>
          </w:tcPr>
          <w:p w14:paraId="1CEA98B1" w14:textId="1CB1937B" w:rsidR="00BE02B3" w:rsidRDefault="00BE02B3" w:rsidP="001477F1">
            <w:pPr>
              <w:rPr>
                <w:rFonts w:ascii="Times New Roman" w:hAnsi="Times New Roman" w:cs="Times New Roman"/>
                <w:sz w:val="24"/>
                <w:szCs w:val="24"/>
              </w:rPr>
            </w:pPr>
            <w:r>
              <w:rPr>
                <w:rFonts w:ascii="Times New Roman" w:hAnsi="Times New Roman" w:cs="Times New Roman"/>
                <w:sz w:val="24"/>
                <w:szCs w:val="24"/>
              </w:rPr>
              <w:t>Nacionalinė teismų administracija</w:t>
            </w:r>
          </w:p>
        </w:tc>
        <w:tc>
          <w:tcPr>
            <w:tcW w:w="0" w:type="auto"/>
          </w:tcPr>
          <w:p w14:paraId="6EF08927" w14:textId="53E114FE" w:rsidR="00BE02B3" w:rsidRPr="00CA1438" w:rsidRDefault="00BC37EF" w:rsidP="001477F1">
            <w:pPr>
              <w:pStyle w:val="Betarp"/>
              <w:jc w:val="both"/>
              <w:rPr>
                <w:sz w:val="24"/>
                <w:szCs w:val="24"/>
              </w:rPr>
            </w:pPr>
            <w:r>
              <w:rPr>
                <w:sz w:val="24"/>
                <w:szCs w:val="24"/>
              </w:rPr>
              <w:t xml:space="preserve">6. </w:t>
            </w:r>
            <w:r w:rsidR="00C465D6">
              <w:rPr>
                <w:sz w:val="24"/>
                <w:szCs w:val="24"/>
              </w:rPr>
              <w:t xml:space="preserve">Siūlytina NKVVDĮ 2 straipsnio 8 dalį tikslinti, į produkto sąvoką įtraukiant skaitmeninių elementų turinčias prekes. </w:t>
            </w:r>
          </w:p>
        </w:tc>
        <w:tc>
          <w:tcPr>
            <w:tcW w:w="0" w:type="auto"/>
          </w:tcPr>
          <w:p w14:paraId="0D7739EE" w14:textId="1E19DA4C" w:rsidR="00C465D6" w:rsidRPr="003C7C87" w:rsidRDefault="00C465D6" w:rsidP="00C465D6">
            <w:pPr>
              <w:jc w:val="both"/>
              <w:rPr>
                <w:rFonts w:ascii="Times New Roman" w:hAnsi="Times New Roman" w:cs="Times New Roman"/>
                <w:iCs/>
                <w:sz w:val="24"/>
                <w:szCs w:val="24"/>
              </w:rPr>
            </w:pPr>
            <w:r w:rsidRPr="00CA1438">
              <w:rPr>
                <w:rFonts w:ascii="Times New Roman" w:hAnsi="Times New Roman" w:cs="Times New Roman"/>
                <w:b/>
                <w:bCs/>
                <w:sz w:val="24"/>
                <w:szCs w:val="24"/>
              </w:rPr>
              <w:t>Neat</w:t>
            </w:r>
            <w:r w:rsidRPr="003C7C87">
              <w:rPr>
                <w:rFonts w:ascii="Times New Roman" w:hAnsi="Times New Roman" w:cs="Times New Roman"/>
                <w:b/>
                <w:bCs/>
                <w:sz w:val="24"/>
                <w:szCs w:val="24"/>
              </w:rPr>
              <w:t xml:space="preserve">sižvelgta. </w:t>
            </w:r>
            <w:r w:rsidR="00F04AD0" w:rsidRPr="003C7C87">
              <w:rPr>
                <w:rFonts w:ascii="Times New Roman" w:hAnsi="Times New Roman" w:cs="Times New Roman"/>
                <w:sz w:val="24"/>
                <w:szCs w:val="24"/>
              </w:rPr>
              <w:t xml:space="preserve">Produkto sąvokos apibrėžtis </w:t>
            </w:r>
            <w:r w:rsidR="00200BF7">
              <w:rPr>
                <w:rFonts w:ascii="Times New Roman" w:hAnsi="Times New Roman" w:cs="Times New Roman"/>
                <w:sz w:val="24"/>
                <w:szCs w:val="24"/>
              </w:rPr>
              <w:t xml:space="preserve">tiksliai </w:t>
            </w:r>
            <w:r w:rsidR="00F04AD0" w:rsidRPr="003C7C87">
              <w:rPr>
                <w:rFonts w:ascii="Times New Roman" w:hAnsi="Times New Roman" w:cs="Times New Roman"/>
                <w:sz w:val="24"/>
                <w:szCs w:val="24"/>
              </w:rPr>
              <w:t xml:space="preserve">suderinta su Direktyvos </w:t>
            </w:r>
            <w:r w:rsidR="003C7C87" w:rsidRPr="003C7C87">
              <w:rPr>
                <w:rFonts w:ascii="Times New Roman" w:hAnsi="Times New Roman" w:cs="Times New Roman"/>
                <w:iCs/>
                <w:sz w:val="24"/>
                <w:szCs w:val="24"/>
              </w:rPr>
              <w:t xml:space="preserve">2019/2161 nuostata. </w:t>
            </w:r>
          </w:p>
          <w:p w14:paraId="1CCA889E" w14:textId="1224493A" w:rsidR="00BE02B3" w:rsidRPr="00CA1438" w:rsidRDefault="003C7C87" w:rsidP="003C7C87">
            <w:pPr>
              <w:jc w:val="both"/>
              <w:rPr>
                <w:rFonts w:ascii="Times New Roman" w:hAnsi="Times New Roman" w:cs="Times New Roman"/>
                <w:sz w:val="24"/>
                <w:szCs w:val="24"/>
              </w:rPr>
            </w:pPr>
            <w:r w:rsidRPr="003C7C87">
              <w:rPr>
                <w:rFonts w:ascii="Times New Roman" w:hAnsi="Times New Roman" w:cs="Times New Roman"/>
                <w:iCs/>
                <w:sz w:val="24"/>
                <w:szCs w:val="24"/>
              </w:rPr>
              <w:t xml:space="preserve">Pažymėtina, kad </w:t>
            </w:r>
            <w:r w:rsidRPr="003C7C87">
              <w:rPr>
                <w:rFonts w:ascii="Times New Roman" w:hAnsi="Times New Roman" w:cs="Times New Roman"/>
                <w:sz w:val="24"/>
                <w:szCs w:val="24"/>
              </w:rPr>
              <w:t>skaitmeninių elementų turinčios prekės apibrėžtis jau pateikta Civilinio kodekso 6.228</w:t>
            </w:r>
            <w:r w:rsidRPr="003C7C87">
              <w:rPr>
                <w:rFonts w:ascii="Times New Roman" w:hAnsi="Times New Roman" w:cs="Times New Roman"/>
                <w:sz w:val="24"/>
                <w:szCs w:val="24"/>
                <w:vertAlign w:val="superscript"/>
              </w:rPr>
              <w:t>1</w:t>
            </w:r>
            <w:r w:rsidRPr="003C7C87">
              <w:rPr>
                <w:rFonts w:ascii="Times New Roman" w:hAnsi="Times New Roman" w:cs="Times New Roman"/>
                <w:sz w:val="24"/>
                <w:szCs w:val="24"/>
              </w:rPr>
              <w:t xml:space="preserve"> straipsnyje (žr. įstatymą Nr. XIV-466, kuris įsigalios 2022 m. sausio 1 d.).</w:t>
            </w:r>
          </w:p>
        </w:tc>
      </w:tr>
      <w:tr w:rsidR="00FD770A" w:rsidRPr="00F04AD0" w14:paraId="6C07E17B" w14:textId="77777777" w:rsidTr="004B2FA2">
        <w:tc>
          <w:tcPr>
            <w:tcW w:w="0" w:type="auto"/>
          </w:tcPr>
          <w:p w14:paraId="7B31F6D4" w14:textId="459DE764" w:rsidR="00C465D6" w:rsidRPr="00F04AD0" w:rsidRDefault="00E80A7C" w:rsidP="001477F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6</w:t>
            </w:r>
            <w:r w:rsidR="00B574F5" w:rsidRPr="00F04AD0">
              <w:rPr>
                <w:rFonts w:ascii="Times New Roman" w:hAnsi="Times New Roman" w:cs="Times New Roman"/>
                <w:bCs/>
                <w:sz w:val="24"/>
                <w:szCs w:val="24"/>
              </w:rPr>
              <w:t>.</w:t>
            </w:r>
          </w:p>
        </w:tc>
        <w:tc>
          <w:tcPr>
            <w:tcW w:w="0" w:type="auto"/>
          </w:tcPr>
          <w:p w14:paraId="46D71E0C" w14:textId="6FBDBEB8" w:rsidR="00C465D6" w:rsidRPr="00F04AD0" w:rsidRDefault="00F04AD0" w:rsidP="001477F1">
            <w:pPr>
              <w:rPr>
                <w:rFonts w:ascii="Times New Roman" w:hAnsi="Times New Roman" w:cs="Times New Roman"/>
                <w:sz w:val="24"/>
                <w:szCs w:val="24"/>
              </w:rPr>
            </w:pPr>
            <w:r w:rsidRPr="00F04AD0">
              <w:rPr>
                <w:rFonts w:ascii="Times New Roman" w:hAnsi="Times New Roman" w:cs="Times New Roman"/>
                <w:sz w:val="24"/>
                <w:szCs w:val="24"/>
              </w:rPr>
              <w:t>Lietuvos prekybos įmonių asociacija</w:t>
            </w:r>
          </w:p>
        </w:tc>
        <w:tc>
          <w:tcPr>
            <w:tcW w:w="0" w:type="auto"/>
          </w:tcPr>
          <w:p w14:paraId="24013351" w14:textId="0D602632" w:rsidR="00F04AD0" w:rsidRPr="00F04AD0" w:rsidRDefault="00F04AD0" w:rsidP="00F04AD0">
            <w:pPr>
              <w:pStyle w:val="Default"/>
            </w:pPr>
            <w:r w:rsidRPr="00F04AD0">
              <w:rPr>
                <w:iCs/>
              </w:rPr>
              <w:t>N</w:t>
            </w:r>
            <w:r w:rsidRPr="00F04AD0">
              <w:t>uostata dėl „dvigubos kokybės“</w:t>
            </w:r>
          </w:p>
          <w:p w14:paraId="5D1A737B" w14:textId="77777777" w:rsidR="00F04AD0" w:rsidRPr="00F04AD0" w:rsidRDefault="00F04AD0" w:rsidP="00F04AD0">
            <w:pPr>
              <w:tabs>
                <w:tab w:val="left" w:pos="300"/>
              </w:tabs>
              <w:jc w:val="both"/>
              <w:rPr>
                <w:rFonts w:ascii="Times New Roman" w:hAnsi="Times New Roman" w:cs="Times New Roman"/>
                <w:iCs/>
                <w:sz w:val="24"/>
                <w:szCs w:val="24"/>
              </w:rPr>
            </w:pPr>
            <w:r w:rsidRPr="00F04AD0">
              <w:rPr>
                <w:rFonts w:ascii="Times New Roman" w:hAnsi="Times New Roman" w:cs="Times New Roman"/>
                <w:iCs/>
                <w:sz w:val="24"/>
                <w:szCs w:val="24"/>
              </w:rPr>
              <w:t xml:space="preserve">Siūloma Nesąžiningos komercinės veiklos vartotojams draudimo įstatymo 5 straipsnio 2 dalį 3 punktą formuluoti taip: </w:t>
            </w:r>
          </w:p>
          <w:p w14:paraId="5ACD1358" w14:textId="77777777" w:rsidR="00F04AD0" w:rsidRPr="00F04AD0" w:rsidRDefault="00F04AD0" w:rsidP="00F04AD0">
            <w:pPr>
              <w:jc w:val="both"/>
              <w:rPr>
                <w:rFonts w:ascii="Times New Roman" w:hAnsi="Times New Roman" w:cs="Times New Roman"/>
                <w:iCs/>
                <w:sz w:val="24"/>
                <w:szCs w:val="24"/>
              </w:rPr>
            </w:pPr>
            <w:r w:rsidRPr="00F04AD0">
              <w:rPr>
                <w:rFonts w:ascii="Times New Roman" w:hAnsi="Times New Roman" w:cs="Times New Roman"/>
                <w:iCs/>
                <w:sz w:val="24"/>
                <w:szCs w:val="24"/>
              </w:rPr>
              <w:t xml:space="preserve">„3) </w:t>
            </w:r>
            <w:r w:rsidRPr="00F04AD0">
              <w:rPr>
                <w:rFonts w:ascii="Times New Roman" w:hAnsi="Times New Roman" w:cs="Times New Roman"/>
                <w:b/>
                <w:bCs/>
                <w:iCs/>
                <w:sz w:val="24"/>
                <w:szCs w:val="24"/>
              </w:rPr>
              <w:t>komercinės veiklos subjekto pagamintos ar jo užsakytos (įskaitant pažymėjimą savo vardu arba naudojant savo prekių ženklą) ar komercinės veiklos subjekto į Europos Sąjungos valstybę importuotos prekės pateikimą vartotojui</w:t>
            </w:r>
            <w:r w:rsidRPr="00F04AD0">
              <w:rPr>
                <w:rFonts w:ascii="Times New Roman" w:hAnsi="Times New Roman" w:cs="Times New Roman"/>
                <w:iCs/>
                <w:sz w:val="24"/>
                <w:szCs w:val="24"/>
              </w:rPr>
              <w:t xml:space="preserve"> Lietuvoje kaip tapačią tokiai pačiai kitose Europos Sąjungos valstybėse narėse parduodamai prekei, nors tos prekės sudėtis ar savybės reikšmingai skiriasi, </w:t>
            </w:r>
            <w:r w:rsidRPr="00F04AD0">
              <w:rPr>
                <w:rFonts w:ascii="Times New Roman" w:hAnsi="Times New Roman" w:cs="Times New Roman"/>
                <w:iCs/>
                <w:sz w:val="24"/>
                <w:szCs w:val="24"/>
              </w:rPr>
              <w:lastRenderedPageBreak/>
              <w:t>išskyrus atvejus, kai tai pagrįsta teisėtomis ir objektyviomis priežastimis.“</w:t>
            </w:r>
          </w:p>
          <w:p w14:paraId="086BF2C2" w14:textId="77777777" w:rsidR="00F04AD0" w:rsidRPr="00F04AD0" w:rsidRDefault="00F04AD0" w:rsidP="00F04AD0">
            <w:pPr>
              <w:jc w:val="both"/>
              <w:rPr>
                <w:rFonts w:ascii="Times New Roman" w:hAnsi="Times New Roman" w:cs="Times New Roman"/>
                <w:iCs/>
                <w:sz w:val="24"/>
                <w:szCs w:val="24"/>
              </w:rPr>
            </w:pPr>
            <w:r w:rsidRPr="00F04AD0">
              <w:rPr>
                <w:rFonts w:ascii="Times New Roman" w:hAnsi="Times New Roman" w:cs="Times New Roman"/>
                <w:iCs/>
                <w:sz w:val="24"/>
                <w:szCs w:val="24"/>
              </w:rPr>
              <w:t>arba, alternatyviai:</w:t>
            </w:r>
          </w:p>
          <w:p w14:paraId="45A89617" w14:textId="304CC383" w:rsidR="00C465D6" w:rsidRPr="00F04AD0" w:rsidRDefault="00F04AD0" w:rsidP="00F04AD0">
            <w:pPr>
              <w:pStyle w:val="Betarp"/>
              <w:jc w:val="both"/>
              <w:rPr>
                <w:sz w:val="24"/>
                <w:szCs w:val="24"/>
              </w:rPr>
            </w:pPr>
            <w:r w:rsidRPr="00F04AD0">
              <w:rPr>
                <w:iCs/>
                <w:sz w:val="24"/>
                <w:szCs w:val="24"/>
              </w:rPr>
              <w:t xml:space="preserve">„3) </w:t>
            </w:r>
            <w:r w:rsidRPr="00F04AD0">
              <w:rPr>
                <w:b/>
                <w:bCs/>
                <w:iCs/>
                <w:sz w:val="24"/>
                <w:szCs w:val="24"/>
              </w:rPr>
              <w:t>komercinės veiklos subjekto, pateikusio prekę Europos Sąjungos valstybės rinkai, šios prekės siūlymą ar pardavimą vartotojui</w:t>
            </w:r>
            <w:r w:rsidRPr="00F04AD0">
              <w:rPr>
                <w:iCs/>
                <w:sz w:val="24"/>
                <w:szCs w:val="24"/>
              </w:rPr>
              <w:t xml:space="preserve"> Lietuvoje kaip tapačią tokiai pačiai kitose Europos Sąjungos valstybėse narėse parduodamai prekei, nors tos prekės sudėtis ar savybės reikšmingai skiriasi, išskyrus atvejus, kai tai pagrįsta teisėtomis ir objektyviomis priežastimis.“</w:t>
            </w:r>
          </w:p>
        </w:tc>
        <w:tc>
          <w:tcPr>
            <w:tcW w:w="0" w:type="auto"/>
          </w:tcPr>
          <w:p w14:paraId="689A7312" w14:textId="4D8C92C3" w:rsidR="00200BF7" w:rsidRPr="00200BF7" w:rsidRDefault="00F04AD0" w:rsidP="00546504">
            <w:pPr>
              <w:jc w:val="both"/>
              <w:rPr>
                <w:rFonts w:ascii="Times New Roman" w:hAnsi="Times New Roman" w:cs="Times New Roman"/>
                <w:iCs/>
                <w:sz w:val="24"/>
                <w:szCs w:val="24"/>
              </w:rPr>
            </w:pPr>
            <w:r w:rsidRPr="00200BF7">
              <w:rPr>
                <w:rFonts w:ascii="Times New Roman" w:hAnsi="Times New Roman" w:cs="Times New Roman"/>
                <w:b/>
                <w:iCs/>
                <w:sz w:val="24"/>
                <w:szCs w:val="24"/>
              </w:rPr>
              <w:lastRenderedPageBreak/>
              <w:t>Atsižvelgta iš dalies.</w:t>
            </w:r>
            <w:r w:rsidR="00546504">
              <w:rPr>
                <w:rFonts w:ascii="Times New Roman" w:hAnsi="Times New Roman" w:cs="Times New Roman"/>
                <w:b/>
                <w:iCs/>
                <w:sz w:val="24"/>
                <w:szCs w:val="24"/>
              </w:rPr>
              <w:t xml:space="preserve"> </w:t>
            </w:r>
            <w:r w:rsidR="00200BF7" w:rsidRPr="00200BF7">
              <w:rPr>
                <w:rFonts w:ascii="Times New Roman" w:hAnsi="Times New Roman" w:cs="Times New Roman"/>
                <w:iCs/>
                <w:sz w:val="24"/>
                <w:szCs w:val="24"/>
              </w:rPr>
              <w:t xml:space="preserve">Projekto nuostata patikslinta, sujungiant abu siūlomus variantus ir nenustatant papildomų sąlygų nei nustato Direktyvos 2019/2161 nuostata. Įstatymo </w:t>
            </w:r>
            <w:r w:rsidR="00200BF7" w:rsidRPr="00200BF7">
              <w:rPr>
                <w:rFonts w:ascii="Times New Roman" w:eastAsia="Calibri" w:hAnsi="Times New Roman" w:cs="Times New Roman"/>
                <w:sz w:val="24"/>
                <w:szCs w:val="24"/>
              </w:rPr>
              <w:t xml:space="preserve">5 straipsnio 2 dalies 3 punktas </w:t>
            </w:r>
            <w:r w:rsidR="00A54E3E">
              <w:rPr>
                <w:rFonts w:ascii="Times New Roman" w:eastAsia="Calibri" w:hAnsi="Times New Roman" w:cs="Times New Roman"/>
                <w:sz w:val="24"/>
                <w:szCs w:val="24"/>
              </w:rPr>
              <w:t>patikslintas</w:t>
            </w:r>
            <w:r w:rsidR="00200BF7" w:rsidRPr="00200BF7">
              <w:rPr>
                <w:rFonts w:ascii="Times New Roman" w:eastAsia="Calibri" w:hAnsi="Times New Roman" w:cs="Times New Roman"/>
                <w:sz w:val="24"/>
                <w:szCs w:val="24"/>
              </w:rPr>
              <w:t xml:space="preserve"> taip:</w:t>
            </w:r>
          </w:p>
          <w:p w14:paraId="30504151" w14:textId="06F66F85" w:rsidR="00200BF7" w:rsidRPr="00200BF7" w:rsidRDefault="00200BF7" w:rsidP="00F04AD0">
            <w:pPr>
              <w:jc w:val="both"/>
              <w:rPr>
                <w:rFonts w:ascii="Times New Roman" w:hAnsi="Times New Roman" w:cs="Times New Roman"/>
                <w:iCs/>
                <w:sz w:val="24"/>
                <w:szCs w:val="24"/>
              </w:rPr>
            </w:pPr>
            <w:r w:rsidRPr="00200BF7">
              <w:rPr>
                <w:rFonts w:ascii="Times New Roman" w:hAnsi="Times New Roman" w:cs="Times New Roman"/>
                <w:color w:val="000000"/>
                <w:sz w:val="24"/>
                <w:szCs w:val="24"/>
              </w:rPr>
              <w:t xml:space="preserve">„3) bet kokį prekės </w:t>
            </w:r>
            <w:r w:rsidRPr="00200BF7">
              <w:rPr>
                <w:rFonts w:ascii="Times New Roman" w:hAnsi="Times New Roman" w:cs="Times New Roman"/>
                <w:b/>
                <w:bCs/>
                <w:color w:val="000000"/>
                <w:sz w:val="24"/>
                <w:szCs w:val="24"/>
              </w:rPr>
              <w:t xml:space="preserve">pateikimą, siūlymą ar pardavimą vartotojams </w:t>
            </w:r>
            <w:r w:rsidRPr="00200BF7">
              <w:rPr>
                <w:rFonts w:ascii="Times New Roman" w:hAnsi="Times New Roman" w:cs="Times New Roman"/>
                <w:color w:val="000000"/>
                <w:sz w:val="24"/>
                <w:szCs w:val="24"/>
              </w:rPr>
              <w:t>Lietuvoje kaip tapačios kitose Europos Sąjungos valstybėse narėse parduodamai prekei, nors tos prekės sudėtis ar savybės reikšmingai skiriasi, išskyrus atvejus, kai tai pagrįsta teisėtomis ir objektyviomis priežastimis.“</w:t>
            </w:r>
          </w:p>
          <w:p w14:paraId="356A12A1" w14:textId="0D4644C8" w:rsidR="00F04AD0" w:rsidRDefault="00F04AD0" w:rsidP="00F04AD0">
            <w:pPr>
              <w:jc w:val="both"/>
              <w:rPr>
                <w:rFonts w:ascii="Times New Roman" w:hAnsi="Times New Roman" w:cs="Times New Roman"/>
                <w:iCs/>
                <w:sz w:val="24"/>
                <w:szCs w:val="24"/>
              </w:rPr>
            </w:pPr>
            <w:r w:rsidRPr="00200BF7">
              <w:rPr>
                <w:rFonts w:ascii="Times New Roman" w:hAnsi="Times New Roman" w:cs="Times New Roman"/>
                <w:iCs/>
                <w:sz w:val="24"/>
                <w:szCs w:val="24"/>
              </w:rPr>
              <w:lastRenderedPageBreak/>
              <w:t xml:space="preserve">Direktyvos 2019/2161 3 straipsnio 3 dalyje </w:t>
            </w:r>
            <w:r w:rsidR="00200BF7">
              <w:rPr>
                <w:rFonts w:ascii="Times New Roman" w:hAnsi="Times New Roman" w:cs="Times New Roman"/>
                <w:iCs/>
                <w:sz w:val="24"/>
                <w:szCs w:val="24"/>
              </w:rPr>
              <w:t>nuostata dėl „dvigubos kokybės“ išdėstyta taip</w:t>
            </w:r>
            <w:r w:rsidRPr="00200BF7">
              <w:rPr>
                <w:rFonts w:ascii="Times New Roman" w:hAnsi="Times New Roman" w:cs="Times New Roman"/>
                <w:iCs/>
                <w:sz w:val="24"/>
                <w:szCs w:val="24"/>
              </w:rPr>
              <w:t>:</w:t>
            </w:r>
            <w:r w:rsidR="00200BF7">
              <w:rPr>
                <w:rFonts w:ascii="Times New Roman" w:hAnsi="Times New Roman" w:cs="Times New Roman"/>
                <w:iCs/>
                <w:sz w:val="24"/>
                <w:szCs w:val="24"/>
              </w:rPr>
              <w:t xml:space="preserve"> </w:t>
            </w:r>
            <w:r w:rsidR="00200BF7" w:rsidRPr="00200BF7">
              <w:rPr>
                <w:rFonts w:ascii="Times New Roman" w:hAnsi="Times New Roman" w:cs="Times New Roman"/>
                <w:bCs/>
                <w:iCs/>
                <w:sz w:val="24"/>
                <w:szCs w:val="24"/>
              </w:rPr>
              <w:t>„</w:t>
            </w:r>
            <w:r w:rsidRPr="00200BF7">
              <w:rPr>
                <w:rFonts w:ascii="Times New Roman" w:hAnsi="Times New Roman" w:cs="Times New Roman"/>
                <w:bCs/>
                <w:iCs/>
                <w:sz w:val="24"/>
                <w:szCs w:val="24"/>
              </w:rPr>
              <w:t>bet kokią prekybą preke vienoje valstybėje narėje kaip tapačią tokiai pačiai kitose valstybėse narėse parduodamai prekei, nors tos prekės sudėtis ar savybės g</w:t>
            </w:r>
            <w:r w:rsidRPr="00200BF7">
              <w:rPr>
                <w:rFonts w:ascii="Times New Roman" w:hAnsi="Times New Roman" w:cs="Times New Roman"/>
                <w:iCs/>
                <w:sz w:val="24"/>
                <w:szCs w:val="24"/>
              </w:rPr>
              <w:t>erokai skiriasi, nebent tai būtų pateisinama teisėtomis ir objektyviomis priežastimis.“</w:t>
            </w:r>
            <w:r w:rsidR="00200BF7">
              <w:rPr>
                <w:rFonts w:ascii="Times New Roman" w:hAnsi="Times New Roman" w:cs="Times New Roman"/>
                <w:iCs/>
                <w:sz w:val="24"/>
                <w:szCs w:val="24"/>
              </w:rPr>
              <w:t xml:space="preserve"> </w:t>
            </w:r>
          </w:p>
          <w:p w14:paraId="5BC952CB" w14:textId="15C96D26" w:rsidR="00200BF7" w:rsidRPr="00563C79" w:rsidRDefault="00200BF7" w:rsidP="00563C79">
            <w:pPr>
              <w:jc w:val="both"/>
              <w:rPr>
                <w:rFonts w:ascii="Times New Roman" w:hAnsi="Times New Roman" w:cs="Times New Roman"/>
                <w:iCs/>
                <w:sz w:val="24"/>
                <w:szCs w:val="24"/>
              </w:rPr>
            </w:pPr>
            <w:r w:rsidRPr="00563C79">
              <w:rPr>
                <w:rFonts w:ascii="Times New Roman" w:hAnsi="Times New Roman" w:cs="Times New Roman"/>
                <w:iCs/>
                <w:sz w:val="24"/>
                <w:szCs w:val="24"/>
              </w:rPr>
              <w:t xml:space="preserve">Taigi, papildomų sąlygų nurodymas (įtraukimas) </w:t>
            </w:r>
            <w:r w:rsidR="00A54E3E">
              <w:rPr>
                <w:rFonts w:ascii="Times New Roman" w:hAnsi="Times New Roman" w:cs="Times New Roman"/>
                <w:iCs/>
                <w:sz w:val="24"/>
                <w:szCs w:val="24"/>
              </w:rPr>
              <w:t xml:space="preserve">įstatyme </w:t>
            </w:r>
            <w:r w:rsidRPr="00563C79">
              <w:rPr>
                <w:rFonts w:ascii="Times New Roman" w:hAnsi="Times New Roman" w:cs="Times New Roman"/>
                <w:iCs/>
                <w:sz w:val="24"/>
                <w:szCs w:val="24"/>
              </w:rPr>
              <w:t>neatitiktų Direktyvos 2019/2161 nuostatos</w:t>
            </w:r>
            <w:r w:rsidR="00A54E3E">
              <w:rPr>
                <w:rFonts w:ascii="Times New Roman" w:hAnsi="Times New Roman" w:cs="Times New Roman"/>
                <w:iCs/>
                <w:sz w:val="24"/>
                <w:szCs w:val="24"/>
              </w:rPr>
              <w:t xml:space="preserve"> ir</w:t>
            </w:r>
            <w:r w:rsidRPr="00563C79">
              <w:rPr>
                <w:rFonts w:ascii="Times New Roman" w:hAnsi="Times New Roman" w:cs="Times New Roman"/>
                <w:iCs/>
                <w:sz w:val="24"/>
                <w:szCs w:val="24"/>
              </w:rPr>
              <w:t xml:space="preserve"> </w:t>
            </w:r>
            <w:r w:rsidR="00A54E3E" w:rsidRPr="00200BF7">
              <w:rPr>
                <w:rFonts w:ascii="Times New Roman" w:hAnsi="Times New Roman" w:cs="Times New Roman"/>
                <w:iCs/>
                <w:sz w:val="24"/>
                <w:szCs w:val="24"/>
              </w:rPr>
              <w:t>apribot</w:t>
            </w:r>
            <w:r w:rsidR="00A54E3E">
              <w:rPr>
                <w:rFonts w:ascii="Times New Roman" w:hAnsi="Times New Roman" w:cs="Times New Roman"/>
                <w:iCs/>
                <w:sz w:val="24"/>
                <w:szCs w:val="24"/>
              </w:rPr>
              <w:t>ų</w:t>
            </w:r>
            <w:r w:rsidR="00A54E3E" w:rsidRPr="00200BF7">
              <w:rPr>
                <w:rFonts w:ascii="Times New Roman" w:hAnsi="Times New Roman" w:cs="Times New Roman"/>
                <w:iCs/>
                <w:sz w:val="24"/>
                <w:szCs w:val="24"/>
              </w:rPr>
              <w:t xml:space="preserve"> </w:t>
            </w:r>
            <w:r w:rsidR="00A54E3E">
              <w:rPr>
                <w:rFonts w:ascii="Times New Roman" w:hAnsi="Times New Roman" w:cs="Times New Roman"/>
                <w:iCs/>
                <w:sz w:val="24"/>
                <w:szCs w:val="24"/>
              </w:rPr>
              <w:t>jos</w:t>
            </w:r>
            <w:r w:rsidR="00A54E3E" w:rsidRPr="00200BF7">
              <w:rPr>
                <w:rFonts w:ascii="Times New Roman" w:hAnsi="Times New Roman" w:cs="Times New Roman"/>
                <w:iCs/>
                <w:sz w:val="24"/>
                <w:szCs w:val="24"/>
              </w:rPr>
              <w:t xml:space="preserve"> taikym</w:t>
            </w:r>
            <w:r w:rsidR="00A54E3E">
              <w:rPr>
                <w:rFonts w:ascii="Times New Roman" w:hAnsi="Times New Roman" w:cs="Times New Roman"/>
                <w:iCs/>
                <w:sz w:val="24"/>
                <w:szCs w:val="24"/>
              </w:rPr>
              <w:t>ą</w:t>
            </w:r>
            <w:r w:rsidR="00A54E3E" w:rsidRPr="00200BF7">
              <w:rPr>
                <w:rFonts w:ascii="Times New Roman" w:hAnsi="Times New Roman" w:cs="Times New Roman"/>
                <w:iCs/>
                <w:sz w:val="24"/>
                <w:szCs w:val="24"/>
              </w:rPr>
              <w:t>.</w:t>
            </w:r>
          </w:p>
          <w:p w14:paraId="6F92C120" w14:textId="6582729B" w:rsidR="00C465D6" w:rsidRPr="00200BF7" w:rsidRDefault="00563C79" w:rsidP="00563C79">
            <w:pPr>
              <w:pStyle w:val="Default"/>
              <w:jc w:val="both"/>
              <w:rPr>
                <w:b/>
                <w:bCs/>
              </w:rPr>
            </w:pPr>
            <w:r w:rsidRPr="00563C79">
              <w:rPr>
                <w:iCs/>
              </w:rPr>
              <w:t>Be to, Komisijos parengtame darbiniame dokumente (direktyvos taikymo gairių projekte) pateikti aktualūs paaiškinimai ir dėl sąvokos „</w:t>
            </w:r>
            <w:r w:rsidRPr="00563C79">
              <w:rPr>
                <w:i/>
              </w:rPr>
              <w:t>marketing</w:t>
            </w:r>
            <w:r w:rsidRPr="00563C79">
              <w:rPr>
                <w:iCs/>
              </w:rPr>
              <w:t xml:space="preserve">“ turinio, ir dėl „dvigubos kokybės“ </w:t>
            </w:r>
            <w:r w:rsidRPr="00563C79">
              <w:rPr>
                <w:bCs/>
                <w:iCs/>
              </w:rPr>
              <w:t xml:space="preserve">nuostatos taikymo pagrindinė </w:t>
            </w:r>
            <w:r w:rsidR="00F04AD0" w:rsidRPr="00563C79">
              <w:rPr>
                <w:bCs/>
                <w:iCs/>
              </w:rPr>
              <w:t>tikslinė</w:t>
            </w:r>
            <w:r w:rsidRPr="00563C79">
              <w:rPr>
                <w:bCs/>
                <w:iCs/>
              </w:rPr>
              <w:t>s</w:t>
            </w:r>
            <w:r w:rsidR="00F04AD0" w:rsidRPr="00563C79">
              <w:rPr>
                <w:bCs/>
                <w:iCs/>
              </w:rPr>
              <w:t xml:space="preserve"> grupė</w:t>
            </w:r>
            <w:r w:rsidRPr="00563C79">
              <w:rPr>
                <w:bCs/>
                <w:iCs/>
              </w:rPr>
              <w:t xml:space="preserve">s (t. y. </w:t>
            </w:r>
            <w:r w:rsidR="00F04AD0" w:rsidRPr="00563C79">
              <w:rPr>
                <w:bCs/>
                <w:iCs/>
              </w:rPr>
              <w:t xml:space="preserve">gamintojai, kurie nustato </w:t>
            </w:r>
            <w:r w:rsidRPr="00563C79">
              <w:t xml:space="preserve">prekės sudėties pateikimą (apibrėžimą) ant jos pakuotės, </w:t>
            </w:r>
            <w:r w:rsidR="00F04AD0" w:rsidRPr="00563C79">
              <w:rPr>
                <w:iCs/>
              </w:rPr>
              <w:t xml:space="preserve">įskaitant </w:t>
            </w:r>
            <w:r w:rsidRPr="00563C79">
              <w:rPr>
                <w:iCs/>
              </w:rPr>
              <w:t xml:space="preserve">prekių ženklų </w:t>
            </w:r>
            <w:r w:rsidR="00F04AD0" w:rsidRPr="00563C79">
              <w:rPr>
                <w:iCs/>
              </w:rPr>
              <w:t>savininkus</w:t>
            </w:r>
            <w:r w:rsidRPr="00563C79">
              <w:rPr>
                <w:iCs/>
              </w:rPr>
              <w:t>)</w:t>
            </w:r>
            <w:r w:rsidR="00F04AD0" w:rsidRPr="00563C79">
              <w:rPr>
                <w:iCs/>
              </w:rPr>
              <w:t xml:space="preserve">. Todėl </w:t>
            </w:r>
            <w:r>
              <w:rPr>
                <w:iCs/>
              </w:rPr>
              <w:t>priežiūra (kontrolė)</w:t>
            </w:r>
            <w:r w:rsidR="00F04AD0" w:rsidRPr="00563C79">
              <w:rPr>
                <w:iCs/>
              </w:rPr>
              <w:t>, visų pirma turėtų būti skirta gamintojų ir (arba) importuotojų taisomiesiems veiksmams, susijusiems su konkrečia preke.</w:t>
            </w:r>
          </w:p>
        </w:tc>
      </w:tr>
      <w:tr w:rsidR="00FD770A" w:rsidRPr="00F04AD0" w14:paraId="45E02E0E" w14:textId="77777777" w:rsidTr="004B2FA2">
        <w:tc>
          <w:tcPr>
            <w:tcW w:w="0" w:type="auto"/>
          </w:tcPr>
          <w:p w14:paraId="3C3DF117" w14:textId="28D8BE8F" w:rsidR="00504F7F" w:rsidRPr="00F04AD0" w:rsidRDefault="00E80A7C" w:rsidP="001477F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lastRenderedPageBreak/>
              <w:t>7</w:t>
            </w:r>
            <w:bookmarkStart w:id="1" w:name="_GoBack"/>
            <w:bookmarkEnd w:id="1"/>
            <w:r w:rsidR="00B574F5" w:rsidRPr="00F04AD0">
              <w:rPr>
                <w:rFonts w:ascii="Times New Roman" w:hAnsi="Times New Roman" w:cs="Times New Roman"/>
                <w:bCs/>
                <w:sz w:val="24"/>
                <w:szCs w:val="24"/>
              </w:rPr>
              <w:t xml:space="preserve">. </w:t>
            </w:r>
          </w:p>
        </w:tc>
        <w:tc>
          <w:tcPr>
            <w:tcW w:w="0" w:type="auto"/>
          </w:tcPr>
          <w:p w14:paraId="2F56E0C3" w14:textId="0171979D" w:rsidR="00504F7F" w:rsidRPr="00F04AD0" w:rsidRDefault="00F04AD0" w:rsidP="001477F1">
            <w:pPr>
              <w:rPr>
                <w:rFonts w:ascii="Times New Roman" w:hAnsi="Times New Roman" w:cs="Times New Roman"/>
                <w:sz w:val="24"/>
                <w:szCs w:val="24"/>
              </w:rPr>
            </w:pPr>
            <w:r w:rsidRPr="00F04AD0">
              <w:rPr>
                <w:rFonts w:ascii="Times New Roman" w:hAnsi="Times New Roman" w:cs="Times New Roman"/>
                <w:sz w:val="24"/>
                <w:szCs w:val="24"/>
              </w:rPr>
              <w:t>Lietuvos prekybos įmonių asociacija</w:t>
            </w:r>
          </w:p>
        </w:tc>
        <w:tc>
          <w:tcPr>
            <w:tcW w:w="0" w:type="auto"/>
          </w:tcPr>
          <w:p w14:paraId="0B3CFC20" w14:textId="77777777" w:rsidR="00A54E3E" w:rsidRDefault="00A54E3E" w:rsidP="00F04AD0">
            <w:pPr>
              <w:jc w:val="both"/>
              <w:rPr>
                <w:rFonts w:ascii="Times New Roman" w:hAnsi="Times New Roman" w:cs="Times New Roman"/>
                <w:iCs/>
                <w:sz w:val="24"/>
                <w:szCs w:val="24"/>
              </w:rPr>
            </w:pPr>
            <w:r>
              <w:rPr>
                <w:rFonts w:ascii="Times New Roman" w:hAnsi="Times New Roman" w:cs="Times New Roman"/>
                <w:iCs/>
                <w:sz w:val="24"/>
                <w:szCs w:val="24"/>
              </w:rPr>
              <w:t>Dėl pakartotinumo</w:t>
            </w:r>
            <w:r w:rsidR="00F04AD0" w:rsidRPr="00F04AD0">
              <w:rPr>
                <w:rFonts w:ascii="Times New Roman" w:hAnsi="Times New Roman" w:cs="Times New Roman"/>
                <w:iCs/>
                <w:sz w:val="24"/>
                <w:szCs w:val="24"/>
              </w:rPr>
              <w:t xml:space="preserve"> </w:t>
            </w:r>
          </w:p>
          <w:p w14:paraId="5A509AE0" w14:textId="58B9B6B0" w:rsidR="00F04AD0" w:rsidRPr="00F04AD0" w:rsidRDefault="00F04AD0" w:rsidP="00F04AD0">
            <w:pPr>
              <w:jc w:val="both"/>
              <w:rPr>
                <w:rFonts w:ascii="Times New Roman" w:hAnsi="Times New Roman" w:cs="Times New Roman"/>
                <w:iCs/>
                <w:sz w:val="24"/>
                <w:szCs w:val="24"/>
              </w:rPr>
            </w:pPr>
            <w:r w:rsidRPr="00F04AD0">
              <w:rPr>
                <w:rFonts w:ascii="Times New Roman" w:hAnsi="Times New Roman" w:cs="Times New Roman"/>
                <w:iCs/>
                <w:sz w:val="24"/>
                <w:szCs w:val="24"/>
              </w:rPr>
              <w:t>V</w:t>
            </w:r>
            <w:r w:rsidR="00A54E3E">
              <w:rPr>
                <w:rFonts w:ascii="Times New Roman" w:hAnsi="Times New Roman" w:cs="Times New Roman"/>
                <w:iCs/>
                <w:sz w:val="24"/>
                <w:szCs w:val="24"/>
              </w:rPr>
              <w:t xml:space="preserve">artotojų teisių apsaugos įstatymo </w:t>
            </w:r>
            <w:r w:rsidRPr="00F04AD0">
              <w:rPr>
                <w:rFonts w:ascii="Times New Roman" w:hAnsi="Times New Roman" w:cs="Times New Roman"/>
                <w:iCs/>
                <w:sz w:val="24"/>
                <w:szCs w:val="24"/>
              </w:rPr>
              <w:t xml:space="preserve">pakeitimo įstatymo projekte siūloma nuo 1 iki 3 metų pailginti terminą, kuriam nesuėjus verslininkas laikomas padaręs pakartotinį pažeidimą. Tokį pat 3 metų terminą pakartotinumo kvalifikavimui siūloma įtvirtinti NKVVDĮ. </w:t>
            </w:r>
          </w:p>
          <w:p w14:paraId="61526382" w14:textId="77777777" w:rsidR="00F04AD0" w:rsidRPr="00F04AD0" w:rsidRDefault="00F04AD0" w:rsidP="00F04AD0">
            <w:pPr>
              <w:jc w:val="both"/>
              <w:rPr>
                <w:rFonts w:ascii="Times New Roman" w:hAnsi="Times New Roman" w:cs="Times New Roman"/>
                <w:iCs/>
                <w:sz w:val="24"/>
                <w:szCs w:val="24"/>
              </w:rPr>
            </w:pPr>
            <w:r w:rsidRPr="00F04AD0">
              <w:rPr>
                <w:rFonts w:ascii="Times New Roman" w:hAnsi="Times New Roman" w:cs="Times New Roman"/>
                <w:iCs/>
                <w:sz w:val="24"/>
                <w:szCs w:val="24"/>
              </w:rPr>
              <w:t xml:space="preserve">Pažymėtina, kad Omnibus direktyvoje tik nurodyta, kad, skiriant sankcijas, turi būti atsižvelgiama į bet kokius ankstesnius prekiautojo padarytus pažeidimus, tačiau konkretus terminas pakartotinumo kvalifikavimui nenumatytas, tai palikta valstybių narių diskrecijai. </w:t>
            </w:r>
          </w:p>
          <w:p w14:paraId="30C04DCA" w14:textId="77777777" w:rsidR="00F04AD0" w:rsidRPr="00F04AD0" w:rsidRDefault="00F04AD0" w:rsidP="00F04AD0">
            <w:pPr>
              <w:jc w:val="both"/>
              <w:rPr>
                <w:rFonts w:ascii="Times New Roman" w:hAnsi="Times New Roman" w:cs="Times New Roman"/>
                <w:iCs/>
                <w:sz w:val="24"/>
                <w:szCs w:val="24"/>
              </w:rPr>
            </w:pPr>
            <w:r w:rsidRPr="00F04AD0">
              <w:rPr>
                <w:rFonts w:ascii="Times New Roman" w:hAnsi="Times New Roman" w:cs="Times New Roman"/>
                <w:iCs/>
                <w:sz w:val="24"/>
                <w:szCs w:val="24"/>
              </w:rPr>
              <w:t xml:space="preserve">Projekto autoriai nemotyvavo, kodėl šiame kontekste tikslinga griežtinti galiojantį VTAĮ teisinį reglamentavimą. Akcentuotina, kad 1 metų pakartotinumo terminas yra labiau būdingas Lietuvos administracinei teisei. </w:t>
            </w:r>
          </w:p>
          <w:p w14:paraId="32F977C6" w14:textId="5522BED6" w:rsidR="00504F7F" w:rsidRPr="00F04AD0" w:rsidRDefault="00F04AD0" w:rsidP="00F04AD0">
            <w:pPr>
              <w:pStyle w:val="Betarp"/>
              <w:jc w:val="both"/>
              <w:rPr>
                <w:sz w:val="24"/>
                <w:szCs w:val="24"/>
              </w:rPr>
            </w:pPr>
            <w:r w:rsidRPr="00F04AD0">
              <w:rPr>
                <w:iCs/>
                <w:sz w:val="24"/>
                <w:szCs w:val="24"/>
              </w:rPr>
              <w:t>Atsižvelg</w:t>
            </w:r>
            <w:r w:rsidR="00A54E3E">
              <w:rPr>
                <w:iCs/>
                <w:sz w:val="24"/>
                <w:szCs w:val="24"/>
              </w:rPr>
              <w:t>iant</w:t>
            </w:r>
            <w:r w:rsidRPr="00F04AD0">
              <w:rPr>
                <w:iCs/>
                <w:sz w:val="24"/>
                <w:szCs w:val="24"/>
              </w:rPr>
              <w:t xml:space="preserve"> į nurodytus argumentus, siūlo</w:t>
            </w:r>
            <w:r w:rsidR="00A54E3E">
              <w:rPr>
                <w:iCs/>
                <w:sz w:val="24"/>
                <w:szCs w:val="24"/>
              </w:rPr>
              <w:t>ma</w:t>
            </w:r>
            <w:r w:rsidRPr="00F04AD0">
              <w:rPr>
                <w:iCs/>
                <w:sz w:val="24"/>
                <w:szCs w:val="24"/>
              </w:rPr>
              <w:t xml:space="preserve"> VTAĮ 40 </w:t>
            </w:r>
            <w:r w:rsidRPr="00F04AD0">
              <w:rPr>
                <w:iCs/>
                <w:sz w:val="24"/>
                <w:szCs w:val="24"/>
              </w:rPr>
              <w:lastRenderedPageBreak/>
              <w:t>straipsnio 4 dalies 3 punkte palikti 1 metų pakartotinumo terminą, taip pat analogišką terminą numatyti NKVVDĮ 13 straipsnio 6 dalies 4 punkte.</w:t>
            </w:r>
          </w:p>
        </w:tc>
        <w:tc>
          <w:tcPr>
            <w:tcW w:w="0" w:type="auto"/>
          </w:tcPr>
          <w:p w14:paraId="72C9B6DE" w14:textId="4FD14191" w:rsidR="00A54E3E" w:rsidRDefault="00F04AD0" w:rsidP="00F04AD0">
            <w:pPr>
              <w:jc w:val="both"/>
              <w:rPr>
                <w:rFonts w:ascii="Times New Roman" w:hAnsi="Times New Roman" w:cs="Times New Roman"/>
                <w:iCs/>
                <w:sz w:val="24"/>
                <w:szCs w:val="24"/>
              </w:rPr>
            </w:pPr>
            <w:r w:rsidRPr="00F04AD0">
              <w:rPr>
                <w:rFonts w:ascii="Times New Roman" w:hAnsi="Times New Roman" w:cs="Times New Roman"/>
                <w:b/>
                <w:iCs/>
                <w:sz w:val="24"/>
                <w:szCs w:val="24"/>
              </w:rPr>
              <w:lastRenderedPageBreak/>
              <w:t>Neatsižvelgta.</w:t>
            </w:r>
            <w:r w:rsidR="00546504">
              <w:rPr>
                <w:rFonts w:ascii="Times New Roman" w:hAnsi="Times New Roman" w:cs="Times New Roman"/>
                <w:b/>
                <w:iCs/>
                <w:sz w:val="24"/>
                <w:szCs w:val="24"/>
              </w:rPr>
              <w:t xml:space="preserve"> </w:t>
            </w:r>
            <w:r w:rsidR="00A54E3E" w:rsidRPr="00F04AD0">
              <w:rPr>
                <w:rFonts w:ascii="Times New Roman" w:hAnsi="Times New Roman" w:cs="Times New Roman"/>
                <w:iCs/>
                <w:sz w:val="24"/>
                <w:szCs w:val="24"/>
              </w:rPr>
              <w:t>V</w:t>
            </w:r>
            <w:r w:rsidR="00A54E3E">
              <w:rPr>
                <w:rFonts w:ascii="Times New Roman" w:hAnsi="Times New Roman" w:cs="Times New Roman"/>
                <w:iCs/>
                <w:sz w:val="24"/>
                <w:szCs w:val="24"/>
              </w:rPr>
              <w:t xml:space="preserve">artotojų teisių apsaugos įstatymo </w:t>
            </w:r>
            <w:r w:rsidR="00A54E3E" w:rsidRPr="00F04AD0">
              <w:rPr>
                <w:rFonts w:ascii="Times New Roman" w:hAnsi="Times New Roman" w:cs="Times New Roman"/>
                <w:iCs/>
                <w:sz w:val="24"/>
                <w:szCs w:val="24"/>
              </w:rPr>
              <w:t>pakeitimo įstatymo</w:t>
            </w:r>
            <w:r w:rsidR="00A54E3E">
              <w:rPr>
                <w:rFonts w:ascii="Times New Roman" w:hAnsi="Times New Roman" w:cs="Times New Roman"/>
                <w:iCs/>
                <w:sz w:val="24"/>
                <w:szCs w:val="24"/>
              </w:rPr>
              <w:t xml:space="preserve"> projekte pakartotinumas nėra numatomas kaip atsakomybę kvalifikuojanti aplinkybė, t. y. nėra nustatomi didesni sankcijų dydžiai už pakartotinius pažeidimus. Šiame projekte patikslinamos atsakomybę lengvinančios ir sunkinančios aplinkybės. </w:t>
            </w:r>
          </w:p>
          <w:p w14:paraId="59A87769" w14:textId="1975089D" w:rsidR="00F04AD0" w:rsidRDefault="00A54E3E" w:rsidP="00F04AD0">
            <w:pPr>
              <w:jc w:val="both"/>
              <w:rPr>
                <w:rFonts w:ascii="Times New Roman" w:hAnsi="Times New Roman" w:cs="Times New Roman"/>
                <w:iCs/>
                <w:sz w:val="24"/>
                <w:szCs w:val="24"/>
              </w:rPr>
            </w:pPr>
            <w:r>
              <w:rPr>
                <w:rFonts w:ascii="Times New Roman" w:hAnsi="Times New Roman" w:cs="Times New Roman"/>
                <w:iCs/>
                <w:sz w:val="24"/>
                <w:szCs w:val="24"/>
              </w:rPr>
              <w:t xml:space="preserve">Pažymėtina, kad pagal Direktyvos </w:t>
            </w:r>
            <w:r w:rsidRPr="00F04AD0">
              <w:rPr>
                <w:rFonts w:ascii="Times New Roman" w:hAnsi="Times New Roman" w:cs="Times New Roman"/>
                <w:iCs/>
                <w:sz w:val="24"/>
                <w:szCs w:val="24"/>
              </w:rPr>
              <w:t>2019/2161</w:t>
            </w:r>
            <w:r>
              <w:rPr>
                <w:rFonts w:ascii="Times New Roman" w:hAnsi="Times New Roman" w:cs="Times New Roman"/>
                <w:iCs/>
                <w:sz w:val="24"/>
                <w:szCs w:val="24"/>
              </w:rPr>
              <w:t xml:space="preserve"> nuostatas skiriant sankcija turi būti atsižvelgta į bet </w:t>
            </w:r>
            <w:r w:rsidRPr="00FD770A">
              <w:rPr>
                <w:rFonts w:ascii="Times New Roman" w:hAnsi="Times New Roman" w:cs="Times New Roman"/>
                <w:i/>
                <w:sz w:val="24"/>
                <w:szCs w:val="24"/>
              </w:rPr>
              <w:t>kokius ankstesnius padarytus pažeidimus</w:t>
            </w:r>
            <w:r w:rsidR="00FD770A">
              <w:rPr>
                <w:rFonts w:ascii="Times New Roman" w:hAnsi="Times New Roman" w:cs="Times New Roman"/>
                <w:iCs/>
                <w:sz w:val="24"/>
                <w:szCs w:val="24"/>
              </w:rPr>
              <w:t xml:space="preserve"> (t. y. apskritai nenustatomas joks terminas). </w:t>
            </w:r>
            <w:r w:rsidR="00F04AD0" w:rsidRPr="00F04AD0">
              <w:rPr>
                <w:rFonts w:ascii="Times New Roman" w:hAnsi="Times New Roman" w:cs="Times New Roman"/>
                <w:iCs/>
                <w:sz w:val="24"/>
                <w:szCs w:val="24"/>
              </w:rPr>
              <w:t>Direktyvos preambulės 7 dalyje numatyta, jog pakartotinis to paties pažeidimo vykdytojo pažeidimas rodo polinkį daryti tokius pažeidimus, todėl tai yra reikšmingas veiksmų sunkumo, taigi ir būtinybės padidinti sankcijos lygį, kad būtų pasiektas veiksmingas atgrasomasis poveikis, požymis.</w:t>
            </w:r>
            <w:r w:rsidR="00FD770A">
              <w:rPr>
                <w:rFonts w:ascii="Times New Roman" w:hAnsi="Times New Roman" w:cs="Times New Roman"/>
                <w:iCs/>
                <w:sz w:val="24"/>
                <w:szCs w:val="24"/>
              </w:rPr>
              <w:t xml:space="preserve"> Atsižvelgiant į tai, manytume, kad siūlomas 1</w:t>
            </w:r>
            <w:r w:rsidR="00AC0ABA">
              <w:rPr>
                <w:rFonts w:ascii="Times New Roman" w:hAnsi="Times New Roman" w:cs="Times New Roman"/>
                <w:iCs/>
                <w:sz w:val="24"/>
                <w:szCs w:val="24"/>
              </w:rPr>
              <w:t> </w:t>
            </w:r>
            <w:r w:rsidR="00FD770A">
              <w:rPr>
                <w:rFonts w:ascii="Times New Roman" w:hAnsi="Times New Roman" w:cs="Times New Roman"/>
                <w:iCs/>
                <w:sz w:val="24"/>
                <w:szCs w:val="24"/>
              </w:rPr>
              <w:t xml:space="preserve">metų </w:t>
            </w:r>
            <w:r w:rsidR="00FD770A">
              <w:rPr>
                <w:rFonts w:ascii="Times New Roman" w:hAnsi="Times New Roman" w:cs="Times New Roman"/>
                <w:iCs/>
                <w:sz w:val="24"/>
                <w:szCs w:val="24"/>
              </w:rPr>
              <w:lastRenderedPageBreak/>
              <w:t xml:space="preserve">pakartotinumo, kaip atsakomybę sunkinančios aplinkybės, terminas </w:t>
            </w:r>
            <w:r w:rsidR="00AC0ABA">
              <w:rPr>
                <w:rFonts w:ascii="Times New Roman" w:hAnsi="Times New Roman" w:cs="Times New Roman"/>
                <w:iCs/>
                <w:sz w:val="24"/>
                <w:szCs w:val="24"/>
              </w:rPr>
              <w:t>neužtikrintų</w:t>
            </w:r>
            <w:r w:rsidR="00FD770A">
              <w:rPr>
                <w:rFonts w:ascii="Times New Roman" w:hAnsi="Times New Roman" w:cs="Times New Roman"/>
                <w:iCs/>
                <w:sz w:val="24"/>
                <w:szCs w:val="24"/>
              </w:rPr>
              <w:t xml:space="preserve"> Direktyvos </w:t>
            </w:r>
            <w:r w:rsidR="00FD770A" w:rsidRPr="00F04AD0">
              <w:rPr>
                <w:rFonts w:ascii="Times New Roman" w:hAnsi="Times New Roman" w:cs="Times New Roman"/>
                <w:iCs/>
                <w:sz w:val="24"/>
                <w:szCs w:val="24"/>
              </w:rPr>
              <w:t>2019/2161</w:t>
            </w:r>
            <w:r w:rsidR="00AC0ABA">
              <w:rPr>
                <w:rFonts w:ascii="Times New Roman" w:hAnsi="Times New Roman" w:cs="Times New Roman"/>
                <w:iCs/>
                <w:sz w:val="24"/>
                <w:szCs w:val="24"/>
              </w:rPr>
              <w:t xml:space="preserve"> tinkamo įgyvendinimo</w:t>
            </w:r>
            <w:r w:rsidR="00FD770A">
              <w:rPr>
                <w:rFonts w:ascii="Times New Roman" w:hAnsi="Times New Roman" w:cs="Times New Roman"/>
                <w:iCs/>
                <w:sz w:val="24"/>
                <w:szCs w:val="24"/>
              </w:rPr>
              <w:t>.</w:t>
            </w:r>
          </w:p>
          <w:p w14:paraId="5DBE7059" w14:textId="0AE57467" w:rsidR="00FD770A" w:rsidRDefault="00FD770A" w:rsidP="00F04AD0">
            <w:pPr>
              <w:jc w:val="both"/>
              <w:rPr>
                <w:rFonts w:ascii="Times New Roman" w:hAnsi="Times New Roman" w:cs="Times New Roman"/>
                <w:bCs/>
                <w:iCs/>
                <w:sz w:val="24"/>
                <w:szCs w:val="24"/>
              </w:rPr>
            </w:pPr>
            <w:r w:rsidRPr="00FD770A">
              <w:rPr>
                <w:rFonts w:ascii="Times New Roman" w:hAnsi="Times New Roman" w:cs="Times New Roman"/>
                <w:bCs/>
                <w:iCs/>
                <w:sz w:val="24"/>
                <w:szCs w:val="24"/>
              </w:rPr>
              <w:t xml:space="preserve">Be to, </w:t>
            </w:r>
            <w:r>
              <w:rPr>
                <w:rFonts w:ascii="Times New Roman" w:hAnsi="Times New Roman" w:cs="Times New Roman"/>
                <w:bCs/>
                <w:iCs/>
                <w:sz w:val="24"/>
                <w:szCs w:val="24"/>
              </w:rPr>
              <w:t xml:space="preserve">atkreiptinas dėmesys į tai, kad Konkurencijos įstatymo 37 straipsnyje nustatytas </w:t>
            </w:r>
            <w:r w:rsidRPr="00AC0ABA">
              <w:rPr>
                <w:rFonts w:ascii="Times New Roman" w:hAnsi="Times New Roman" w:cs="Times New Roman"/>
                <w:b/>
                <w:iCs/>
                <w:sz w:val="24"/>
                <w:szCs w:val="24"/>
              </w:rPr>
              <w:t>7 metų</w:t>
            </w:r>
            <w:r>
              <w:rPr>
                <w:rFonts w:ascii="Times New Roman" w:hAnsi="Times New Roman" w:cs="Times New Roman"/>
                <w:bCs/>
                <w:iCs/>
                <w:sz w:val="24"/>
                <w:szCs w:val="24"/>
              </w:rPr>
              <w:t xml:space="preserve"> </w:t>
            </w:r>
            <w:r>
              <w:rPr>
                <w:rFonts w:ascii="Times New Roman" w:hAnsi="Times New Roman" w:cs="Times New Roman"/>
                <w:iCs/>
                <w:sz w:val="24"/>
                <w:szCs w:val="24"/>
              </w:rPr>
              <w:t xml:space="preserve">pakartotinumo, kaip atsakomybę sunkinančios aplinkybės, terminas. </w:t>
            </w:r>
          </w:p>
          <w:p w14:paraId="2774C617" w14:textId="43E7036A" w:rsidR="00504F7F" w:rsidRPr="00F04AD0" w:rsidRDefault="00AC0ABA" w:rsidP="00AC0ABA">
            <w:pPr>
              <w:jc w:val="both"/>
              <w:rPr>
                <w:rFonts w:ascii="Times New Roman" w:hAnsi="Times New Roman" w:cs="Times New Roman"/>
                <w:b/>
                <w:bCs/>
                <w:sz w:val="24"/>
                <w:szCs w:val="24"/>
              </w:rPr>
            </w:pPr>
            <w:r>
              <w:rPr>
                <w:rFonts w:ascii="Times New Roman" w:hAnsi="Times New Roman" w:cs="Times New Roman"/>
                <w:iCs/>
                <w:sz w:val="24"/>
                <w:szCs w:val="24"/>
              </w:rPr>
              <w:t>Atsižvelgiant į tai,</w:t>
            </w:r>
            <w:r w:rsidRPr="00F04AD0">
              <w:rPr>
                <w:rFonts w:ascii="Times New Roman" w:hAnsi="Times New Roman" w:cs="Times New Roman"/>
                <w:iCs/>
                <w:sz w:val="24"/>
                <w:szCs w:val="24"/>
              </w:rPr>
              <w:t xml:space="preserve"> VTAĮ ir NKVVDĮ pakeitimų įstatymų projektuose siūlome numatyti </w:t>
            </w:r>
            <w:r>
              <w:rPr>
                <w:rFonts w:ascii="Times New Roman" w:hAnsi="Times New Roman" w:cs="Times New Roman"/>
                <w:iCs/>
                <w:sz w:val="24"/>
                <w:szCs w:val="24"/>
              </w:rPr>
              <w:t>3</w:t>
            </w:r>
            <w:r w:rsidRPr="00F04AD0">
              <w:rPr>
                <w:rFonts w:ascii="Times New Roman" w:hAnsi="Times New Roman" w:cs="Times New Roman"/>
                <w:iCs/>
                <w:sz w:val="24"/>
                <w:szCs w:val="24"/>
              </w:rPr>
              <w:t xml:space="preserve"> metų pakartotinumo</w:t>
            </w:r>
            <w:r>
              <w:rPr>
                <w:rFonts w:ascii="Times New Roman" w:hAnsi="Times New Roman" w:cs="Times New Roman"/>
                <w:iCs/>
                <w:sz w:val="24"/>
                <w:szCs w:val="24"/>
              </w:rPr>
              <w:t>,</w:t>
            </w:r>
            <w:r w:rsidRPr="00F04AD0">
              <w:rPr>
                <w:rFonts w:ascii="Times New Roman" w:hAnsi="Times New Roman" w:cs="Times New Roman"/>
                <w:iCs/>
                <w:sz w:val="24"/>
                <w:szCs w:val="24"/>
              </w:rPr>
              <w:t xml:space="preserve"> kaip atsakomybę sunkinančios aplinkybės</w:t>
            </w:r>
            <w:r>
              <w:rPr>
                <w:rFonts w:ascii="Times New Roman" w:hAnsi="Times New Roman" w:cs="Times New Roman"/>
                <w:iCs/>
                <w:sz w:val="24"/>
                <w:szCs w:val="24"/>
              </w:rPr>
              <w:t>,</w:t>
            </w:r>
            <w:r w:rsidRPr="00F04AD0">
              <w:rPr>
                <w:rFonts w:ascii="Times New Roman" w:hAnsi="Times New Roman" w:cs="Times New Roman"/>
                <w:iCs/>
                <w:sz w:val="24"/>
                <w:szCs w:val="24"/>
              </w:rPr>
              <w:t xml:space="preserve"> terminą. Manytume, kad toks terminas yra tinkamas ir proporcingas, atsižvelgiant į pažeidimų pobūdį.</w:t>
            </w:r>
          </w:p>
        </w:tc>
      </w:tr>
    </w:tbl>
    <w:p w14:paraId="0E1AA751" w14:textId="100609FD" w:rsidR="006C1C6D" w:rsidRPr="00CA1438" w:rsidRDefault="006C1C6D" w:rsidP="001477F1">
      <w:pPr>
        <w:spacing w:after="0" w:line="240" w:lineRule="auto"/>
        <w:rPr>
          <w:rFonts w:ascii="Times New Roman" w:hAnsi="Times New Roman" w:cs="Times New Roman"/>
          <w:sz w:val="24"/>
          <w:szCs w:val="24"/>
        </w:rPr>
      </w:pPr>
    </w:p>
    <w:sectPr w:rsidR="006C1C6D" w:rsidRPr="00CA1438" w:rsidSect="009C0D97">
      <w:headerReference w:type="default" r:id="rId7"/>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92DF1" w14:textId="77777777" w:rsidR="002958B1" w:rsidRDefault="002958B1" w:rsidP="00937A4B">
      <w:pPr>
        <w:spacing w:after="0" w:line="240" w:lineRule="auto"/>
      </w:pPr>
      <w:r>
        <w:separator/>
      </w:r>
    </w:p>
  </w:endnote>
  <w:endnote w:type="continuationSeparator" w:id="0">
    <w:p w14:paraId="6C9A5B4D" w14:textId="77777777" w:rsidR="002958B1" w:rsidRDefault="002958B1" w:rsidP="0093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B7BC6" w14:textId="77777777" w:rsidR="002958B1" w:rsidRDefault="002958B1" w:rsidP="00937A4B">
      <w:pPr>
        <w:spacing w:after="0" w:line="240" w:lineRule="auto"/>
      </w:pPr>
      <w:r>
        <w:separator/>
      </w:r>
    </w:p>
  </w:footnote>
  <w:footnote w:type="continuationSeparator" w:id="0">
    <w:p w14:paraId="0078FB0A" w14:textId="77777777" w:rsidR="002958B1" w:rsidRDefault="002958B1" w:rsidP="0093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47122"/>
      <w:docPartObj>
        <w:docPartGallery w:val="Page Numbers (Top of Page)"/>
        <w:docPartUnique/>
      </w:docPartObj>
    </w:sdtPr>
    <w:sdtEndPr>
      <w:rPr>
        <w:rFonts w:ascii="Times New Roman" w:hAnsi="Times New Roman" w:cs="Times New Roman"/>
        <w:sz w:val="24"/>
        <w:szCs w:val="24"/>
      </w:rPr>
    </w:sdtEndPr>
    <w:sdtContent>
      <w:p w14:paraId="27CC728C" w14:textId="77777777" w:rsidR="00C12AFA" w:rsidRPr="00FD3D85" w:rsidRDefault="00C12AFA">
        <w:pPr>
          <w:pStyle w:val="Antrats"/>
          <w:jc w:val="center"/>
          <w:rPr>
            <w:rFonts w:ascii="Times New Roman" w:hAnsi="Times New Roman" w:cs="Times New Roman"/>
            <w:sz w:val="24"/>
            <w:szCs w:val="24"/>
          </w:rPr>
        </w:pPr>
        <w:r w:rsidRPr="00FD3D85">
          <w:rPr>
            <w:rFonts w:ascii="Times New Roman" w:hAnsi="Times New Roman" w:cs="Times New Roman"/>
            <w:sz w:val="24"/>
            <w:szCs w:val="24"/>
          </w:rPr>
          <w:fldChar w:fldCharType="begin"/>
        </w:r>
        <w:r w:rsidRPr="00FD3D85">
          <w:rPr>
            <w:rFonts w:ascii="Times New Roman" w:hAnsi="Times New Roman" w:cs="Times New Roman"/>
            <w:sz w:val="24"/>
            <w:szCs w:val="24"/>
          </w:rPr>
          <w:instrText>PAGE   \* MERGEFORMAT</w:instrText>
        </w:r>
        <w:r w:rsidRPr="00FD3D85">
          <w:rPr>
            <w:rFonts w:ascii="Times New Roman" w:hAnsi="Times New Roman" w:cs="Times New Roman"/>
            <w:sz w:val="24"/>
            <w:szCs w:val="24"/>
          </w:rPr>
          <w:fldChar w:fldCharType="separate"/>
        </w:r>
        <w:r w:rsidR="00E80A7C">
          <w:rPr>
            <w:rFonts w:ascii="Times New Roman" w:hAnsi="Times New Roman" w:cs="Times New Roman"/>
            <w:noProof/>
            <w:sz w:val="24"/>
            <w:szCs w:val="24"/>
          </w:rPr>
          <w:t>4</w:t>
        </w:r>
        <w:r w:rsidRPr="00FD3D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4820"/>
    <w:multiLevelType w:val="hybridMultilevel"/>
    <w:tmpl w:val="922E52D4"/>
    <w:lvl w:ilvl="0" w:tplc="9A9CBAAA">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D5A4BD0"/>
    <w:multiLevelType w:val="hybridMultilevel"/>
    <w:tmpl w:val="E8A82302"/>
    <w:lvl w:ilvl="0" w:tplc="5CBCF462">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207F7C"/>
    <w:multiLevelType w:val="hybridMultilevel"/>
    <w:tmpl w:val="6E56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0E47D8"/>
    <w:multiLevelType w:val="hybridMultilevel"/>
    <w:tmpl w:val="1134720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2E02FF4"/>
    <w:multiLevelType w:val="hybridMultilevel"/>
    <w:tmpl w:val="B0426648"/>
    <w:lvl w:ilvl="0" w:tplc="D568B3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0523D01"/>
    <w:multiLevelType w:val="hybridMultilevel"/>
    <w:tmpl w:val="88D8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6F6B1B"/>
    <w:multiLevelType w:val="hybridMultilevel"/>
    <w:tmpl w:val="1EBEAE6E"/>
    <w:lvl w:ilvl="0" w:tplc="82D00F1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7" w15:restartNumberingAfterBreak="0">
    <w:nsid w:val="791F7FB2"/>
    <w:multiLevelType w:val="hybridMultilevel"/>
    <w:tmpl w:val="6F987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C327E4"/>
    <w:multiLevelType w:val="hybridMultilevel"/>
    <w:tmpl w:val="D0BC6FA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5E"/>
    <w:rsid w:val="00006A3D"/>
    <w:rsid w:val="00014AE6"/>
    <w:rsid w:val="00035D85"/>
    <w:rsid w:val="00036DE4"/>
    <w:rsid w:val="00044F9B"/>
    <w:rsid w:val="00045F59"/>
    <w:rsid w:val="0005772C"/>
    <w:rsid w:val="0006320A"/>
    <w:rsid w:val="000947A9"/>
    <w:rsid w:val="000956B8"/>
    <w:rsid w:val="000969A5"/>
    <w:rsid w:val="000A4574"/>
    <w:rsid w:val="000A56DA"/>
    <w:rsid w:val="000C127C"/>
    <w:rsid w:val="000C7DDC"/>
    <w:rsid w:val="000F5BF3"/>
    <w:rsid w:val="00100243"/>
    <w:rsid w:val="00110497"/>
    <w:rsid w:val="00116859"/>
    <w:rsid w:val="00123C61"/>
    <w:rsid w:val="00132F7D"/>
    <w:rsid w:val="00142BF9"/>
    <w:rsid w:val="00146BDE"/>
    <w:rsid w:val="001477F1"/>
    <w:rsid w:val="00160C0D"/>
    <w:rsid w:val="00163C24"/>
    <w:rsid w:val="00167AC8"/>
    <w:rsid w:val="001709B1"/>
    <w:rsid w:val="00175A2A"/>
    <w:rsid w:val="0018631F"/>
    <w:rsid w:val="001B1FCA"/>
    <w:rsid w:val="001C1053"/>
    <w:rsid w:val="001C17A2"/>
    <w:rsid w:val="001C5A24"/>
    <w:rsid w:val="001C5FA4"/>
    <w:rsid w:val="001D1F98"/>
    <w:rsid w:val="001E632A"/>
    <w:rsid w:val="001F4788"/>
    <w:rsid w:val="00200BF7"/>
    <w:rsid w:val="002130A7"/>
    <w:rsid w:val="00215715"/>
    <w:rsid w:val="00235FB3"/>
    <w:rsid w:val="00252C7B"/>
    <w:rsid w:val="00266083"/>
    <w:rsid w:val="00284EF2"/>
    <w:rsid w:val="002929B5"/>
    <w:rsid w:val="002958B1"/>
    <w:rsid w:val="002958DE"/>
    <w:rsid w:val="002B2EBF"/>
    <w:rsid w:val="002D2D5E"/>
    <w:rsid w:val="002E1AD3"/>
    <w:rsid w:val="002E5C69"/>
    <w:rsid w:val="002E6328"/>
    <w:rsid w:val="00302818"/>
    <w:rsid w:val="0030518E"/>
    <w:rsid w:val="00325914"/>
    <w:rsid w:val="0033342E"/>
    <w:rsid w:val="00344058"/>
    <w:rsid w:val="00346832"/>
    <w:rsid w:val="0035744E"/>
    <w:rsid w:val="003640B1"/>
    <w:rsid w:val="003700D5"/>
    <w:rsid w:val="00376F34"/>
    <w:rsid w:val="0038378C"/>
    <w:rsid w:val="00386B97"/>
    <w:rsid w:val="00394A2A"/>
    <w:rsid w:val="003A2B69"/>
    <w:rsid w:val="003B3DC4"/>
    <w:rsid w:val="003B75A3"/>
    <w:rsid w:val="003C7C87"/>
    <w:rsid w:val="003D0432"/>
    <w:rsid w:val="00410A8E"/>
    <w:rsid w:val="004342CF"/>
    <w:rsid w:val="00435BAA"/>
    <w:rsid w:val="00440D08"/>
    <w:rsid w:val="0044158A"/>
    <w:rsid w:val="00444926"/>
    <w:rsid w:val="0046556D"/>
    <w:rsid w:val="0047336E"/>
    <w:rsid w:val="00473FE5"/>
    <w:rsid w:val="00491FFE"/>
    <w:rsid w:val="00492FE6"/>
    <w:rsid w:val="004951CC"/>
    <w:rsid w:val="00497974"/>
    <w:rsid w:val="004B2FA2"/>
    <w:rsid w:val="004E7E4D"/>
    <w:rsid w:val="004F4C4A"/>
    <w:rsid w:val="00504F7F"/>
    <w:rsid w:val="0050704D"/>
    <w:rsid w:val="005208C9"/>
    <w:rsid w:val="00523EF6"/>
    <w:rsid w:val="005247B2"/>
    <w:rsid w:val="00534A36"/>
    <w:rsid w:val="00545A98"/>
    <w:rsid w:val="00546504"/>
    <w:rsid w:val="00554143"/>
    <w:rsid w:val="005622BB"/>
    <w:rsid w:val="00563C79"/>
    <w:rsid w:val="00571C71"/>
    <w:rsid w:val="00583788"/>
    <w:rsid w:val="00585B76"/>
    <w:rsid w:val="00586E4B"/>
    <w:rsid w:val="00590091"/>
    <w:rsid w:val="005B20B0"/>
    <w:rsid w:val="005B47C1"/>
    <w:rsid w:val="005C1619"/>
    <w:rsid w:val="005E6D45"/>
    <w:rsid w:val="005F165C"/>
    <w:rsid w:val="00614D4E"/>
    <w:rsid w:val="00626305"/>
    <w:rsid w:val="00644871"/>
    <w:rsid w:val="00647E65"/>
    <w:rsid w:val="0066218B"/>
    <w:rsid w:val="00662A32"/>
    <w:rsid w:val="00665F8F"/>
    <w:rsid w:val="00682C07"/>
    <w:rsid w:val="00683C60"/>
    <w:rsid w:val="0068452E"/>
    <w:rsid w:val="00687CFA"/>
    <w:rsid w:val="006A595E"/>
    <w:rsid w:val="006C1C6D"/>
    <w:rsid w:val="006D10BD"/>
    <w:rsid w:val="006D6811"/>
    <w:rsid w:val="006E7B10"/>
    <w:rsid w:val="006F3811"/>
    <w:rsid w:val="0070274F"/>
    <w:rsid w:val="00714586"/>
    <w:rsid w:val="0072216B"/>
    <w:rsid w:val="00737075"/>
    <w:rsid w:val="00742BA8"/>
    <w:rsid w:val="00745393"/>
    <w:rsid w:val="007512E8"/>
    <w:rsid w:val="00761581"/>
    <w:rsid w:val="007643F2"/>
    <w:rsid w:val="007B5B3D"/>
    <w:rsid w:val="007C3639"/>
    <w:rsid w:val="007D5AB7"/>
    <w:rsid w:val="007E1264"/>
    <w:rsid w:val="007E1A5B"/>
    <w:rsid w:val="007E6D6B"/>
    <w:rsid w:val="007F59CB"/>
    <w:rsid w:val="007F73A3"/>
    <w:rsid w:val="00806530"/>
    <w:rsid w:val="0081268F"/>
    <w:rsid w:val="0082028B"/>
    <w:rsid w:val="00823EA5"/>
    <w:rsid w:val="00846126"/>
    <w:rsid w:val="008718BF"/>
    <w:rsid w:val="00883DA2"/>
    <w:rsid w:val="008B480F"/>
    <w:rsid w:val="008B5933"/>
    <w:rsid w:val="008F1485"/>
    <w:rsid w:val="008F20DD"/>
    <w:rsid w:val="00906D03"/>
    <w:rsid w:val="00910360"/>
    <w:rsid w:val="009112ED"/>
    <w:rsid w:val="00913E61"/>
    <w:rsid w:val="00937A4B"/>
    <w:rsid w:val="009475E6"/>
    <w:rsid w:val="0095379F"/>
    <w:rsid w:val="00962D95"/>
    <w:rsid w:val="00964A8A"/>
    <w:rsid w:val="00974696"/>
    <w:rsid w:val="0098266E"/>
    <w:rsid w:val="00986C37"/>
    <w:rsid w:val="009B7A9A"/>
    <w:rsid w:val="009C0D97"/>
    <w:rsid w:val="009E2D98"/>
    <w:rsid w:val="009F7423"/>
    <w:rsid w:val="00A01790"/>
    <w:rsid w:val="00A12FD6"/>
    <w:rsid w:val="00A14E38"/>
    <w:rsid w:val="00A154E7"/>
    <w:rsid w:val="00A15AE3"/>
    <w:rsid w:val="00A20EAF"/>
    <w:rsid w:val="00A2707C"/>
    <w:rsid w:val="00A30469"/>
    <w:rsid w:val="00A314D8"/>
    <w:rsid w:val="00A325BD"/>
    <w:rsid w:val="00A3635B"/>
    <w:rsid w:val="00A4417C"/>
    <w:rsid w:val="00A54E3E"/>
    <w:rsid w:val="00A601DA"/>
    <w:rsid w:val="00A73CBE"/>
    <w:rsid w:val="00A8385E"/>
    <w:rsid w:val="00A83892"/>
    <w:rsid w:val="00A84AF5"/>
    <w:rsid w:val="00A84B33"/>
    <w:rsid w:val="00AB5761"/>
    <w:rsid w:val="00AC0ABA"/>
    <w:rsid w:val="00AC12EB"/>
    <w:rsid w:val="00AC1E4B"/>
    <w:rsid w:val="00AC58F2"/>
    <w:rsid w:val="00AC5F6E"/>
    <w:rsid w:val="00AD7973"/>
    <w:rsid w:val="00AE19BD"/>
    <w:rsid w:val="00B00DC2"/>
    <w:rsid w:val="00B2281C"/>
    <w:rsid w:val="00B25E31"/>
    <w:rsid w:val="00B36CB2"/>
    <w:rsid w:val="00B43B73"/>
    <w:rsid w:val="00B574F5"/>
    <w:rsid w:val="00B601AB"/>
    <w:rsid w:val="00B64AD7"/>
    <w:rsid w:val="00BA6F3C"/>
    <w:rsid w:val="00BB4192"/>
    <w:rsid w:val="00BC37EF"/>
    <w:rsid w:val="00BC3D36"/>
    <w:rsid w:val="00BC4154"/>
    <w:rsid w:val="00BD5011"/>
    <w:rsid w:val="00BE02B3"/>
    <w:rsid w:val="00BE57EF"/>
    <w:rsid w:val="00BF68FA"/>
    <w:rsid w:val="00C00035"/>
    <w:rsid w:val="00C00AE5"/>
    <w:rsid w:val="00C1237B"/>
    <w:rsid w:val="00C12AFA"/>
    <w:rsid w:val="00C179D7"/>
    <w:rsid w:val="00C465D6"/>
    <w:rsid w:val="00C55236"/>
    <w:rsid w:val="00C6059D"/>
    <w:rsid w:val="00C773DB"/>
    <w:rsid w:val="00C84E34"/>
    <w:rsid w:val="00CA1438"/>
    <w:rsid w:val="00CA7FF0"/>
    <w:rsid w:val="00CC37E3"/>
    <w:rsid w:val="00CD24C9"/>
    <w:rsid w:val="00CD36BE"/>
    <w:rsid w:val="00CD4747"/>
    <w:rsid w:val="00CF7271"/>
    <w:rsid w:val="00CF762E"/>
    <w:rsid w:val="00D02339"/>
    <w:rsid w:val="00D03EDD"/>
    <w:rsid w:val="00D2075C"/>
    <w:rsid w:val="00D229A1"/>
    <w:rsid w:val="00D55B11"/>
    <w:rsid w:val="00D63BE9"/>
    <w:rsid w:val="00D715C6"/>
    <w:rsid w:val="00D8222A"/>
    <w:rsid w:val="00D83B05"/>
    <w:rsid w:val="00DA55D5"/>
    <w:rsid w:val="00DA7EA0"/>
    <w:rsid w:val="00DB043A"/>
    <w:rsid w:val="00DD1AB2"/>
    <w:rsid w:val="00DD1ACE"/>
    <w:rsid w:val="00DE4F91"/>
    <w:rsid w:val="00DF0C70"/>
    <w:rsid w:val="00E021C6"/>
    <w:rsid w:val="00E0444A"/>
    <w:rsid w:val="00E2690C"/>
    <w:rsid w:val="00E46F80"/>
    <w:rsid w:val="00E73C02"/>
    <w:rsid w:val="00E80A7C"/>
    <w:rsid w:val="00E82866"/>
    <w:rsid w:val="00E90CC6"/>
    <w:rsid w:val="00E90D3C"/>
    <w:rsid w:val="00E92E2C"/>
    <w:rsid w:val="00E96DA9"/>
    <w:rsid w:val="00ED0642"/>
    <w:rsid w:val="00EE3878"/>
    <w:rsid w:val="00EF0FF7"/>
    <w:rsid w:val="00EF4148"/>
    <w:rsid w:val="00F00FC0"/>
    <w:rsid w:val="00F04AD0"/>
    <w:rsid w:val="00F34A41"/>
    <w:rsid w:val="00F70FAB"/>
    <w:rsid w:val="00FB293D"/>
    <w:rsid w:val="00FC4800"/>
    <w:rsid w:val="00FD1D5E"/>
    <w:rsid w:val="00FD3D85"/>
    <w:rsid w:val="00FD7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EBC5"/>
  <w15:chartTrackingRefBased/>
  <w15:docId w15:val="{D5CA802D-F858-4CC7-A774-AAF3FB5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D1D5E"/>
    <w:pPr>
      <w:ind w:left="720"/>
      <w:contextualSpacing/>
    </w:pPr>
  </w:style>
  <w:style w:type="character" w:styleId="Hipersaitas">
    <w:name w:val="Hyperlink"/>
    <w:basedOn w:val="Numatytasispastraiposriftas"/>
    <w:uiPriority w:val="99"/>
    <w:unhideWhenUsed/>
    <w:rsid w:val="00937A4B"/>
    <w:rPr>
      <w:color w:val="0563C1" w:themeColor="hyperlink"/>
      <w:u w:val="single"/>
    </w:rPr>
  </w:style>
  <w:style w:type="paragraph" w:styleId="Puslapioinaostekstas">
    <w:name w:val="footnote text"/>
    <w:basedOn w:val="prastasis"/>
    <w:link w:val="PuslapioinaostekstasDiagrama"/>
    <w:uiPriority w:val="99"/>
    <w:unhideWhenUsed/>
    <w:rsid w:val="00937A4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37A4B"/>
    <w:rPr>
      <w:rFonts w:ascii="Times New Roman" w:eastAsia="Times New Roman" w:hAnsi="Times New Roman" w:cs="Times New Roman"/>
      <w:sz w:val="20"/>
      <w:szCs w:val="20"/>
    </w:rPr>
  </w:style>
  <w:style w:type="character" w:styleId="Puslapioinaosnuoroda">
    <w:name w:val="footnote reference"/>
    <w:uiPriority w:val="99"/>
    <w:unhideWhenUsed/>
    <w:rsid w:val="00937A4B"/>
    <w:rPr>
      <w:vertAlign w:val="superscript"/>
    </w:rPr>
  </w:style>
  <w:style w:type="paragraph" w:styleId="Antrats">
    <w:name w:val="header"/>
    <w:basedOn w:val="prastasis"/>
    <w:link w:val="AntratsDiagrama"/>
    <w:uiPriority w:val="99"/>
    <w:unhideWhenUsed/>
    <w:rsid w:val="00C12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AFA"/>
  </w:style>
  <w:style w:type="paragraph" w:styleId="Porat">
    <w:name w:val="footer"/>
    <w:basedOn w:val="prastasis"/>
    <w:link w:val="PoratDiagrama"/>
    <w:uiPriority w:val="99"/>
    <w:unhideWhenUsed/>
    <w:rsid w:val="00C12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AFA"/>
  </w:style>
  <w:style w:type="paragraph" w:styleId="Betarp">
    <w:name w:val="No Spacing"/>
    <w:link w:val="BetarpDiagrama"/>
    <w:qFormat/>
    <w:rsid w:val="00571C7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BetarpDiagrama">
    <w:name w:val="Be tarpų Diagrama"/>
    <w:link w:val="Betarp"/>
    <w:locked/>
    <w:rsid w:val="00571C71"/>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rsid w:val="00AC5F6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AC5F6E"/>
    <w:rPr>
      <w:rFonts w:ascii="Times New Roman" w:eastAsia="Times New Roman" w:hAnsi="Times New Roman" w:cs="Times New Roman"/>
      <w:sz w:val="20"/>
      <w:szCs w:val="20"/>
      <w:lang w:eastAsia="lt-LT"/>
    </w:rPr>
  </w:style>
  <w:style w:type="character" w:customStyle="1" w:styleId="bold1">
    <w:name w:val="bold1"/>
    <w:basedOn w:val="Numatytasispastraiposriftas"/>
    <w:rsid w:val="00AC5F6E"/>
    <w:rPr>
      <w:b/>
      <w:bCs/>
    </w:rPr>
  </w:style>
  <w:style w:type="paragraph" w:customStyle="1" w:styleId="Default">
    <w:name w:val="Default"/>
    <w:rsid w:val="001168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h">
    <w:name w:val="normal-h"/>
    <w:basedOn w:val="Numatytasispastraiposriftas"/>
    <w:rsid w:val="007F73A3"/>
  </w:style>
  <w:style w:type="paragraph" w:styleId="Pagrindinistekstas">
    <w:name w:val="Body Text"/>
    <w:basedOn w:val="prastasis"/>
    <w:link w:val="PagrindinistekstasDiagrama"/>
    <w:uiPriority w:val="99"/>
    <w:unhideWhenUsed/>
    <w:rsid w:val="007F73A3"/>
    <w:pPr>
      <w:spacing w:after="120" w:line="276" w:lineRule="auto"/>
    </w:pPr>
    <w:rPr>
      <w:rFonts w:ascii="Calibri" w:hAnsi="Calibri" w:cs="Calibri"/>
    </w:rPr>
  </w:style>
  <w:style w:type="character" w:customStyle="1" w:styleId="PagrindinistekstasDiagrama">
    <w:name w:val="Pagrindinis tekstas Diagrama"/>
    <w:basedOn w:val="Numatytasispastraiposriftas"/>
    <w:link w:val="Pagrindinistekstas"/>
    <w:uiPriority w:val="99"/>
    <w:rsid w:val="007F73A3"/>
    <w:rPr>
      <w:rFonts w:ascii="Calibri" w:hAnsi="Calibri" w:cs="Calibri"/>
    </w:rPr>
  </w:style>
  <w:style w:type="paragraph" w:customStyle="1" w:styleId="tajtip">
    <w:name w:val="tajtip"/>
    <w:basedOn w:val="prastasis"/>
    <w:rsid w:val="00C00AE5"/>
    <w:pPr>
      <w:spacing w:after="150"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7643F2"/>
    <w:pPr>
      <w:spacing w:after="120" w:line="276" w:lineRule="auto"/>
      <w:ind w:left="283"/>
    </w:pPr>
  </w:style>
  <w:style w:type="character" w:customStyle="1" w:styleId="PagrindiniotekstotraukaDiagrama">
    <w:name w:val="Pagrindinio teksto įtrauka Diagrama"/>
    <w:basedOn w:val="Numatytasispastraiposriftas"/>
    <w:link w:val="Pagrindiniotekstotrauka"/>
    <w:uiPriority w:val="99"/>
    <w:rsid w:val="007643F2"/>
  </w:style>
  <w:style w:type="paragraph" w:customStyle="1" w:styleId="normal-p">
    <w:name w:val="normal-p"/>
    <w:basedOn w:val="prastasis"/>
    <w:rsid w:val="00CF762E"/>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7927">
      <w:bodyDiv w:val="1"/>
      <w:marLeft w:val="0"/>
      <w:marRight w:val="0"/>
      <w:marTop w:val="0"/>
      <w:marBottom w:val="0"/>
      <w:divBdr>
        <w:top w:val="none" w:sz="0" w:space="0" w:color="auto"/>
        <w:left w:val="none" w:sz="0" w:space="0" w:color="auto"/>
        <w:bottom w:val="none" w:sz="0" w:space="0" w:color="auto"/>
        <w:right w:val="none" w:sz="0" w:space="0" w:color="auto"/>
      </w:divBdr>
    </w:div>
    <w:div w:id="151144973">
      <w:bodyDiv w:val="1"/>
      <w:marLeft w:val="0"/>
      <w:marRight w:val="0"/>
      <w:marTop w:val="0"/>
      <w:marBottom w:val="0"/>
      <w:divBdr>
        <w:top w:val="none" w:sz="0" w:space="0" w:color="auto"/>
        <w:left w:val="none" w:sz="0" w:space="0" w:color="auto"/>
        <w:bottom w:val="none" w:sz="0" w:space="0" w:color="auto"/>
        <w:right w:val="none" w:sz="0" w:space="0" w:color="auto"/>
      </w:divBdr>
    </w:div>
    <w:div w:id="382606464">
      <w:bodyDiv w:val="1"/>
      <w:marLeft w:val="0"/>
      <w:marRight w:val="0"/>
      <w:marTop w:val="0"/>
      <w:marBottom w:val="0"/>
      <w:divBdr>
        <w:top w:val="none" w:sz="0" w:space="0" w:color="auto"/>
        <w:left w:val="none" w:sz="0" w:space="0" w:color="auto"/>
        <w:bottom w:val="none" w:sz="0" w:space="0" w:color="auto"/>
        <w:right w:val="none" w:sz="0" w:space="0" w:color="auto"/>
      </w:divBdr>
      <w:divsChild>
        <w:div w:id="1467166130">
          <w:marLeft w:val="0"/>
          <w:marRight w:val="0"/>
          <w:marTop w:val="0"/>
          <w:marBottom w:val="0"/>
          <w:divBdr>
            <w:top w:val="none" w:sz="0" w:space="0" w:color="auto"/>
            <w:left w:val="none" w:sz="0" w:space="0" w:color="auto"/>
            <w:bottom w:val="none" w:sz="0" w:space="0" w:color="auto"/>
            <w:right w:val="none" w:sz="0" w:space="0" w:color="auto"/>
          </w:divBdr>
          <w:divsChild>
            <w:div w:id="280109601">
              <w:marLeft w:val="0"/>
              <w:marRight w:val="0"/>
              <w:marTop w:val="0"/>
              <w:marBottom w:val="0"/>
              <w:divBdr>
                <w:top w:val="none" w:sz="0" w:space="0" w:color="auto"/>
                <w:left w:val="none" w:sz="0" w:space="0" w:color="auto"/>
                <w:bottom w:val="none" w:sz="0" w:space="0" w:color="auto"/>
                <w:right w:val="none" w:sz="0" w:space="0" w:color="auto"/>
              </w:divBdr>
              <w:divsChild>
                <w:div w:id="777139167">
                  <w:marLeft w:val="0"/>
                  <w:marRight w:val="0"/>
                  <w:marTop w:val="0"/>
                  <w:marBottom w:val="0"/>
                  <w:divBdr>
                    <w:top w:val="none" w:sz="0" w:space="0" w:color="auto"/>
                    <w:left w:val="none" w:sz="0" w:space="0" w:color="auto"/>
                    <w:bottom w:val="none" w:sz="0" w:space="0" w:color="auto"/>
                    <w:right w:val="none" w:sz="0" w:space="0" w:color="auto"/>
                  </w:divBdr>
                  <w:divsChild>
                    <w:div w:id="1290621665">
                      <w:marLeft w:val="0"/>
                      <w:marRight w:val="0"/>
                      <w:marTop w:val="0"/>
                      <w:marBottom w:val="0"/>
                      <w:divBdr>
                        <w:top w:val="none" w:sz="0" w:space="0" w:color="auto"/>
                        <w:left w:val="none" w:sz="0" w:space="0" w:color="auto"/>
                        <w:bottom w:val="none" w:sz="0" w:space="0" w:color="auto"/>
                        <w:right w:val="none" w:sz="0" w:space="0" w:color="auto"/>
                      </w:divBdr>
                      <w:divsChild>
                        <w:div w:id="10175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070987">
      <w:bodyDiv w:val="1"/>
      <w:marLeft w:val="0"/>
      <w:marRight w:val="0"/>
      <w:marTop w:val="0"/>
      <w:marBottom w:val="0"/>
      <w:divBdr>
        <w:top w:val="none" w:sz="0" w:space="0" w:color="auto"/>
        <w:left w:val="none" w:sz="0" w:space="0" w:color="auto"/>
        <w:bottom w:val="none" w:sz="0" w:space="0" w:color="auto"/>
        <w:right w:val="none" w:sz="0" w:space="0" w:color="auto"/>
      </w:divBdr>
    </w:div>
    <w:div w:id="601185917">
      <w:bodyDiv w:val="1"/>
      <w:marLeft w:val="0"/>
      <w:marRight w:val="0"/>
      <w:marTop w:val="0"/>
      <w:marBottom w:val="0"/>
      <w:divBdr>
        <w:top w:val="none" w:sz="0" w:space="0" w:color="auto"/>
        <w:left w:val="none" w:sz="0" w:space="0" w:color="auto"/>
        <w:bottom w:val="none" w:sz="0" w:space="0" w:color="auto"/>
        <w:right w:val="none" w:sz="0" w:space="0" w:color="auto"/>
      </w:divBdr>
    </w:div>
    <w:div w:id="929118181">
      <w:bodyDiv w:val="1"/>
      <w:marLeft w:val="0"/>
      <w:marRight w:val="0"/>
      <w:marTop w:val="0"/>
      <w:marBottom w:val="0"/>
      <w:divBdr>
        <w:top w:val="none" w:sz="0" w:space="0" w:color="auto"/>
        <w:left w:val="none" w:sz="0" w:space="0" w:color="auto"/>
        <w:bottom w:val="none" w:sz="0" w:space="0" w:color="auto"/>
        <w:right w:val="none" w:sz="0" w:space="0" w:color="auto"/>
      </w:divBdr>
    </w:div>
    <w:div w:id="1358972388">
      <w:bodyDiv w:val="1"/>
      <w:marLeft w:val="0"/>
      <w:marRight w:val="0"/>
      <w:marTop w:val="0"/>
      <w:marBottom w:val="0"/>
      <w:divBdr>
        <w:top w:val="none" w:sz="0" w:space="0" w:color="auto"/>
        <w:left w:val="none" w:sz="0" w:space="0" w:color="auto"/>
        <w:bottom w:val="none" w:sz="0" w:space="0" w:color="auto"/>
        <w:right w:val="none" w:sz="0" w:space="0" w:color="auto"/>
      </w:divBdr>
    </w:div>
    <w:div w:id="1563129838">
      <w:bodyDiv w:val="1"/>
      <w:marLeft w:val="0"/>
      <w:marRight w:val="0"/>
      <w:marTop w:val="0"/>
      <w:marBottom w:val="0"/>
      <w:divBdr>
        <w:top w:val="none" w:sz="0" w:space="0" w:color="auto"/>
        <w:left w:val="none" w:sz="0" w:space="0" w:color="auto"/>
        <w:bottom w:val="none" w:sz="0" w:space="0" w:color="auto"/>
        <w:right w:val="none" w:sz="0" w:space="0" w:color="auto"/>
      </w:divBdr>
    </w:div>
    <w:div w:id="1574124692">
      <w:bodyDiv w:val="1"/>
      <w:marLeft w:val="0"/>
      <w:marRight w:val="0"/>
      <w:marTop w:val="0"/>
      <w:marBottom w:val="0"/>
      <w:divBdr>
        <w:top w:val="none" w:sz="0" w:space="0" w:color="auto"/>
        <w:left w:val="none" w:sz="0" w:space="0" w:color="auto"/>
        <w:bottom w:val="none" w:sz="0" w:space="0" w:color="auto"/>
        <w:right w:val="none" w:sz="0" w:space="0" w:color="auto"/>
      </w:divBdr>
      <w:divsChild>
        <w:div w:id="374425634">
          <w:marLeft w:val="0"/>
          <w:marRight w:val="0"/>
          <w:marTop w:val="0"/>
          <w:marBottom w:val="0"/>
          <w:divBdr>
            <w:top w:val="none" w:sz="0" w:space="0" w:color="auto"/>
            <w:left w:val="none" w:sz="0" w:space="0" w:color="auto"/>
            <w:bottom w:val="none" w:sz="0" w:space="0" w:color="auto"/>
            <w:right w:val="none" w:sz="0" w:space="0" w:color="auto"/>
          </w:divBdr>
          <w:divsChild>
            <w:div w:id="222103683">
              <w:marLeft w:val="0"/>
              <w:marRight w:val="0"/>
              <w:marTop w:val="0"/>
              <w:marBottom w:val="0"/>
              <w:divBdr>
                <w:top w:val="none" w:sz="0" w:space="0" w:color="auto"/>
                <w:left w:val="none" w:sz="0" w:space="0" w:color="auto"/>
                <w:bottom w:val="none" w:sz="0" w:space="0" w:color="auto"/>
                <w:right w:val="none" w:sz="0" w:space="0" w:color="auto"/>
              </w:divBdr>
              <w:divsChild>
                <w:div w:id="1167012184">
                  <w:marLeft w:val="0"/>
                  <w:marRight w:val="0"/>
                  <w:marTop w:val="0"/>
                  <w:marBottom w:val="0"/>
                  <w:divBdr>
                    <w:top w:val="none" w:sz="0" w:space="0" w:color="auto"/>
                    <w:left w:val="none" w:sz="0" w:space="0" w:color="auto"/>
                    <w:bottom w:val="none" w:sz="0" w:space="0" w:color="auto"/>
                    <w:right w:val="none" w:sz="0" w:space="0" w:color="auto"/>
                  </w:divBdr>
                  <w:divsChild>
                    <w:div w:id="1440177594">
                      <w:marLeft w:val="0"/>
                      <w:marRight w:val="0"/>
                      <w:marTop w:val="0"/>
                      <w:marBottom w:val="0"/>
                      <w:divBdr>
                        <w:top w:val="none" w:sz="0" w:space="0" w:color="auto"/>
                        <w:left w:val="none" w:sz="0" w:space="0" w:color="auto"/>
                        <w:bottom w:val="none" w:sz="0" w:space="0" w:color="auto"/>
                        <w:right w:val="none" w:sz="0" w:space="0" w:color="auto"/>
                      </w:divBdr>
                      <w:divsChild>
                        <w:div w:id="19220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4534">
      <w:bodyDiv w:val="1"/>
      <w:marLeft w:val="0"/>
      <w:marRight w:val="0"/>
      <w:marTop w:val="0"/>
      <w:marBottom w:val="0"/>
      <w:divBdr>
        <w:top w:val="none" w:sz="0" w:space="0" w:color="auto"/>
        <w:left w:val="none" w:sz="0" w:space="0" w:color="auto"/>
        <w:bottom w:val="none" w:sz="0" w:space="0" w:color="auto"/>
        <w:right w:val="none" w:sz="0" w:space="0" w:color="auto"/>
      </w:divBdr>
    </w:div>
    <w:div w:id="1663729610">
      <w:bodyDiv w:val="1"/>
      <w:marLeft w:val="0"/>
      <w:marRight w:val="0"/>
      <w:marTop w:val="0"/>
      <w:marBottom w:val="0"/>
      <w:divBdr>
        <w:top w:val="none" w:sz="0" w:space="0" w:color="auto"/>
        <w:left w:val="none" w:sz="0" w:space="0" w:color="auto"/>
        <w:bottom w:val="none" w:sz="0" w:space="0" w:color="auto"/>
        <w:right w:val="none" w:sz="0" w:space="0" w:color="auto"/>
      </w:divBdr>
      <w:divsChild>
        <w:div w:id="2125423862">
          <w:marLeft w:val="0"/>
          <w:marRight w:val="0"/>
          <w:marTop w:val="0"/>
          <w:marBottom w:val="0"/>
          <w:divBdr>
            <w:top w:val="none" w:sz="0" w:space="0" w:color="auto"/>
            <w:left w:val="none" w:sz="0" w:space="0" w:color="auto"/>
            <w:bottom w:val="none" w:sz="0" w:space="0" w:color="auto"/>
            <w:right w:val="none" w:sz="0" w:space="0" w:color="auto"/>
          </w:divBdr>
          <w:divsChild>
            <w:div w:id="858857214">
              <w:marLeft w:val="0"/>
              <w:marRight w:val="0"/>
              <w:marTop w:val="0"/>
              <w:marBottom w:val="0"/>
              <w:divBdr>
                <w:top w:val="none" w:sz="0" w:space="0" w:color="auto"/>
                <w:left w:val="none" w:sz="0" w:space="0" w:color="auto"/>
                <w:bottom w:val="none" w:sz="0" w:space="0" w:color="auto"/>
                <w:right w:val="none" w:sz="0" w:space="0" w:color="auto"/>
              </w:divBdr>
              <w:divsChild>
                <w:div w:id="902637325">
                  <w:marLeft w:val="0"/>
                  <w:marRight w:val="0"/>
                  <w:marTop w:val="0"/>
                  <w:marBottom w:val="0"/>
                  <w:divBdr>
                    <w:top w:val="none" w:sz="0" w:space="0" w:color="auto"/>
                    <w:left w:val="none" w:sz="0" w:space="0" w:color="auto"/>
                    <w:bottom w:val="none" w:sz="0" w:space="0" w:color="auto"/>
                    <w:right w:val="none" w:sz="0" w:space="0" w:color="auto"/>
                  </w:divBdr>
                  <w:divsChild>
                    <w:div w:id="1145780109">
                      <w:marLeft w:val="0"/>
                      <w:marRight w:val="0"/>
                      <w:marTop w:val="0"/>
                      <w:marBottom w:val="0"/>
                      <w:divBdr>
                        <w:top w:val="none" w:sz="0" w:space="0" w:color="auto"/>
                        <w:left w:val="none" w:sz="0" w:space="0" w:color="auto"/>
                        <w:bottom w:val="none" w:sz="0" w:space="0" w:color="auto"/>
                        <w:right w:val="none" w:sz="0" w:space="0" w:color="auto"/>
                      </w:divBdr>
                      <w:divsChild>
                        <w:div w:id="2074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2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1416</Words>
  <Characters>8076</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2021-09-24T07:04:00Z</dcterms:created>
  <dc:creator>Algis Baležentis</dc:creator>
  <cp:lastModifiedBy>Bendras</cp:lastModifiedBy>
  <dcterms:modified xsi:type="dcterms:W3CDTF">2021-09-28T12:32:00Z</dcterms:modified>
  <cp:revision>5</cp:revision>
</cp:coreProperties>
</file>