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8128A" w14:textId="008DC08E" w:rsidR="00161A90" w:rsidRDefault="00161A90" w:rsidP="00161A90">
      <w:pPr>
        <w:pStyle w:val="BodyA"/>
        <w:jc w:val="center"/>
        <w:rPr>
          <w:rFonts w:hAnsi="Times New Roman" w:cs="Times New Roman"/>
          <w:b/>
          <w:bCs/>
          <w:caps/>
          <w:lang w:val="lt-LT"/>
        </w:rPr>
      </w:pPr>
      <w:r w:rsidRPr="003F18DB">
        <w:rPr>
          <w:rFonts w:hAnsi="Times New Roman" w:cs="Times New Roman"/>
          <w:b/>
          <w:bCs/>
          <w:caps/>
          <w:lang w:val="lt-LT"/>
        </w:rPr>
        <w:t>PAŽYMA</w:t>
      </w:r>
    </w:p>
    <w:p w14:paraId="5920C720" w14:textId="5983F1AA" w:rsidR="00C9706E" w:rsidRPr="003F18DB" w:rsidRDefault="00C9706E" w:rsidP="00161A90">
      <w:pPr>
        <w:pStyle w:val="BodyA"/>
        <w:jc w:val="center"/>
        <w:rPr>
          <w:rFonts w:hAnsi="Times New Roman" w:cs="Times New Roman"/>
          <w:b/>
          <w:bCs/>
          <w:caps/>
          <w:lang w:val="lt-LT"/>
        </w:rPr>
      </w:pPr>
      <w:r w:rsidRPr="003F18DB">
        <w:rPr>
          <w:rFonts w:hAnsi="Times New Roman" w:cs="Times New Roman"/>
          <w:b/>
          <w:bCs/>
          <w:caps/>
          <w:lang w:val="lt-LT"/>
        </w:rPr>
        <w:t>Teisingumo mnistrų neformalus susitikimas 2020 m. gruodžio 2 d. (vaizdo konferencija)</w:t>
      </w:r>
    </w:p>
    <w:tbl>
      <w:tblPr>
        <w:tblpPr w:leftFromText="180" w:rightFromText="180" w:vertAnchor="text" w:horzAnchor="margin" w:tblpY="392"/>
        <w:tblW w:w="90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5" w:type="dxa"/>
          <w:right w:w="115" w:type="dxa"/>
        </w:tblCellMar>
        <w:tblLook w:val="04A0" w:firstRow="1" w:lastRow="0" w:firstColumn="1" w:lastColumn="0" w:noHBand="0" w:noVBand="1"/>
      </w:tblPr>
      <w:tblGrid>
        <w:gridCol w:w="9059"/>
      </w:tblGrid>
      <w:tr w:rsidR="006F1F92" w:rsidRPr="003F18DB" w14:paraId="1AD086CB" w14:textId="77777777" w:rsidTr="00167C5A">
        <w:trPr>
          <w:trHeight w:val="769"/>
        </w:trPr>
        <w:tc>
          <w:tcPr>
            <w:tcW w:w="90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6E7566" w14:textId="77777777" w:rsidR="006F1F92" w:rsidRPr="003F18DB" w:rsidRDefault="006F1F92" w:rsidP="006F1F92">
            <w:pPr>
              <w:pStyle w:val="BodyA"/>
              <w:numPr>
                <w:ilvl w:val="0"/>
                <w:numId w:val="2"/>
              </w:numPr>
              <w:tabs>
                <w:tab w:val="num" w:pos="393"/>
              </w:tabs>
              <w:ind w:left="393" w:hanging="393"/>
              <w:jc w:val="both"/>
              <w:rPr>
                <w:rFonts w:hAnsi="Times New Roman" w:cs="Times New Roman"/>
                <w:lang w:val="lt-LT"/>
              </w:rPr>
            </w:pPr>
            <w:r w:rsidRPr="003F18DB">
              <w:rPr>
                <w:rFonts w:hAnsi="Times New Roman" w:cs="Times New Roman"/>
                <w:b/>
                <w:bCs/>
                <w:lang w:val="lt-LT"/>
              </w:rPr>
              <w:t xml:space="preserve">Kovos su terorizmu teisingumo aspektai / </w:t>
            </w:r>
            <w:proofErr w:type="spellStart"/>
            <w:r w:rsidRPr="003F18DB">
              <w:rPr>
                <w:rFonts w:hAnsi="Times New Roman" w:cs="Times New Roman"/>
                <w:b/>
                <w:bCs/>
                <w:lang w:val="lt-LT"/>
              </w:rPr>
              <w:t>Justice</w:t>
            </w:r>
            <w:proofErr w:type="spellEnd"/>
            <w:r w:rsidRPr="003F18DB">
              <w:rPr>
                <w:rFonts w:hAnsi="Times New Roman" w:cs="Times New Roman"/>
                <w:b/>
                <w:bCs/>
                <w:lang w:val="lt-LT"/>
              </w:rPr>
              <w:t xml:space="preserve"> </w:t>
            </w:r>
            <w:proofErr w:type="spellStart"/>
            <w:r w:rsidRPr="003F18DB">
              <w:rPr>
                <w:rFonts w:hAnsi="Times New Roman" w:cs="Times New Roman"/>
                <w:b/>
                <w:bCs/>
                <w:lang w:val="lt-LT"/>
              </w:rPr>
              <w:t>aspects</w:t>
            </w:r>
            <w:proofErr w:type="spellEnd"/>
            <w:r w:rsidRPr="003F18DB">
              <w:rPr>
                <w:rFonts w:hAnsi="Times New Roman" w:cs="Times New Roman"/>
                <w:b/>
                <w:bCs/>
                <w:lang w:val="lt-LT"/>
              </w:rPr>
              <w:t xml:space="preserve"> </w:t>
            </w:r>
            <w:proofErr w:type="spellStart"/>
            <w:r w:rsidRPr="003F18DB">
              <w:rPr>
                <w:rFonts w:hAnsi="Times New Roman" w:cs="Times New Roman"/>
                <w:b/>
                <w:bCs/>
                <w:lang w:val="lt-LT"/>
              </w:rPr>
              <w:t>of</w:t>
            </w:r>
            <w:proofErr w:type="spellEnd"/>
            <w:r w:rsidRPr="003F18DB">
              <w:rPr>
                <w:rFonts w:hAnsi="Times New Roman" w:cs="Times New Roman"/>
                <w:b/>
                <w:bCs/>
                <w:lang w:val="lt-LT"/>
              </w:rPr>
              <w:t xml:space="preserve"> </w:t>
            </w:r>
            <w:proofErr w:type="spellStart"/>
            <w:r w:rsidRPr="003F18DB">
              <w:rPr>
                <w:rFonts w:hAnsi="Times New Roman" w:cs="Times New Roman"/>
                <w:b/>
                <w:bCs/>
                <w:lang w:val="lt-LT"/>
              </w:rPr>
              <w:t>countering</w:t>
            </w:r>
            <w:proofErr w:type="spellEnd"/>
            <w:r w:rsidRPr="003F18DB">
              <w:rPr>
                <w:rFonts w:hAnsi="Times New Roman" w:cs="Times New Roman"/>
                <w:b/>
                <w:bCs/>
                <w:lang w:val="lt-LT"/>
              </w:rPr>
              <w:t xml:space="preserve"> </w:t>
            </w:r>
            <w:proofErr w:type="spellStart"/>
            <w:r w:rsidRPr="003F18DB">
              <w:rPr>
                <w:rFonts w:hAnsi="Times New Roman" w:cs="Times New Roman"/>
                <w:b/>
                <w:bCs/>
                <w:lang w:val="lt-LT"/>
              </w:rPr>
              <w:t>terrorism</w:t>
            </w:r>
            <w:proofErr w:type="spellEnd"/>
            <w:r w:rsidRPr="003F18DB">
              <w:rPr>
                <w:rFonts w:hAnsi="Times New Roman" w:cs="Times New Roman"/>
                <w:lang w:val="lt-LT"/>
              </w:rPr>
              <w:t xml:space="preserve"> (</w:t>
            </w:r>
            <w:r w:rsidRPr="003F18DB">
              <w:rPr>
                <w:rFonts w:hAnsi="Times New Roman" w:cs="Times New Roman"/>
                <w:i/>
                <w:iCs/>
                <w:lang w:val="lt-LT"/>
              </w:rPr>
              <w:t>pasikeitimas nuomonėmis</w:t>
            </w:r>
            <w:r w:rsidRPr="003F18DB">
              <w:rPr>
                <w:rFonts w:hAnsi="Times New Roman" w:cs="Times New Roman"/>
                <w:lang w:val="lt-LT"/>
              </w:rPr>
              <w:t>)</w:t>
            </w:r>
          </w:p>
          <w:p w14:paraId="769A9AAD" w14:textId="77777777" w:rsidR="006F1F92" w:rsidRPr="003F18DB" w:rsidRDefault="006F1F92" w:rsidP="006F1F92">
            <w:pPr>
              <w:pStyle w:val="BodyA"/>
              <w:jc w:val="both"/>
              <w:rPr>
                <w:rFonts w:hAnsi="Times New Roman" w:cs="Times New Roman"/>
                <w:lang w:val="lt-LT"/>
              </w:rPr>
            </w:pPr>
          </w:p>
          <w:p w14:paraId="242CC9C6" w14:textId="77777777" w:rsidR="006F1F92" w:rsidRPr="003F18DB" w:rsidRDefault="006F1F92" w:rsidP="006F1F92">
            <w:pPr>
              <w:pStyle w:val="BodyA"/>
              <w:jc w:val="both"/>
              <w:rPr>
                <w:rFonts w:hAnsi="Times New Roman" w:cs="Times New Roman"/>
                <w:b/>
                <w:bCs/>
                <w:lang w:val="lt-LT"/>
              </w:rPr>
            </w:pPr>
            <w:r w:rsidRPr="003F18DB">
              <w:rPr>
                <w:rFonts w:hAnsi="Times New Roman" w:cs="Times New Roman"/>
                <w:b/>
                <w:bCs/>
                <w:u w:val="single"/>
                <w:lang w:val="lt-LT"/>
              </w:rPr>
              <w:t>Klausimo esmė.</w:t>
            </w:r>
            <w:r w:rsidRPr="003F18DB">
              <w:rPr>
                <w:rFonts w:hAnsi="Times New Roman" w:cs="Times New Roman"/>
                <w:b/>
                <w:bCs/>
                <w:lang w:val="lt-LT"/>
              </w:rPr>
              <w:t xml:space="preserve"> </w:t>
            </w:r>
          </w:p>
          <w:p w14:paraId="65456C32" w14:textId="77777777" w:rsidR="006F1F92" w:rsidRDefault="006F1F92" w:rsidP="006F1F92">
            <w:pPr>
              <w:pStyle w:val="BodyA"/>
              <w:jc w:val="both"/>
              <w:rPr>
                <w:rFonts w:hAnsi="Times New Roman" w:cs="Times New Roman"/>
                <w:lang w:val="lt-LT"/>
              </w:rPr>
            </w:pPr>
            <w:r w:rsidRPr="003F18DB">
              <w:rPr>
                <w:rFonts w:hAnsi="Times New Roman" w:cs="Times New Roman"/>
                <w:lang w:val="lt-LT"/>
              </w:rPr>
              <w:t xml:space="preserve">Pastarojo meto išpuoliai Prancūzijoje ir Austrijoje parodė, kad terorizmas ir toliau kelia rimtą grėsmę ES. Siekiant pagerinti ES kovos su terorizmu gebėjimus, teisingumo srityje jau imtasi įvairių priemonių. Nors kai kuriose priimtose priemonėse daugiausia dėmesio skiriama terorizmui, daugelio sėkmingiausių priemonių taikymo sritis yra platesnė. Dabartinės pastangos patenka į abejas kategorijas  ir apima: 1) nuolatinį Europos arešto orderio veikimo gerinimą, 2) pastangas geriau padėti terorizmo aukoms, 3) sėkmingo užsienio teroristų kovotojų persekiojimo pagrindų analizę, 4) skaitmeninimą (siekiant veiksmingiau bendradarbiauti naudojantis skaitmeninėmis priemonėmis ir gaunant prieigą prie elektroninių įrodymų) ir 5) kovą su neapykantą kurstančiomis kalbomis internete, kuri skatina ekstremizmą, </w:t>
            </w:r>
            <w:proofErr w:type="spellStart"/>
            <w:r w:rsidRPr="003F18DB">
              <w:rPr>
                <w:rFonts w:hAnsi="Times New Roman" w:cs="Times New Roman"/>
                <w:lang w:val="lt-LT"/>
              </w:rPr>
              <w:t>radikalėjimą</w:t>
            </w:r>
            <w:proofErr w:type="spellEnd"/>
            <w:r w:rsidRPr="003F18DB">
              <w:rPr>
                <w:rFonts w:hAnsi="Times New Roman" w:cs="Times New Roman"/>
                <w:lang w:val="lt-LT"/>
              </w:rPr>
              <w:t xml:space="preserve"> ir terorizmą. Ministrams pateikiame dokumente pristatoma dabartinė padėtis šiais klausimais ir ministrai yra kviečiami aptarti šias pastangas, daugiau dėmesio skiriant neapykantą kurstančių kalbų internete klausimui.</w:t>
            </w:r>
          </w:p>
          <w:p w14:paraId="3354AE01" w14:textId="77777777" w:rsidR="006F1F92" w:rsidRDefault="006F1F92" w:rsidP="006F1F92">
            <w:pPr>
              <w:pStyle w:val="BodyA"/>
              <w:jc w:val="both"/>
              <w:rPr>
                <w:rFonts w:hAnsi="Times New Roman" w:cs="Times New Roman"/>
                <w:lang w:val="lt-LT"/>
              </w:rPr>
            </w:pPr>
            <w:r>
              <w:rPr>
                <w:rFonts w:hAnsi="Times New Roman" w:cs="Times New Roman"/>
                <w:lang w:val="lt-LT"/>
              </w:rPr>
              <w:t>Ministrų diskusijoms teikiami tokie klausimai:</w:t>
            </w:r>
          </w:p>
          <w:p w14:paraId="52A42F29" w14:textId="77777777" w:rsidR="006F1F92" w:rsidRDefault="006F1F92" w:rsidP="006F1F92">
            <w:pPr>
              <w:pStyle w:val="BodyA"/>
              <w:jc w:val="both"/>
              <w:rPr>
                <w:rFonts w:hAnsi="Times New Roman" w:cs="Times New Roman"/>
                <w:lang w:val="lt-LT"/>
              </w:rPr>
            </w:pPr>
            <w:r>
              <w:rPr>
                <w:rFonts w:hAnsi="Times New Roman" w:cs="Times New Roman"/>
                <w:lang w:val="lt-LT"/>
              </w:rPr>
              <w:t xml:space="preserve">1. </w:t>
            </w:r>
            <w:r w:rsidRPr="000851A1">
              <w:rPr>
                <w:rFonts w:hAnsi="Times New Roman" w:cs="Times New Roman"/>
                <w:lang w:val="lt-LT"/>
              </w:rPr>
              <w:t>Ar turite nacionalinio lygmens patirties, susijusios su platformų pareiga pranešti kompetentingai institucijai apie nusikalstamas veikas, susijusias su neapykantos nusikaltimais ir neapykantą kurstančiomis kalbomis, jei jos sužino apie tokius nusikaltimus?</w:t>
            </w:r>
          </w:p>
          <w:p w14:paraId="7FB206B7" w14:textId="77777777" w:rsidR="006F1F92" w:rsidRDefault="006F1F92" w:rsidP="006F1F92">
            <w:pPr>
              <w:pStyle w:val="BodyA"/>
              <w:jc w:val="both"/>
              <w:rPr>
                <w:rFonts w:hAnsi="Times New Roman" w:cs="Times New Roman"/>
                <w:lang w:val="lt-LT"/>
              </w:rPr>
            </w:pPr>
            <w:r>
              <w:rPr>
                <w:rFonts w:hAnsi="Times New Roman" w:cs="Times New Roman"/>
                <w:lang w:val="lt-LT"/>
              </w:rPr>
              <w:t xml:space="preserve">2. </w:t>
            </w:r>
            <w:r w:rsidRPr="000851A1">
              <w:rPr>
                <w:rFonts w:hAnsi="Times New Roman" w:cs="Times New Roman"/>
                <w:lang w:val="lt-LT"/>
              </w:rPr>
              <w:t>Ar manote, kad būtų tikslinga numatyti tokį įpareigojimą ar kitus ES lygmens teisinės sistemos elementus kovojant su neteisėtais neapykantos nusikaltimais ir neapykantą kurstančiomis kalbomis?</w:t>
            </w:r>
          </w:p>
          <w:p w14:paraId="6BB89DFA" w14:textId="77777777" w:rsidR="006F1F92" w:rsidRPr="003F18DB" w:rsidRDefault="006F1F92" w:rsidP="006F1F92">
            <w:pPr>
              <w:pStyle w:val="BodyA"/>
              <w:jc w:val="both"/>
              <w:rPr>
                <w:rFonts w:hAnsi="Times New Roman" w:cs="Times New Roman"/>
                <w:lang w:val="lt-LT"/>
              </w:rPr>
            </w:pPr>
            <w:r>
              <w:rPr>
                <w:rFonts w:hAnsi="Times New Roman" w:cs="Times New Roman"/>
                <w:lang w:val="lt-LT"/>
              </w:rPr>
              <w:t xml:space="preserve">3. </w:t>
            </w:r>
            <w:r w:rsidRPr="000851A1">
              <w:rPr>
                <w:rFonts w:hAnsi="Times New Roman" w:cs="Times New Roman"/>
                <w:lang w:val="lt-LT"/>
              </w:rPr>
              <w:t>Ar matote kokių nors kitų veiksmų, kurių ES turėtų imtis, kad pagerintų mūsų kovą su terorizmu minėtuose sektoriuose ar kituose su teisingumu susijusiuose sektoriuose?</w:t>
            </w:r>
          </w:p>
          <w:p w14:paraId="249177A2" w14:textId="77777777" w:rsidR="006F1F92" w:rsidRPr="003F18DB" w:rsidRDefault="006F1F92" w:rsidP="006F1F92">
            <w:pPr>
              <w:pStyle w:val="BodyA"/>
              <w:jc w:val="both"/>
              <w:rPr>
                <w:rFonts w:hAnsi="Times New Roman" w:cs="Times New Roman"/>
                <w:lang w:val="lt-LT"/>
              </w:rPr>
            </w:pPr>
          </w:p>
          <w:p w14:paraId="7BA74668" w14:textId="77777777" w:rsidR="006F1F92" w:rsidRPr="003F18DB" w:rsidRDefault="006F1F92" w:rsidP="006F1F92">
            <w:pPr>
              <w:pStyle w:val="BodyA"/>
              <w:jc w:val="both"/>
              <w:rPr>
                <w:lang w:val="lt-LT"/>
              </w:rPr>
            </w:pPr>
            <w:r w:rsidRPr="003F18DB">
              <w:rPr>
                <w:rFonts w:hAnsi="Times New Roman" w:cs="Times New Roman"/>
                <w:b/>
                <w:bCs/>
                <w:u w:val="single"/>
                <w:lang w:val="lt-LT"/>
              </w:rPr>
              <w:t>Lietuvos pozicija.</w:t>
            </w:r>
            <w:r w:rsidRPr="003F18DB">
              <w:rPr>
                <w:rFonts w:hAnsi="Times New Roman" w:cs="Times New Roman"/>
                <w:b/>
                <w:bCs/>
                <w:lang w:val="lt-LT"/>
              </w:rPr>
              <w:t xml:space="preserve"> </w:t>
            </w:r>
            <w:r w:rsidRPr="003F18DB">
              <w:rPr>
                <w:lang w:val="lt-LT"/>
              </w:rPr>
              <w:t xml:space="preserve"> </w:t>
            </w:r>
          </w:p>
          <w:p w14:paraId="68AC4288" w14:textId="47BB5601" w:rsidR="00A77367" w:rsidRDefault="00AA600C" w:rsidP="006F1F92">
            <w:pPr>
              <w:pStyle w:val="BodyA"/>
              <w:jc w:val="both"/>
              <w:rPr>
                <w:rFonts w:hAnsi="Times New Roman" w:cs="Times New Roman"/>
                <w:lang w:val="lt-LT"/>
              </w:rPr>
            </w:pPr>
            <w:r w:rsidRPr="00AA600C">
              <w:rPr>
                <w:rFonts w:hAnsi="Times New Roman" w:cs="Times New Roman"/>
                <w:lang w:val="lt-LT"/>
              </w:rPr>
              <w:t>Pažymėsime, kad Lietuvoje nėra numatytos įstatyminės pareigos platformų operatoriams pranešti kompetentingai institucijai apie pastebėtus neapykantos nusikaltimus ar apie neapykantą kurstančias kalbas</w:t>
            </w:r>
            <w:r>
              <w:rPr>
                <w:rFonts w:hAnsi="Times New Roman" w:cs="Times New Roman"/>
                <w:lang w:val="lt-LT"/>
              </w:rPr>
              <w:t>, tačiau p</w:t>
            </w:r>
            <w:r w:rsidRPr="00AA600C">
              <w:rPr>
                <w:rFonts w:hAnsi="Times New Roman" w:cs="Times New Roman"/>
                <w:lang w:val="lt-LT"/>
              </w:rPr>
              <w:t xml:space="preserve">asisakytume, už tai kad tokia pareiga būtų numatyta. </w:t>
            </w:r>
            <w:r w:rsidR="00630401">
              <w:rPr>
                <w:rFonts w:hAnsi="Times New Roman" w:cs="Times New Roman"/>
                <w:lang w:val="lt-LT"/>
              </w:rPr>
              <w:t>P</w:t>
            </w:r>
            <w:r w:rsidRPr="00AA600C">
              <w:rPr>
                <w:rFonts w:hAnsi="Times New Roman" w:cs="Times New Roman"/>
                <w:lang w:val="lt-LT"/>
              </w:rPr>
              <w:t xml:space="preserve">abrėšime, </w:t>
            </w:r>
            <w:r w:rsidR="00630401">
              <w:rPr>
                <w:rFonts w:hAnsi="Times New Roman" w:cs="Times New Roman"/>
                <w:lang w:val="lt-LT"/>
              </w:rPr>
              <w:t xml:space="preserve">tokia pareiga gali būti numatyta tik tuo atveju, kai </w:t>
            </w:r>
            <w:r w:rsidRPr="00AA600C">
              <w:rPr>
                <w:rFonts w:hAnsi="Times New Roman" w:cs="Times New Roman"/>
                <w:lang w:val="lt-LT"/>
              </w:rPr>
              <w:t xml:space="preserve">ES teisėje </w:t>
            </w:r>
            <w:r w:rsidR="00630401">
              <w:rPr>
                <w:rFonts w:hAnsi="Times New Roman" w:cs="Times New Roman"/>
                <w:lang w:val="lt-LT"/>
              </w:rPr>
              <w:t xml:space="preserve">bus </w:t>
            </w:r>
            <w:r w:rsidRPr="00AA600C">
              <w:rPr>
                <w:rFonts w:hAnsi="Times New Roman" w:cs="Times New Roman"/>
                <w:lang w:val="lt-LT"/>
              </w:rPr>
              <w:t xml:space="preserve">aiškiai apibrėžta ir harmonizuota kas yra suprantama ir laikoma neapykantos kalba ir toks apibrėžimas </w:t>
            </w:r>
            <w:r w:rsidR="00630401">
              <w:rPr>
                <w:rFonts w:hAnsi="Times New Roman" w:cs="Times New Roman"/>
                <w:lang w:val="lt-LT"/>
              </w:rPr>
              <w:t xml:space="preserve">bus </w:t>
            </w:r>
            <w:r w:rsidRPr="00AA600C">
              <w:rPr>
                <w:rFonts w:hAnsi="Times New Roman" w:cs="Times New Roman"/>
                <w:lang w:val="lt-LT"/>
              </w:rPr>
              <w:t>perkeltas į valstybių narių nacionalinę teisę.</w:t>
            </w:r>
          </w:p>
          <w:p w14:paraId="52984831" w14:textId="788E4FA1" w:rsidR="006F1F92" w:rsidRDefault="006F1F92" w:rsidP="006F1F92">
            <w:pPr>
              <w:pStyle w:val="BodyA"/>
              <w:jc w:val="both"/>
              <w:rPr>
                <w:rFonts w:hAnsi="Times New Roman" w:cs="Times New Roman"/>
                <w:lang w:val="lt-LT"/>
              </w:rPr>
            </w:pPr>
            <w:r>
              <w:rPr>
                <w:rFonts w:hAnsi="Times New Roman" w:cs="Times New Roman"/>
                <w:lang w:val="lt-LT"/>
              </w:rPr>
              <w:t>Sveikiname</w:t>
            </w:r>
            <w:r w:rsidR="0062599A">
              <w:rPr>
                <w:rFonts w:hAnsi="Times New Roman" w:cs="Times New Roman"/>
                <w:lang w:val="lt-LT"/>
              </w:rPr>
              <w:t>, kad</w:t>
            </w:r>
            <w:r>
              <w:rPr>
                <w:rFonts w:hAnsi="Times New Roman" w:cs="Times New Roman"/>
                <w:lang w:val="lt-LT"/>
              </w:rPr>
              <w:t xml:space="preserve"> Europos Sąjungos tarybos išvadose </w:t>
            </w:r>
            <w:r w:rsidR="0062599A">
              <w:rPr>
                <w:rFonts w:hAnsi="Times New Roman" w:cs="Times New Roman"/>
                <w:lang w:val="lt-LT"/>
              </w:rPr>
              <w:t xml:space="preserve">atkreipiamas dėmesys į </w:t>
            </w:r>
            <w:bookmarkStart w:id="0" w:name="_Hlk57194173"/>
            <w:r>
              <w:rPr>
                <w:rFonts w:hAnsi="Times New Roman" w:cs="Times New Roman"/>
                <w:lang w:val="lt-LT"/>
              </w:rPr>
              <w:t>nepagrįstus ir politiškai motyvuotus trečiųjų valstybių ekstradicijos prašymus ir poreikį ieškoti bendro sprendimo siekiant apsaugoti ES piliečius.</w:t>
            </w:r>
            <w:bookmarkEnd w:id="0"/>
          </w:p>
          <w:p w14:paraId="371651D9" w14:textId="77777777" w:rsidR="006F1F92" w:rsidRDefault="006F1F92" w:rsidP="006F1F92">
            <w:pPr>
              <w:pStyle w:val="BodyA"/>
              <w:jc w:val="both"/>
              <w:rPr>
                <w:rFonts w:hAnsi="Times New Roman" w:cs="Times New Roman"/>
                <w:lang w:val="lt-LT"/>
              </w:rPr>
            </w:pPr>
            <w:r>
              <w:rPr>
                <w:rFonts w:hAnsi="Times New Roman" w:cs="Times New Roman"/>
                <w:lang w:val="lt-LT"/>
              </w:rPr>
              <w:t>Manome, kad kovojant su neapykantos kalbomis ir neapykantos nusikaltimais, svarbu nepamiršti ir tai, kokį pavojų kelią dezinformaciją, kurią pastaruoju metu ypač jaučia kai kurios ES valstybės narės tame tarpe ir Lietuva, dėl savo pozicijos Baltarusijos atžvilgiu.</w:t>
            </w:r>
          </w:p>
          <w:p w14:paraId="6E4EC7B3" w14:textId="5971F389" w:rsidR="006F1F92" w:rsidRDefault="006F1F92" w:rsidP="006F1F92">
            <w:pPr>
              <w:pStyle w:val="BodyA"/>
              <w:jc w:val="both"/>
              <w:rPr>
                <w:rFonts w:hAnsi="Times New Roman" w:cs="Times New Roman"/>
                <w:lang w:val="lt-LT"/>
              </w:rPr>
            </w:pPr>
            <w:r>
              <w:rPr>
                <w:rFonts w:hAnsi="Times New Roman" w:cs="Times New Roman"/>
                <w:lang w:val="lt-LT"/>
              </w:rPr>
              <w:t xml:space="preserve">Manome, kad ES taryboje toliau turi vykti diskusijos dėl </w:t>
            </w:r>
            <w:r>
              <w:rPr>
                <w:lang w:val="lt-LT"/>
              </w:rPr>
              <w:t>b</w:t>
            </w:r>
            <w:r w:rsidRPr="00D17400">
              <w:rPr>
                <w:rFonts w:hAnsi="Times New Roman" w:cs="Times New Roman"/>
                <w:lang w:val="lt-LT"/>
              </w:rPr>
              <w:t>endr</w:t>
            </w:r>
            <w:r>
              <w:rPr>
                <w:rFonts w:hAnsi="Times New Roman" w:cs="Times New Roman"/>
                <w:lang w:val="lt-LT"/>
              </w:rPr>
              <w:t>o</w:t>
            </w:r>
            <w:r w:rsidRPr="00D17400">
              <w:rPr>
                <w:rFonts w:hAnsi="Times New Roman" w:cs="Times New Roman"/>
                <w:lang w:val="lt-LT"/>
              </w:rPr>
              <w:t xml:space="preserve"> užsienio teroristų kovotojų baudžiam</w:t>
            </w:r>
            <w:r>
              <w:rPr>
                <w:rFonts w:hAnsi="Times New Roman" w:cs="Times New Roman"/>
                <w:lang w:val="lt-LT"/>
              </w:rPr>
              <w:t xml:space="preserve">ojo </w:t>
            </w:r>
            <w:r w:rsidRPr="00D17400">
              <w:rPr>
                <w:rFonts w:hAnsi="Times New Roman" w:cs="Times New Roman"/>
                <w:lang w:val="lt-LT"/>
              </w:rPr>
              <w:t>persekiojim</w:t>
            </w:r>
            <w:r>
              <w:rPr>
                <w:rFonts w:hAnsi="Times New Roman" w:cs="Times New Roman"/>
                <w:lang w:val="lt-LT"/>
              </w:rPr>
              <w:t>o</w:t>
            </w:r>
            <w:r w:rsidRPr="00D17400">
              <w:rPr>
                <w:rFonts w:hAnsi="Times New Roman" w:cs="Times New Roman"/>
                <w:lang w:val="lt-LT"/>
              </w:rPr>
              <w:t xml:space="preserve"> už pagrindinius tarptautinius nusikaltimus ir su terorizmu susijusius nusikaltimus</w:t>
            </w:r>
            <w:r>
              <w:rPr>
                <w:rFonts w:hAnsi="Times New Roman" w:cs="Times New Roman"/>
                <w:lang w:val="lt-LT"/>
              </w:rPr>
              <w:t>.</w:t>
            </w:r>
          </w:p>
          <w:p w14:paraId="3698A966" w14:textId="2182C182" w:rsidR="00167C5A" w:rsidRPr="00161A90" w:rsidRDefault="00167C5A" w:rsidP="00167C5A">
            <w:pPr>
              <w:pStyle w:val="BodyA"/>
              <w:jc w:val="both"/>
              <w:rPr>
                <w:rFonts w:hAnsi="Times New Roman" w:cs="Times New Roman"/>
                <w:lang w:val="lt-LT"/>
              </w:rPr>
            </w:pPr>
            <w:r>
              <w:rPr>
                <w:rFonts w:hAnsi="Times New Roman" w:cs="Times New Roman"/>
                <w:lang w:val="lt-LT"/>
              </w:rPr>
              <w:t>Taip pat p</w:t>
            </w:r>
            <w:r w:rsidRPr="00161A90">
              <w:rPr>
                <w:rFonts w:hAnsi="Times New Roman" w:cs="Times New Roman"/>
                <w:lang w:val="lt-LT"/>
              </w:rPr>
              <w:t>ritariame Komisijos 2018 m. rekomendacijoje pateiktoms išvadoms, kurios yra ypač svarbios teisingumo sričiai. Pirma – platesnis teisminių susitarimų, susijusių su neteisėto turinio pašalinimu ar</w:t>
            </w:r>
            <w:r>
              <w:rPr>
                <w:rFonts w:hAnsi="Times New Roman" w:cs="Times New Roman"/>
                <w:lang w:val="lt-LT"/>
              </w:rPr>
              <w:t xml:space="preserve"> panaikinimu</w:t>
            </w:r>
            <w:r w:rsidRPr="00161A90">
              <w:rPr>
                <w:rFonts w:hAnsi="Times New Roman" w:cs="Times New Roman"/>
                <w:lang w:val="lt-LT"/>
              </w:rPr>
              <w:t xml:space="preserve">, naudojimas, antra – pakankamų apsaugos priemonių, užtikrinančių, kad dėl šio turinio priimti sprendimai būtų tikslūs ir pagrįsti, buvimas.  </w:t>
            </w:r>
          </w:p>
          <w:p w14:paraId="19A786B3" w14:textId="6277DB28" w:rsidR="00167C5A" w:rsidRDefault="00167C5A" w:rsidP="00167C5A">
            <w:pPr>
              <w:pStyle w:val="BodyA"/>
              <w:jc w:val="both"/>
              <w:rPr>
                <w:rFonts w:hAnsi="Times New Roman" w:cs="Times New Roman"/>
                <w:lang w:val="lt-LT"/>
              </w:rPr>
            </w:pPr>
            <w:r w:rsidRPr="00161A90">
              <w:rPr>
                <w:rFonts w:hAnsi="Times New Roman" w:cs="Times New Roman"/>
                <w:lang w:val="lt-LT"/>
              </w:rPr>
              <w:lastRenderedPageBreak/>
              <w:t xml:space="preserve">Manome, kad mūsų bendros pastangos ES valstybių narių teisingumo sektoriuje </w:t>
            </w:r>
            <w:r>
              <w:rPr>
                <w:rFonts w:hAnsi="Times New Roman" w:cs="Times New Roman"/>
                <w:lang w:val="lt-LT"/>
              </w:rPr>
              <w:t xml:space="preserve">galėtų </w:t>
            </w:r>
            <w:r w:rsidRPr="00161A90">
              <w:rPr>
                <w:rFonts w:hAnsi="Times New Roman" w:cs="Times New Roman"/>
                <w:lang w:val="lt-LT"/>
              </w:rPr>
              <w:t>būti sutelktos į minėtas rekomendacijas.</w:t>
            </w:r>
          </w:p>
          <w:p w14:paraId="5F4FFE02" w14:textId="77777777" w:rsidR="006F1F92" w:rsidRPr="000851A1" w:rsidRDefault="006F1F92" w:rsidP="006F1F92">
            <w:pPr>
              <w:pStyle w:val="BodyA"/>
              <w:jc w:val="both"/>
              <w:rPr>
                <w:rFonts w:hAnsi="Times New Roman" w:cs="Times New Roman"/>
                <w:lang w:val="lt-LT"/>
              </w:rPr>
            </w:pPr>
          </w:p>
        </w:tc>
      </w:tr>
    </w:tbl>
    <w:p w14:paraId="434C3C28" w14:textId="77777777" w:rsidR="00161A90" w:rsidRPr="003F18DB" w:rsidRDefault="00161A90" w:rsidP="00167C5A">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630401" w:rsidRPr="003F18DB" w14:paraId="2FB8E16A" w14:textId="77777777" w:rsidTr="00630401">
        <w:trPr>
          <w:trHeight w:val="4024"/>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4CCD19" w14:textId="77777777" w:rsidR="00630401" w:rsidRPr="003F18DB" w:rsidRDefault="00630401" w:rsidP="00630401">
            <w:pPr>
              <w:pStyle w:val="BodyA"/>
              <w:jc w:val="both"/>
              <w:rPr>
                <w:rFonts w:hAnsi="Times New Roman" w:cs="Times New Roman"/>
                <w:lang w:val="lt-LT"/>
              </w:rPr>
            </w:pPr>
            <w:r w:rsidRPr="003F18DB">
              <w:rPr>
                <w:rFonts w:hAnsi="Times New Roman" w:cs="Times New Roman"/>
                <w:lang w:val="lt-LT"/>
              </w:rPr>
              <w:t xml:space="preserve">2. </w:t>
            </w:r>
            <w:r w:rsidRPr="003F18DB">
              <w:rPr>
                <w:rFonts w:hAnsi="Times New Roman" w:cs="Times New Roman"/>
                <w:b/>
                <w:bCs/>
                <w:lang w:val="lt-LT"/>
              </w:rPr>
              <w:t>Reglamentas dėl reikalavimų perleidimui taikytinos teisės</w:t>
            </w:r>
            <w:r w:rsidRPr="003F18DB">
              <w:rPr>
                <w:rFonts w:hAnsi="Times New Roman" w:cs="Times New Roman"/>
                <w:lang w:val="lt-LT"/>
              </w:rPr>
              <w:t xml:space="preserve">  / </w:t>
            </w:r>
            <w:proofErr w:type="spellStart"/>
            <w:r w:rsidRPr="003F18DB">
              <w:rPr>
                <w:rFonts w:hAnsi="Times New Roman" w:cs="Times New Roman"/>
                <w:sz w:val="23"/>
                <w:szCs w:val="23"/>
                <w:lang w:val="lt-LT"/>
              </w:rPr>
              <w:t>Regulation</w:t>
            </w:r>
            <w:proofErr w:type="spellEnd"/>
            <w:r w:rsidRPr="003F18DB">
              <w:rPr>
                <w:rFonts w:hAnsi="Times New Roman" w:cs="Times New Roman"/>
                <w:sz w:val="23"/>
                <w:szCs w:val="23"/>
                <w:lang w:val="lt-LT"/>
              </w:rPr>
              <w:t xml:space="preserve"> </w:t>
            </w:r>
            <w:proofErr w:type="spellStart"/>
            <w:r w:rsidRPr="003F18DB">
              <w:rPr>
                <w:rFonts w:hAnsi="Times New Roman" w:cs="Times New Roman"/>
                <w:sz w:val="23"/>
                <w:szCs w:val="23"/>
                <w:lang w:val="lt-LT"/>
              </w:rPr>
              <w:t>on</w:t>
            </w:r>
            <w:proofErr w:type="spellEnd"/>
            <w:r w:rsidRPr="003F18DB">
              <w:rPr>
                <w:rFonts w:hAnsi="Times New Roman" w:cs="Times New Roman"/>
                <w:sz w:val="23"/>
                <w:szCs w:val="23"/>
                <w:lang w:val="lt-LT"/>
              </w:rPr>
              <w:t xml:space="preserve"> </w:t>
            </w:r>
            <w:proofErr w:type="spellStart"/>
            <w:r w:rsidRPr="003F18DB">
              <w:rPr>
                <w:rFonts w:hAnsi="Times New Roman" w:cs="Times New Roman"/>
                <w:sz w:val="23"/>
                <w:szCs w:val="23"/>
                <w:lang w:val="lt-LT"/>
              </w:rPr>
              <w:t>Assignments</w:t>
            </w:r>
            <w:proofErr w:type="spellEnd"/>
            <w:r w:rsidRPr="003F18DB">
              <w:rPr>
                <w:rFonts w:hAnsi="Times New Roman" w:cs="Times New Roman"/>
                <w:sz w:val="23"/>
                <w:szCs w:val="23"/>
                <w:lang w:val="lt-LT"/>
              </w:rPr>
              <w:t xml:space="preserve"> </w:t>
            </w:r>
            <w:proofErr w:type="spellStart"/>
            <w:r w:rsidRPr="003F18DB">
              <w:rPr>
                <w:rFonts w:hAnsi="Times New Roman" w:cs="Times New Roman"/>
                <w:sz w:val="23"/>
                <w:szCs w:val="23"/>
                <w:lang w:val="lt-LT"/>
              </w:rPr>
              <w:t>of</w:t>
            </w:r>
            <w:proofErr w:type="spellEnd"/>
            <w:r w:rsidRPr="003F18DB">
              <w:rPr>
                <w:rFonts w:hAnsi="Times New Roman" w:cs="Times New Roman"/>
                <w:sz w:val="23"/>
                <w:szCs w:val="23"/>
                <w:lang w:val="lt-LT"/>
              </w:rPr>
              <w:t xml:space="preserve"> </w:t>
            </w:r>
            <w:proofErr w:type="spellStart"/>
            <w:r w:rsidRPr="003F18DB">
              <w:rPr>
                <w:rFonts w:hAnsi="Times New Roman" w:cs="Times New Roman"/>
                <w:sz w:val="23"/>
                <w:szCs w:val="23"/>
                <w:lang w:val="lt-LT"/>
              </w:rPr>
              <w:t>Claims</w:t>
            </w:r>
            <w:proofErr w:type="spellEnd"/>
            <w:r w:rsidRPr="003F18DB">
              <w:rPr>
                <w:rFonts w:hAnsi="Times New Roman" w:cs="Times New Roman"/>
                <w:sz w:val="23"/>
                <w:szCs w:val="23"/>
                <w:lang w:val="lt-LT"/>
              </w:rPr>
              <w:t xml:space="preserve">  </w:t>
            </w:r>
            <w:r w:rsidRPr="003F18DB">
              <w:rPr>
                <w:rFonts w:hAnsi="Times New Roman" w:cs="Times New Roman"/>
                <w:lang w:val="lt-LT"/>
              </w:rPr>
              <w:t>(</w:t>
            </w:r>
            <w:r w:rsidRPr="003F18DB">
              <w:rPr>
                <w:rFonts w:hAnsi="Times New Roman" w:cs="Times New Roman"/>
                <w:i/>
                <w:iCs/>
                <w:lang w:val="lt-LT"/>
              </w:rPr>
              <w:t>Pirmininkaujančios valstybės informacija</w:t>
            </w:r>
            <w:r w:rsidRPr="003F18DB">
              <w:rPr>
                <w:rFonts w:hAnsi="Times New Roman" w:cs="Times New Roman"/>
                <w:lang w:val="lt-LT"/>
              </w:rPr>
              <w:t>)</w:t>
            </w:r>
          </w:p>
          <w:p w14:paraId="64652759" w14:textId="77777777" w:rsidR="00630401" w:rsidRPr="003F18DB" w:rsidRDefault="00630401" w:rsidP="00630401">
            <w:pPr>
              <w:pStyle w:val="BodyA"/>
              <w:jc w:val="both"/>
              <w:rPr>
                <w:rFonts w:hAnsi="Times New Roman" w:cs="Times New Roman"/>
                <w:lang w:val="lt-LT"/>
              </w:rPr>
            </w:pPr>
          </w:p>
          <w:p w14:paraId="17A3777F" w14:textId="77777777" w:rsidR="00630401" w:rsidRPr="003F18DB" w:rsidRDefault="00630401" w:rsidP="00630401">
            <w:pPr>
              <w:spacing w:before="240" w:after="240"/>
              <w:jc w:val="both"/>
              <w:rPr>
                <w:lang w:val="lt-LT"/>
              </w:rPr>
            </w:pPr>
            <w:r w:rsidRPr="003F18DB">
              <w:rPr>
                <w:b/>
                <w:bCs/>
                <w:u w:val="single"/>
                <w:lang w:val="lt-LT"/>
              </w:rPr>
              <w:t>Klausimo esmė.</w:t>
            </w:r>
            <w:r w:rsidRPr="003F18DB">
              <w:rPr>
                <w:b/>
                <w:bCs/>
                <w:lang w:val="lt-LT"/>
              </w:rPr>
              <w:t xml:space="preserve"> </w:t>
            </w:r>
            <w:r w:rsidRPr="003F18DB">
              <w:rPr>
                <w:lang w:val="lt-LT"/>
              </w:rPr>
              <w:t>Europos Komisija 2018 m. parengė pasiūlymą dėl Europos Palamento ir Tarybos reglamento dėl teisės, taikytinos nustatant reikalavimų perleidimo pasekmes tretiesiems asmenims (toliau – Pasiūlymas). Nuo to laiko Pasiūlymas aptariamas Civilinės teisės klausimų darbo grupėje.</w:t>
            </w:r>
          </w:p>
          <w:p w14:paraId="752C07C5" w14:textId="77777777" w:rsidR="00630401" w:rsidRPr="003F18DB" w:rsidRDefault="00630401" w:rsidP="00630401">
            <w:pPr>
              <w:spacing w:before="240" w:after="240"/>
              <w:jc w:val="both"/>
              <w:rPr>
                <w:lang w:val="lt-LT"/>
              </w:rPr>
            </w:pPr>
            <w:r w:rsidRPr="003F18DB">
              <w:rPr>
                <w:lang w:val="lt-LT"/>
              </w:rPr>
              <w:t>Šiais metais, įvertinusi dėl COVID-19 susidariusią situaciją, Pirmininkaujanti valstybė parengė Pasiūlymo pažangos ataskaitą (toliau – Ataskaita). Kaip ir nurodoma Atskaitoje, nors dėl tam tikrų klausimų darbo grupėje pavyko susitarti, vis dar lieka klausimų, dėl kurių valstybių narių nuomonės išsiskyrė. Valstybės narės nesutaria, kokią pagrindinę kolizinę taisyklę pasirinkti, sprendžiant, kokios valstybės teisė turi būti taikoma, kai į teismą kreipiasi trečiasis asmuo, norėdamas savo interesus apginti perleidus reikalavimą. Kol kas daugiau valstybių (tame tarpe ir Lietuva) norėtų, kad pagal pagrindinę kolizinę taisyklę būtų pasirenkama perleidėjo vietos valstybės teisė. Taip pat kyla klausimų, kokia turėtų būti Pasiūlymo taikymo apimtis, kokios išimtys iš kolizinės taisyklės yra reikalingos.</w:t>
            </w:r>
          </w:p>
          <w:p w14:paraId="3532F918" w14:textId="77777777" w:rsidR="00630401" w:rsidRDefault="00630401" w:rsidP="00630401">
            <w:pPr>
              <w:pStyle w:val="BodyA"/>
              <w:jc w:val="both"/>
              <w:rPr>
                <w:rFonts w:hAnsi="Times New Roman"/>
                <w:color w:val="auto"/>
                <w:lang w:val="lt-LT"/>
              </w:rPr>
            </w:pPr>
            <w:r w:rsidRPr="003F18DB">
              <w:rPr>
                <w:rFonts w:hAnsi="Times New Roman"/>
                <w:color w:val="auto"/>
                <w:lang w:val="lt-LT"/>
              </w:rPr>
              <w:t xml:space="preserve">Įvertinant tai, kad Pasiūlymo turinys susijęs su finansinių paslaugų teisės aspektais (pakeitimo vertybiniais popieriais, finansinėmis priemonėmis) ir dėl to reikalauja ypatingai giluminės finansinių instrumentų teisinės  </w:t>
            </w:r>
            <w:r w:rsidRPr="003F18DB">
              <w:rPr>
                <w:rFonts w:hAnsi="Times New Roman"/>
                <w:color w:val="auto"/>
                <w:lang w:val="lt-LT"/>
              </w:rPr>
              <w:sym w:font="Symbol" w:char="F02D"/>
            </w:r>
            <w:r w:rsidRPr="003F18DB">
              <w:rPr>
                <w:rFonts w:hAnsi="Times New Roman"/>
                <w:color w:val="auto"/>
                <w:lang w:val="lt-LT"/>
              </w:rPr>
              <w:t xml:space="preserve"> finansinės analizės ir, šiuo metu susiklosčiusios reikalavimų perleidimo praktikos taikymo pavyzdžių, Pirmininkaujanti valstybė Ataskaitoje diskusijas dėl nurodytų klausimų siūlo plėtoti tolimesniuose darbo grupės posėdžiuose.</w:t>
            </w:r>
          </w:p>
          <w:p w14:paraId="7F8AD02D" w14:textId="77777777" w:rsidR="00630401" w:rsidRPr="003F18DB" w:rsidRDefault="00630401" w:rsidP="00630401">
            <w:pPr>
              <w:pStyle w:val="BodyA"/>
              <w:jc w:val="both"/>
              <w:rPr>
                <w:rFonts w:eastAsia="Times New Roman Bold" w:hAnsi="Times New Roman" w:cs="Times New Roman"/>
                <w:u w:val="single"/>
                <w:lang w:val="lt-LT"/>
              </w:rPr>
            </w:pPr>
          </w:p>
          <w:p w14:paraId="0B6152F9" w14:textId="77777777" w:rsidR="00630401" w:rsidRPr="003F18DB" w:rsidRDefault="00630401" w:rsidP="00630401">
            <w:pPr>
              <w:pStyle w:val="BodyA"/>
              <w:jc w:val="both"/>
              <w:rPr>
                <w:rFonts w:hAnsi="Times New Roman" w:cs="Times New Roman"/>
                <w:lang w:val="lt-LT"/>
              </w:rPr>
            </w:pPr>
            <w:r w:rsidRPr="003F18DB">
              <w:rPr>
                <w:rFonts w:hAnsi="Times New Roman" w:cs="Times New Roman"/>
                <w:b/>
                <w:bCs/>
                <w:u w:val="single"/>
                <w:lang w:val="lt-LT"/>
              </w:rPr>
              <w:t>Lietuvos pozicija.</w:t>
            </w:r>
            <w:r w:rsidRPr="003F18DB">
              <w:rPr>
                <w:rFonts w:hAnsi="Times New Roman" w:cs="Times New Roman"/>
                <w:b/>
                <w:bCs/>
                <w:lang w:val="lt-LT"/>
              </w:rPr>
              <w:t xml:space="preserve"> </w:t>
            </w:r>
            <w:proofErr w:type="spellStart"/>
            <w:r>
              <w:rPr>
                <w:rFonts w:hAnsi="Times New Roman"/>
              </w:rPr>
              <w:t>Pritarti</w:t>
            </w:r>
            <w:proofErr w:type="spellEnd"/>
            <w:r>
              <w:rPr>
                <w:rFonts w:hAnsi="Times New Roman"/>
              </w:rPr>
              <w:t xml:space="preserve"> </w:t>
            </w:r>
            <w:proofErr w:type="spellStart"/>
            <w:r>
              <w:rPr>
                <w:rFonts w:hAnsi="Times New Roman"/>
              </w:rPr>
              <w:t>Pirmininkaujančios</w:t>
            </w:r>
            <w:proofErr w:type="spellEnd"/>
            <w:r>
              <w:rPr>
                <w:rFonts w:hAnsi="Times New Roman"/>
              </w:rPr>
              <w:t xml:space="preserve"> </w:t>
            </w:r>
            <w:proofErr w:type="spellStart"/>
            <w:r>
              <w:rPr>
                <w:rFonts w:hAnsi="Times New Roman"/>
              </w:rPr>
              <w:t>valstybės</w:t>
            </w:r>
            <w:proofErr w:type="spellEnd"/>
            <w:r>
              <w:rPr>
                <w:rFonts w:hAnsi="Times New Roman"/>
              </w:rPr>
              <w:t xml:space="preserve"> </w:t>
            </w:r>
            <w:proofErr w:type="spellStart"/>
            <w:r>
              <w:rPr>
                <w:rFonts w:hAnsi="Times New Roman"/>
              </w:rPr>
              <w:t>parengtai</w:t>
            </w:r>
            <w:proofErr w:type="spellEnd"/>
            <w:r>
              <w:rPr>
                <w:rFonts w:hAnsi="Times New Roman"/>
              </w:rPr>
              <w:t xml:space="preserve"> </w:t>
            </w:r>
            <w:proofErr w:type="spellStart"/>
            <w:r>
              <w:rPr>
                <w:rFonts w:hAnsi="Times New Roman"/>
              </w:rPr>
              <w:t>Ataskaitai</w:t>
            </w:r>
            <w:proofErr w:type="spellEnd"/>
            <w:r>
              <w:rPr>
                <w:rFonts w:hAnsi="Times New Roman"/>
              </w:rPr>
              <w:t>.</w:t>
            </w:r>
            <w:r w:rsidRPr="003F18DB">
              <w:rPr>
                <w:rFonts w:hAnsi="Times New Roman" w:cs="Times New Roman"/>
                <w:lang w:val="lt-LT"/>
              </w:rPr>
              <w:t xml:space="preserve"> </w:t>
            </w:r>
          </w:p>
        </w:tc>
      </w:tr>
    </w:tbl>
    <w:p w14:paraId="22B57CE2" w14:textId="1E6E17A4" w:rsidR="004B217F" w:rsidRPr="003F18DB" w:rsidRDefault="004B217F" w:rsidP="00161A90">
      <w:pPr>
        <w:pStyle w:val="BodyA"/>
        <w:keepNext/>
        <w:jc w:val="center"/>
        <w:outlineLvl w:val="3"/>
        <w:rPr>
          <w:rFonts w:hAnsi="Times New Roman" w:cs="Times New Roman"/>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630401" w:rsidRPr="003F18DB" w14:paraId="45C7C743" w14:textId="77777777" w:rsidTr="00630401">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364B0C" w14:textId="77777777" w:rsidR="00630401" w:rsidRPr="003F18DB" w:rsidRDefault="00630401" w:rsidP="00630401">
            <w:pPr>
              <w:pStyle w:val="BodyA"/>
              <w:jc w:val="both"/>
              <w:rPr>
                <w:rFonts w:hAnsi="Times New Roman" w:cs="Times New Roman"/>
                <w:lang w:val="lt-LT"/>
              </w:rPr>
            </w:pPr>
            <w:bookmarkStart w:id="1" w:name="_Hlk57100343"/>
            <w:r w:rsidRPr="003F18DB">
              <w:rPr>
                <w:rFonts w:hAnsi="Times New Roman" w:cs="Times New Roman"/>
                <w:lang w:val="lt-LT"/>
              </w:rPr>
              <w:t xml:space="preserve">3. </w:t>
            </w:r>
            <w:r w:rsidRPr="003F18DB">
              <w:rPr>
                <w:rFonts w:hAnsi="Times New Roman" w:cs="Times New Roman"/>
                <w:b/>
                <w:bCs/>
                <w:lang w:val="lt-LT"/>
              </w:rPr>
              <w:t>Teisinės valstybės pokyčiai teisingumo srityje</w:t>
            </w:r>
            <w:r w:rsidRPr="003F18DB">
              <w:rPr>
                <w:rFonts w:hAnsi="Times New Roman" w:cs="Times New Roman"/>
                <w:lang w:val="lt-LT"/>
              </w:rPr>
              <w:t xml:space="preserve"> / </w:t>
            </w:r>
            <w:proofErr w:type="spellStart"/>
            <w:r w:rsidRPr="003F18DB">
              <w:rPr>
                <w:rFonts w:hAnsi="Times New Roman" w:cs="Times New Roman"/>
                <w:lang w:val="lt-LT"/>
              </w:rPr>
              <w:t>Rule</w:t>
            </w:r>
            <w:proofErr w:type="spellEnd"/>
            <w:r w:rsidRPr="003F18DB">
              <w:rPr>
                <w:rFonts w:hAnsi="Times New Roman" w:cs="Times New Roman"/>
                <w:lang w:val="lt-LT"/>
              </w:rPr>
              <w:t xml:space="preserve"> </w:t>
            </w:r>
            <w:proofErr w:type="spellStart"/>
            <w:r w:rsidRPr="003F18DB">
              <w:rPr>
                <w:rFonts w:hAnsi="Times New Roman" w:cs="Times New Roman"/>
                <w:lang w:val="lt-LT"/>
              </w:rPr>
              <w:t>of</w:t>
            </w:r>
            <w:proofErr w:type="spellEnd"/>
            <w:r w:rsidRPr="003F18DB">
              <w:rPr>
                <w:rFonts w:hAnsi="Times New Roman" w:cs="Times New Roman"/>
                <w:lang w:val="lt-LT"/>
              </w:rPr>
              <w:t xml:space="preserve"> </w:t>
            </w:r>
            <w:proofErr w:type="spellStart"/>
            <w:r w:rsidRPr="003F18DB">
              <w:rPr>
                <w:rFonts w:hAnsi="Times New Roman" w:cs="Times New Roman"/>
                <w:lang w:val="lt-LT"/>
              </w:rPr>
              <w:t>law</w:t>
            </w:r>
            <w:proofErr w:type="spellEnd"/>
            <w:r w:rsidRPr="003F18DB">
              <w:rPr>
                <w:rFonts w:hAnsi="Times New Roman" w:cs="Times New Roman"/>
                <w:lang w:val="lt-LT"/>
              </w:rPr>
              <w:t xml:space="preserve"> </w:t>
            </w:r>
            <w:proofErr w:type="spellStart"/>
            <w:r w:rsidRPr="003F18DB">
              <w:rPr>
                <w:rFonts w:hAnsi="Times New Roman" w:cs="Times New Roman"/>
                <w:lang w:val="lt-LT"/>
              </w:rPr>
              <w:t>developments</w:t>
            </w:r>
            <w:proofErr w:type="spellEnd"/>
            <w:r w:rsidRPr="003F18DB">
              <w:rPr>
                <w:rFonts w:hAnsi="Times New Roman" w:cs="Times New Roman"/>
                <w:lang w:val="lt-LT"/>
              </w:rPr>
              <w:t xml:space="preserve"> </w:t>
            </w:r>
            <w:proofErr w:type="spellStart"/>
            <w:r w:rsidRPr="003F18DB">
              <w:rPr>
                <w:rFonts w:hAnsi="Times New Roman" w:cs="Times New Roman"/>
                <w:lang w:val="lt-LT"/>
              </w:rPr>
              <w:t>in</w:t>
            </w:r>
            <w:proofErr w:type="spellEnd"/>
            <w:r w:rsidRPr="003F18DB">
              <w:rPr>
                <w:rFonts w:hAnsi="Times New Roman" w:cs="Times New Roman"/>
                <w:lang w:val="lt-LT"/>
              </w:rPr>
              <w:t xml:space="preserve"> </w:t>
            </w:r>
            <w:proofErr w:type="spellStart"/>
            <w:r w:rsidRPr="003F18DB">
              <w:rPr>
                <w:rFonts w:hAnsi="Times New Roman" w:cs="Times New Roman"/>
                <w:lang w:val="lt-LT"/>
              </w:rPr>
              <w:t>the</w:t>
            </w:r>
            <w:proofErr w:type="spellEnd"/>
            <w:r w:rsidRPr="003F18DB">
              <w:rPr>
                <w:rFonts w:hAnsi="Times New Roman" w:cs="Times New Roman"/>
                <w:lang w:val="lt-LT"/>
              </w:rPr>
              <w:t xml:space="preserve"> </w:t>
            </w:r>
            <w:proofErr w:type="spellStart"/>
            <w:r w:rsidRPr="003F18DB">
              <w:rPr>
                <w:rFonts w:hAnsi="Times New Roman" w:cs="Times New Roman"/>
                <w:lang w:val="lt-LT"/>
              </w:rPr>
              <w:t>field</w:t>
            </w:r>
            <w:proofErr w:type="spellEnd"/>
            <w:r w:rsidRPr="003F18DB">
              <w:rPr>
                <w:rFonts w:hAnsi="Times New Roman" w:cs="Times New Roman"/>
                <w:lang w:val="lt-LT"/>
              </w:rPr>
              <w:t xml:space="preserve"> </w:t>
            </w:r>
            <w:proofErr w:type="spellStart"/>
            <w:r w:rsidRPr="003F18DB">
              <w:rPr>
                <w:rFonts w:hAnsi="Times New Roman" w:cs="Times New Roman"/>
                <w:lang w:val="lt-LT"/>
              </w:rPr>
              <w:t>of</w:t>
            </w:r>
            <w:proofErr w:type="spellEnd"/>
            <w:r w:rsidRPr="003F18DB">
              <w:rPr>
                <w:rFonts w:hAnsi="Times New Roman" w:cs="Times New Roman"/>
                <w:lang w:val="lt-LT"/>
              </w:rPr>
              <w:t xml:space="preserve"> </w:t>
            </w:r>
            <w:proofErr w:type="spellStart"/>
            <w:r w:rsidRPr="003F18DB">
              <w:rPr>
                <w:rFonts w:hAnsi="Times New Roman" w:cs="Times New Roman"/>
                <w:lang w:val="lt-LT"/>
              </w:rPr>
              <w:t>justice</w:t>
            </w:r>
            <w:proofErr w:type="spellEnd"/>
            <w:r w:rsidRPr="003F18DB">
              <w:rPr>
                <w:rFonts w:hAnsi="Times New Roman" w:cs="Times New Roman"/>
                <w:lang w:val="lt-LT"/>
              </w:rPr>
              <w:t xml:space="preserve"> (</w:t>
            </w:r>
            <w:r w:rsidRPr="003F18DB">
              <w:rPr>
                <w:rFonts w:hAnsi="Times New Roman" w:cs="Times New Roman"/>
                <w:i/>
                <w:iCs/>
                <w:lang w:val="lt-LT"/>
              </w:rPr>
              <w:t>Pasikeitimas nuomonėmis</w:t>
            </w:r>
            <w:r w:rsidRPr="003F18DB">
              <w:rPr>
                <w:rFonts w:hAnsi="Times New Roman" w:cs="Times New Roman"/>
                <w:lang w:val="lt-LT"/>
              </w:rPr>
              <w:t>)</w:t>
            </w:r>
          </w:p>
          <w:p w14:paraId="14E9D790" w14:textId="77777777" w:rsidR="00630401" w:rsidRPr="003F18DB" w:rsidRDefault="00630401" w:rsidP="00630401">
            <w:pPr>
              <w:pStyle w:val="BodyA"/>
              <w:jc w:val="both"/>
              <w:rPr>
                <w:rFonts w:hAnsi="Times New Roman" w:cs="Times New Roman"/>
                <w:lang w:val="lt-LT"/>
              </w:rPr>
            </w:pPr>
          </w:p>
          <w:p w14:paraId="69FF7EBC" w14:textId="77777777" w:rsidR="00630401" w:rsidRPr="003F18DB" w:rsidRDefault="00630401" w:rsidP="00630401">
            <w:pPr>
              <w:pStyle w:val="BodyA"/>
              <w:jc w:val="both"/>
              <w:rPr>
                <w:rFonts w:hAnsi="Times New Roman" w:cs="Times New Roman"/>
                <w:sz w:val="22"/>
                <w:szCs w:val="22"/>
                <w:lang w:val="lt-LT"/>
              </w:rPr>
            </w:pPr>
            <w:r w:rsidRPr="003F18DB">
              <w:rPr>
                <w:rFonts w:hAnsi="Times New Roman" w:cs="Times New Roman"/>
                <w:b/>
                <w:bCs/>
                <w:u w:val="single"/>
                <w:lang w:val="lt-LT"/>
              </w:rPr>
              <w:t>Klausimo esmė.</w:t>
            </w:r>
            <w:r w:rsidRPr="003F18DB">
              <w:rPr>
                <w:rFonts w:hAnsi="Times New Roman" w:cs="Times New Roman"/>
                <w:b/>
                <w:bCs/>
                <w:shd w:val="clear" w:color="auto" w:fill="FFFFFF"/>
                <w:lang w:val="lt-LT"/>
              </w:rPr>
              <w:t xml:space="preserve"> </w:t>
            </w:r>
            <w:r w:rsidRPr="003F18DB">
              <w:rPr>
                <w:rFonts w:hAnsi="Times New Roman" w:cs="Times New Roman"/>
                <w:shd w:val="clear" w:color="auto" w:fill="FFFFFF"/>
                <w:lang w:val="lt-LT"/>
              </w:rPr>
              <w:t>Teisinė valstybė yra viena iš bendrų vertybių, kuriomis grindžiama Europos Sąjunga. Ji apima įvairius principus, tokius kaip teisėtumas, teisinis tikrumas, draudžiantis savavališkai naudotis vykdomaisiais įgaliojimais, veiksminga teisminė apsauga, vykdoma nepriklausomų ir nešališkų teismų, ir veiksminga teisminė kontrolė, įskaitant pagarbą pagrindinėms teisėms, galių atskyrimą ir lygybę prieš įstatymą. Šie principai turi tiesioginį poveikį kiekvieno Europos Sąjungos piliečio gyvenimui. Nors valstybės narės turi skirtingas teisines ir teismų sistemas su savo tradicijomis, teisinė valstybė yra bendra pagrindinė sudedamoji dalis, kuriai pritaria visos valstybės narės.</w:t>
            </w:r>
          </w:p>
          <w:p w14:paraId="09ADE0D2" w14:textId="77777777" w:rsidR="00630401" w:rsidRPr="003F18DB" w:rsidRDefault="00630401" w:rsidP="00630401">
            <w:pPr>
              <w:pStyle w:val="BodyA"/>
              <w:jc w:val="both"/>
              <w:rPr>
                <w:rFonts w:hAnsi="Times New Roman" w:cs="Times New Roman"/>
                <w:lang w:val="lt-LT"/>
              </w:rPr>
            </w:pPr>
            <w:r>
              <w:rPr>
                <w:rFonts w:hAnsi="Times New Roman" w:cs="Times New Roman"/>
                <w:lang w:val="lt-LT"/>
              </w:rPr>
              <w:t>Ministrų d</w:t>
            </w:r>
            <w:r w:rsidRPr="003F18DB">
              <w:rPr>
                <w:rFonts w:hAnsi="Times New Roman" w:cs="Times New Roman"/>
                <w:lang w:val="lt-LT"/>
              </w:rPr>
              <w:t>iskusijai teikiami klausimai, susiję su Komisijos teisės viršenybės metine ataskaita</w:t>
            </w:r>
            <w:r>
              <w:rPr>
                <w:rFonts w:hAnsi="Times New Roman" w:cs="Times New Roman"/>
                <w:lang w:val="lt-LT"/>
              </w:rPr>
              <w:t>, bei poreikiu į diskusijas dėl teisės viršenybės labiau įtraukti teisėjų bendruomenę</w:t>
            </w:r>
            <w:r w:rsidRPr="003F18DB">
              <w:rPr>
                <w:rFonts w:hAnsi="Times New Roman" w:cs="Times New Roman"/>
                <w:lang w:val="lt-LT"/>
              </w:rPr>
              <w:t>:</w:t>
            </w:r>
          </w:p>
          <w:p w14:paraId="6E9688B1" w14:textId="1DB1A5BF" w:rsidR="00630401" w:rsidRPr="003F18DB" w:rsidRDefault="00630401" w:rsidP="00630401">
            <w:pPr>
              <w:pStyle w:val="BodyA"/>
              <w:jc w:val="both"/>
              <w:rPr>
                <w:rFonts w:hAnsi="Times New Roman" w:cs="Times New Roman"/>
                <w:lang w:val="lt-LT"/>
              </w:rPr>
            </w:pPr>
            <w:r w:rsidRPr="003F18DB">
              <w:rPr>
                <w:rFonts w:hAnsi="Times New Roman" w:cs="Times New Roman"/>
                <w:lang w:val="lt-LT"/>
              </w:rPr>
              <w:t>1. Koks elementas yra svarbiausias teismų nepriklausomumui ir teisingumo sistemų kokybei ir veiksmingum</w:t>
            </w:r>
            <w:r w:rsidR="0051120D">
              <w:rPr>
                <w:rFonts w:hAnsi="Times New Roman" w:cs="Times New Roman"/>
                <w:lang w:val="lt-LT"/>
              </w:rPr>
              <w:t>u</w:t>
            </w:r>
            <w:r w:rsidRPr="003F18DB">
              <w:rPr>
                <w:rFonts w:hAnsi="Times New Roman" w:cs="Times New Roman"/>
                <w:lang w:val="lt-LT"/>
              </w:rPr>
              <w:t>i užtikrinti?</w:t>
            </w:r>
          </w:p>
          <w:p w14:paraId="2006D52E" w14:textId="77777777" w:rsidR="00630401" w:rsidRPr="003F18DB" w:rsidRDefault="00630401" w:rsidP="00630401">
            <w:pPr>
              <w:pStyle w:val="BodyA"/>
              <w:jc w:val="both"/>
              <w:rPr>
                <w:rFonts w:hAnsi="Times New Roman" w:cs="Times New Roman"/>
                <w:lang w:val="lt-LT"/>
              </w:rPr>
            </w:pPr>
            <w:r w:rsidRPr="003F18DB">
              <w:rPr>
                <w:rFonts w:hAnsi="Times New Roman" w:cs="Times New Roman"/>
                <w:lang w:val="lt-LT"/>
              </w:rPr>
              <w:t>2. Ar tikslinga kurti forumą, kuriame teisėjai turėtų galimybę aptarti Europos vertybes ir teisės viršenybę, atsižvelgiant į skirtingas teisines ir konstitucines tradicijas?</w:t>
            </w:r>
          </w:p>
          <w:p w14:paraId="412D0853" w14:textId="77777777" w:rsidR="00630401" w:rsidRPr="003F18DB" w:rsidRDefault="00630401" w:rsidP="00630401">
            <w:pPr>
              <w:pStyle w:val="BodyA"/>
              <w:jc w:val="both"/>
              <w:rPr>
                <w:rFonts w:hAnsi="Times New Roman" w:cs="Times New Roman"/>
                <w:shd w:val="clear" w:color="auto" w:fill="FFFFFF"/>
                <w:lang w:val="lt-LT"/>
              </w:rPr>
            </w:pPr>
          </w:p>
          <w:p w14:paraId="77A51DFC" w14:textId="77777777" w:rsidR="00630401" w:rsidRPr="003F18DB" w:rsidRDefault="00630401" w:rsidP="00630401">
            <w:pPr>
              <w:pStyle w:val="BodyA"/>
              <w:jc w:val="both"/>
              <w:rPr>
                <w:rFonts w:hAnsi="Times New Roman" w:cs="Times New Roman"/>
                <w:b/>
                <w:bCs/>
                <w:lang w:val="lt-LT"/>
              </w:rPr>
            </w:pPr>
            <w:r w:rsidRPr="003F18DB">
              <w:rPr>
                <w:rFonts w:hAnsi="Times New Roman" w:cs="Times New Roman"/>
                <w:b/>
                <w:bCs/>
                <w:u w:val="single"/>
                <w:lang w:val="lt-LT"/>
              </w:rPr>
              <w:t>Lietuvos pozicija</w:t>
            </w:r>
            <w:r w:rsidRPr="003F18DB">
              <w:rPr>
                <w:rFonts w:hAnsi="Times New Roman" w:cs="Times New Roman"/>
                <w:b/>
                <w:bCs/>
                <w:lang w:val="lt-LT"/>
              </w:rPr>
              <w:t xml:space="preserve">. </w:t>
            </w:r>
          </w:p>
          <w:p w14:paraId="147C317A" w14:textId="77777777" w:rsidR="00630401" w:rsidRDefault="00630401" w:rsidP="00630401">
            <w:pPr>
              <w:pStyle w:val="BodyA"/>
              <w:jc w:val="both"/>
              <w:rPr>
                <w:rFonts w:hAnsi="Times New Roman" w:cs="Times New Roman"/>
                <w:lang w:val="lt-LT"/>
              </w:rPr>
            </w:pPr>
            <w:r w:rsidRPr="003F18DB">
              <w:rPr>
                <w:rFonts w:hAnsi="Times New Roman" w:cs="Times New Roman"/>
                <w:lang w:val="lt-LT"/>
              </w:rPr>
              <w:lastRenderedPageBreak/>
              <w:t>1. Negalima išskirti vieno teismų nepriklausomumui ar visos teisingumo sistemos kokybei svarbiausio elemento - svarbi jų visuma.</w:t>
            </w:r>
            <w:r>
              <w:rPr>
                <w:rFonts w:hAnsi="Times New Roman" w:cs="Times New Roman"/>
                <w:lang w:val="lt-LT"/>
              </w:rPr>
              <w:t xml:space="preserve"> </w:t>
            </w:r>
            <w:bookmarkStart w:id="2" w:name="_Hlk57206129"/>
            <w:bookmarkStart w:id="3" w:name="_Hlk57206095"/>
            <w:r w:rsidRPr="00B72952">
              <w:rPr>
                <w:rFonts w:hAnsi="Times New Roman" w:cs="Times New Roman"/>
                <w:lang w:val="lt-LT"/>
              </w:rPr>
              <w:t>Kalbant apie teismų nepriklausomumą, be kitų aspektų, tokių kaip tinkamas teismų finansavimas ar teisėjų socialinės garantijos, svarbu užtikrinti ir nešališką bei objektyvų teisėjų korpuso formavimą. Manytume, kad šiame kontekste ypač aktualus ir pačios teismų savivaldos dalyvavimas.</w:t>
            </w:r>
            <w:bookmarkEnd w:id="2"/>
            <w:r w:rsidRPr="00B72952">
              <w:rPr>
                <w:rFonts w:hAnsi="Times New Roman" w:cs="Times New Roman"/>
                <w:lang w:val="lt-LT"/>
              </w:rPr>
              <w:t xml:space="preserve"> </w:t>
            </w:r>
          </w:p>
          <w:p w14:paraId="7B82E291" w14:textId="77777777" w:rsidR="00630401" w:rsidRPr="00B72952" w:rsidRDefault="00630401" w:rsidP="00630401">
            <w:pPr>
              <w:pStyle w:val="BodyA"/>
              <w:jc w:val="both"/>
              <w:rPr>
                <w:rFonts w:hAnsi="Times New Roman" w:cs="Times New Roman"/>
                <w:lang w:val="lt-LT"/>
              </w:rPr>
            </w:pPr>
            <w:r w:rsidRPr="00B72952">
              <w:rPr>
                <w:rFonts w:hAnsi="Times New Roman" w:cs="Times New Roman"/>
                <w:lang w:val="lt-LT"/>
              </w:rPr>
              <w:t xml:space="preserve">Lietuvoje </w:t>
            </w:r>
            <w:bookmarkStart w:id="4" w:name="_Hlk57206215"/>
            <w:r w:rsidRPr="00B72952">
              <w:rPr>
                <w:rFonts w:hAnsi="Times New Roman" w:cs="Times New Roman"/>
                <w:lang w:val="lt-LT"/>
              </w:rPr>
              <w:t>2019 m. buvo pakeistas Teismų įstatymas, sustiprinant Teisėjų tarybos, kaip vykdomosios teismų savivaldos institucijos, vaidmenį formuojant Pretendentų į teisėjus atrankos komisiją (toliau – Atrankos komisija), taip pat suteikiant įgaliojimus Teisėjų tarybai tvirtinti pretendentų į teisėjų atrankos kriterijus. Be to, numatyta teisė Atrankos komisijos išvadas apskųsti Lietuvos Aukščiausiajam Teismui. 2020 m. priimti papildomi Teismų įstatymo pakeitimai, kuriais siekiama dar labiau sustiprinti Lietuvos Aukščiausiojo Teismo teisėjų atrankos skaidrumą, įtraukiant į šį procesą Atrankos komisiją.</w:t>
            </w:r>
            <w:bookmarkEnd w:id="4"/>
            <w:r w:rsidRPr="00B72952">
              <w:rPr>
                <w:rFonts w:hAnsi="Times New Roman" w:cs="Times New Roman"/>
                <w:lang w:val="lt-LT"/>
              </w:rPr>
              <w:t xml:space="preserve"> </w:t>
            </w:r>
          </w:p>
          <w:p w14:paraId="673ADF4B" w14:textId="77777777" w:rsidR="00630401" w:rsidRPr="00B72952" w:rsidRDefault="00630401" w:rsidP="00630401">
            <w:pPr>
              <w:pStyle w:val="BodyA"/>
              <w:jc w:val="both"/>
              <w:rPr>
                <w:rFonts w:hAnsi="Times New Roman" w:cs="Times New Roman"/>
                <w:lang w:val="lt-LT"/>
              </w:rPr>
            </w:pPr>
            <w:bookmarkStart w:id="5" w:name="_Hlk57206426"/>
            <w:r w:rsidRPr="00B72952">
              <w:rPr>
                <w:rFonts w:hAnsi="Times New Roman" w:cs="Times New Roman"/>
                <w:lang w:val="lt-LT"/>
              </w:rPr>
              <w:t xml:space="preserve">Kalbant apie teisingumo sistemų kokybę ir veiksmingumą, svarbu įgyvendinti priemones, kurios mažintų teismų darbo krūvį ir sudarytų sąlygas efektyviai teismų veiklai. </w:t>
            </w:r>
          </w:p>
          <w:p w14:paraId="58951B95" w14:textId="77777777" w:rsidR="00630401" w:rsidRPr="00B72952" w:rsidRDefault="00630401" w:rsidP="00630401">
            <w:pPr>
              <w:pStyle w:val="BodyA"/>
              <w:jc w:val="both"/>
              <w:rPr>
                <w:rFonts w:hAnsi="Times New Roman" w:cs="Times New Roman"/>
                <w:lang w:val="lt-LT"/>
              </w:rPr>
            </w:pPr>
            <w:bookmarkStart w:id="6" w:name="_Hlk57206557"/>
            <w:bookmarkEnd w:id="5"/>
            <w:r w:rsidRPr="00B72952">
              <w:rPr>
                <w:rFonts w:hAnsi="Times New Roman" w:cs="Times New Roman"/>
                <w:lang w:val="lt-LT"/>
              </w:rPr>
              <w:t xml:space="preserve">Lietuvoje įgyvendinta teismų reforma padėjo suvienodinti atskirų teismų ar jų padalinių darbo krūvį, sudarė sąlygas greitesniam bylų nagrinėjimui, efektyvesniam teismų administravimui. </w:t>
            </w:r>
          </w:p>
          <w:p w14:paraId="6B500D13" w14:textId="06B40FE7" w:rsidR="00630401" w:rsidRPr="00B72952" w:rsidRDefault="00630401" w:rsidP="00630401">
            <w:pPr>
              <w:pStyle w:val="BodyA"/>
              <w:jc w:val="both"/>
              <w:rPr>
                <w:rFonts w:hAnsi="Times New Roman" w:cs="Times New Roman"/>
                <w:lang w:val="lt-LT"/>
              </w:rPr>
            </w:pPr>
            <w:r w:rsidRPr="00B72952">
              <w:rPr>
                <w:rFonts w:hAnsi="Times New Roman" w:cs="Times New Roman"/>
                <w:lang w:val="lt-LT"/>
              </w:rPr>
              <w:t>Lietuvoje civilinės ir komercinės bylos bendrame Europos Sąjungos kontekste nagrinėjamos sparčiai, vis dėlto Lietuva nuolat sistemiškai imasi priemonių, kurios susijusios su alternatyvių ginčų sprendimo būdų skatinimu, su ginčų nagrinėjimo ikiteisminėse institucijose plėtra, taip pat su klausimų, dėl kurių nekyla ginčų tarp šalių, perdavimu spręsti kitiems kompetentingiems subjektams. Įgyvendina</w:t>
            </w:r>
            <w:r w:rsidR="0051120D">
              <w:rPr>
                <w:rFonts w:hAnsi="Times New Roman" w:cs="Times New Roman"/>
                <w:lang w:val="lt-LT"/>
              </w:rPr>
              <w:t>n</w:t>
            </w:r>
            <w:r w:rsidRPr="00B72952">
              <w:rPr>
                <w:rFonts w:hAnsi="Times New Roman" w:cs="Times New Roman"/>
                <w:lang w:val="lt-LT"/>
              </w:rPr>
              <w:t>t šias priemones ir sistemiškai mažinant teismų darbo krūvį, teismams sudaromos prielaidos daugiau laiko skirti svarbių bylų nagrinėjimui.</w:t>
            </w:r>
            <w:bookmarkEnd w:id="6"/>
            <w:r w:rsidRPr="00B72952">
              <w:rPr>
                <w:rFonts w:hAnsi="Times New Roman" w:cs="Times New Roman"/>
                <w:lang w:val="lt-LT"/>
              </w:rPr>
              <w:t xml:space="preserve"> </w:t>
            </w:r>
          </w:p>
          <w:p w14:paraId="79128BF5" w14:textId="77777777" w:rsidR="00630401" w:rsidRPr="003F18DB" w:rsidRDefault="00630401" w:rsidP="00630401">
            <w:pPr>
              <w:pStyle w:val="BodyA"/>
              <w:jc w:val="both"/>
              <w:rPr>
                <w:rFonts w:hAnsi="Times New Roman" w:cs="Times New Roman"/>
                <w:lang w:val="lt-LT"/>
              </w:rPr>
            </w:pPr>
            <w:r w:rsidRPr="00B72952">
              <w:rPr>
                <w:rFonts w:hAnsi="Times New Roman" w:cs="Times New Roman"/>
                <w:lang w:val="lt-LT"/>
              </w:rPr>
              <w:t xml:space="preserve">Lietuvoje visuose teismuose galima naudotis elektronine bylų valdymo sistema, pateikti ir gauti procesinius dokumentus elektroniniu būdu, taip pat ir toliau imamės teisinių ir technologinių priemonių plėsti elektroninių ryšių priemonių naudojimą nagrinėjant bylas. Pavyzdžiui, neseniai patvirtinti teisinio reguliavimo pakeitimai, kuriais išplėstos vaizdo konferencijų ir telekonferencijų naudojimo galimybės civilinėse ir administracinėse bylose. </w:t>
            </w:r>
            <w:bookmarkStart w:id="7" w:name="_Hlk57208092"/>
            <w:bookmarkStart w:id="8" w:name="_Hlk57206977"/>
            <w:r w:rsidRPr="00B72952">
              <w:rPr>
                <w:rFonts w:hAnsi="Times New Roman" w:cs="Times New Roman"/>
                <w:lang w:val="lt-LT"/>
              </w:rPr>
              <w:t>Elektroninių ryšių priemonių naudojimas padeda ne tik didinti teisingumo sistemų veiksmingumą, bet ir užtikrina sklandų ir nepertraukiamą teismų veikimą, teismo posėdžių organizavimą pandemijos kontekste.</w:t>
            </w:r>
            <w:bookmarkEnd w:id="3"/>
            <w:bookmarkEnd w:id="7"/>
          </w:p>
          <w:bookmarkEnd w:id="8"/>
          <w:p w14:paraId="57903229" w14:textId="77777777" w:rsidR="00630401" w:rsidRPr="003F18DB" w:rsidRDefault="00630401" w:rsidP="00630401">
            <w:pPr>
              <w:pStyle w:val="BodyA"/>
              <w:jc w:val="both"/>
              <w:rPr>
                <w:rFonts w:hAnsi="Times New Roman" w:cs="Times New Roman"/>
                <w:lang w:val="lt-LT"/>
              </w:rPr>
            </w:pPr>
          </w:p>
          <w:p w14:paraId="51E127FC" w14:textId="4E3936A7" w:rsidR="00630401" w:rsidRPr="003F18DB" w:rsidRDefault="00630401" w:rsidP="00630401">
            <w:pPr>
              <w:pStyle w:val="BodyA"/>
              <w:jc w:val="both"/>
              <w:rPr>
                <w:rFonts w:hAnsi="Times New Roman" w:cs="Times New Roman"/>
                <w:b/>
                <w:bCs/>
                <w:lang w:val="lt-LT"/>
              </w:rPr>
            </w:pPr>
            <w:r w:rsidRPr="003F18DB">
              <w:rPr>
                <w:rFonts w:hAnsi="Times New Roman" w:cs="Times New Roman"/>
                <w:lang w:val="lt-LT"/>
              </w:rPr>
              <w:t xml:space="preserve">2. Svarbu užtikrinti, kad teisėjai galėtų naudotis savo saviraiškos laisve profesiniais klausimais, kai tai sudaro galimybę prisidėti prie diskusijos visuomenei svarbiais klausimais, pvz., susijusiais su teisės reformų poreikiu. ES lygmeniu būtų naudinga rodyti pavyzdį, kad tokia teisėjų saviraiškos laisvė turėtų būti saugoma ir nacionaliniu lygmeniu. Todėl galėtume pritarti </w:t>
            </w:r>
            <w:r w:rsidR="00A33870" w:rsidRPr="00A33870">
              <w:rPr>
                <w:rFonts w:hAnsi="Times New Roman" w:cs="Times New Roman"/>
                <w:lang w:val="lt-LT"/>
              </w:rPr>
              <w:t>teisėjų tarptautinio bendradarbiavimo profesiniais klausimais skatinim</w:t>
            </w:r>
            <w:r w:rsidR="00A33870">
              <w:rPr>
                <w:rFonts w:hAnsi="Times New Roman" w:cs="Times New Roman"/>
                <w:lang w:val="lt-LT"/>
              </w:rPr>
              <w:t>ui bei jų įtraukimui į diskusijas</w:t>
            </w:r>
            <w:r w:rsidRPr="003F18DB">
              <w:rPr>
                <w:rFonts w:hAnsi="Times New Roman" w:cs="Times New Roman"/>
                <w:lang w:val="lt-LT"/>
              </w:rPr>
              <w:t xml:space="preserve">. </w:t>
            </w:r>
            <w:r w:rsidR="00A33870">
              <w:rPr>
                <w:rFonts w:hAnsi="Times New Roman" w:cs="Times New Roman"/>
                <w:lang w:val="lt-LT"/>
              </w:rPr>
              <w:t>Manome, kad galėtų būti naudojamos jau esamos teisėjų bendradarbiavimo struktūros.</w:t>
            </w:r>
          </w:p>
        </w:tc>
      </w:tr>
      <w:bookmarkEnd w:id="1"/>
    </w:tbl>
    <w:p w14:paraId="69792E4F" w14:textId="77777777" w:rsidR="00161A90" w:rsidRDefault="00161A90" w:rsidP="00161A90">
      <w:pPr>
        <w:pStyle w:val="BodyA"/>
        <w:jc w:val="center"/>
        <w:rPr>
          <w:rFonts w:hAnsi="Times New Roman" w:cs="Times New Roman"/>
          <w:b/>
          <w:bCs/>
          <w:caps/>
          <w:lang w:val="lt-LT"/>
        </w:rPr>
      </w:pPr>
    </w:p>
    <w:tbl>
      <w:tblPr>
        <w:tblpPr w:leftFromText="180" w:rightFromText="180" w:vertAnchor="text" w:horzAnchor="margin" w:tblpY="-13"/>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630401" w:rsidRPr="003F18DB" w14:paraId="736F785A" w14:textId="77777777" w:rsidTr="00630401">
        <w:trPr>
          <w:trHeight w:val="1935"/>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C15C33" w14:textId="77777777" w:rsidR="00630401" w:rsidRPr="003F18DB" w:rsidRDefault="00630401" w:rsidP="00630401">
            <w:pPr>
              <w:pStyle w:val="BodyA"/>
              <w:jc w:val="both"/>
              <w:rPr>
                <w:rFonts w:hAnsi="Times New Roman" w:cs="Times New Roman"/>
                <w:lang w:val="lt-LT"/>
              </w:rPr>
            </w:pPr>
            <w:r w:rsidRPr="003F18DB">
              <w:rPr>
                <w:rFonts w:hAnsi="Times New Roman" w:cs="Times New Roman"/>
                <w:lang w:val="lt-LT"/>
              </w:rPr>
              <w:lastRenderedPageBreak/>
              <w:t xml:space="preserve">4. </w:t>
            </w:r>
            <w:r w:rsidRPr="003F18DB">
              <w:rPr>
                <w:rFonts w:hAnsi="Times New Roman" w:cs="Times New Roman"/>
                <w:b/>
                <w:bCs/>
                <w:lang w:val="lt-LT"/>
              </w:rPr>
              <w:t>Europos Prokuratūra</w:t>
            </w:r>
            <w:r w:rsidRPr="003F18DB">
              <w:rPr>
                <w:rFonts w:hAnsi="Times New Roman" w:cs="Times New Roman"/>
                <w:lang w:val="lt-LT"/>
              </w:rPr>
              <w:t xml:space="preserve"> / </w:t>
            </w:r>
            <w:proofErr w:type="spellStart"/>
            <w:r w:rsidRPr="003F18DB">
              <w:rPr>
                <w:rFonts w:hAnsi="Times New Roman" w:cs="Times New Roman"/>
                <w:sz w:val="23"/>
                <w:szCs w:val="23"/>
                <w:lang w:val="lt-LT"/>
              </w:rPr>
              <w:t>European</w:t>
            </w:r>
            <w:proofErr w:type="spellEnd"/>
            <w:r w:rsidRPr="003F18DB">
              <w:rPr>
                <w:rFonts w:hAnsi="Times New Roman" w:cs="Times New Roman"/>
                <w:sz w:val="23"/>
                <w:szCs w:val="23"/>
                <w:lang w:val="lt-LT"/>
              </w:rPr>
              <w:t xml:space="preserve"> </w:t>
            </w:r>
            <w:proofErr w:type="spellStart"/>
            <w:r w:rsidRPr="003F18DB">
              <w:rPr>
                <w:rFonts w:hAnsi="Times New Roman" w:cs="Times New Roman"/>
                <w:sz w:val="23"/>
                <w:szCs w:val="23"/>
                <w:lang w:val="lt-LT"/>
              </w:rPr>
              <w:t>Public</w:t>
            </w:r>
            <w:proofErr w:type="spellEnd"/>
            <w:r w:rsidRPr="003F18DB">
              <w:rPr>
                <w:rFonts w:hAnsi="Times New Roman" w:cs="Times New Roman"/>
                <w:sz w:val="23"/>
                <w:szCs w:val="23"/>
                <w:lang w:val="lt-LT"/>
              </w:rPr>
              <w:t xml:space="preserve"> </w:t>
            </w:r>
            <w:proofErr w:type="spellStart"/>
            <w:r w:rsidRPr="003F18DB">
              <w:rPr>
                <w:rFonts w:hAnsi="Times New Roman" w:cs="Times New Roman"/>
                <w:sz w:val="23"/>
                <w:szCs w:val="23"/>
                <w:lang w:val="lt-LT"/>
              </w:rPr>
              <w:t>Prosecutor's</w:t>
            </w:r>
            <w:proofErr w:type="spellEnd"/>
            <w:r w:rsidRPr="003F18DB">
              <w:rPr>
                <w:rFonts w:hAnsi="Times New Roman" w:cs="Times New Roman"/>
                <w:sz w:val="23"/>
                <w:szCs w:val="23"/>
                <w:lang w:val="lt-LT"/>
              </w:rPr>
              <w:t xml:space="preserve"> Office (EPPO) </w:t>
            </w:r>
            <w:r w:rsidRPr="003F18DB">
              <w:rPr>
                <w:rFonts w:hAnsi="Times New Roman" w:cs="Times New Roman"/>
                <w:lang w:val="lt-LT"/>
              </w:rPr>
              <w:t xml:space="preserve"> (</w:t>
            </w:r>
            <w:r w:rsidRPr="003F18DB">
              <w:rPr>
                <w:rFonts w:hAnsi="Times New Roman" w:cs="Times New Roman"/>
                <w:i/>
                <w:iCs/>
                <w:lang w:val="lt-LT"/>
              </w:rPr>
              <w:t>Esama padėtis</w:t>
            </w:r>
            <w:r w:rsidRPr="003F18DB">
              <w:rPr>
                <w:rFonts w:hAnsi="Times New Roman" w:cs="Times New Roman"/>
                <w:lang w:val="lt-LT"/>
              </w:rPr>
              <w:t>)</w:t>
            </w:r>
          </w:p>
          <w:p w14:paraId="0AFB1049" w14:textId="77777777" w:rsidR="00630401" w:rsidRPr="003F18DB" w:rsidRDefault="00630401" w:rsidP="00630401">
            <w:pPr>
              <w:pStyle w:val="BodyA"/>
              <w:jc w:val="both"/>
              <w:rPr>
                <w:rFonts w:hAnsi="Times New Roman" w:cs="Times New Roman"/>
                <w:lang w:val="lt-LT"/>
              </w:rPr>
            </w:pPr>
          </w:p>
          <w:p w14:paraId="5CAC6874" w14:textId="77777777" w:rsidR="00630401" w:rsidRPr="003F18DB" w:rsidRDefault="00630401" w:rsidP="00630401">
            <w:pPr>
              <w:pStyle w:val="BodyA"/>
              <w:jc w:val="both"/>
              <w:rPr>
                <w:rFonts w:hAnsi="Times New Roman" w:cs="Times New Roman"/>
                <w:sz w:val="22"/>
                <w:szCs w:val="22"/>
                <w:lang w:val="lt-LT"/>
              </w:rPr>
            </w:pPr>
            <w:r w:rsidRPr="003F18DB">
              <w:rPr>
                <w:rFonts w:hAnsi="Times New Roman" w:cs="Times New Roman"/>
                <w:b/>
                <w:bCs/>
                <w:u w:val="single"/>
                <w:lang w:val="lt-LT"/>
              </w:rPr>
              <w:t>Klausimo esmė.</w:t>
            </w:r>
            <w:r w:rsidRPr="003F18DB">
              <w:rPr>
                <w:rFonts w:hAnsi="Times New Roman" w:cs="Times New Roman"/>
                <w:b/>
                <w:bCs/>
                <w:shd w:val="clear" w:color="auto" w:fill="FFFFFF"/>
                <w:lang w:val="lt-LT"/>
              </w:rPr>
              <w:t xml:space="preserve"> </w:t>
            </w:r>
            <w:r w:rsidRPr="003F18DB">
              <w:rPr>
                <w:rFonts w:hAnsi="Times New Roman" w:cs="Times New Roman"/>
                <w:shd w:val="clear" w:color="auto" w:fill="FFFFFF"/>
                <w:lang w:val="lt-LT"/>
              </w:rPr>
              <w:t>Europos Komisij</w:t>
            </w:r>
            <w:r>
              <w:rPr>
                <w:rFonts w:hAnsi="Times New Roman" w:cs="Times New Roman"/>
                <w:shd w:val="clear" w:color="auto" w:fill="FFFFFF"/>
                <w:lang w:val="lt-LT"/>
              </w:rPr>
              <w:t>os</w:t>
            </w:r>
            <w:r w:rsidRPr="003F18DB">
              <w:rPr>
                <w:rFonts w:hAnsi="Times New Roman" w:cs="Times New Roman"/>
                <w:shd w:val="clear" w:color="auto" w:fill="FFFFFF"/>
                <w:lang w:val="lt-LT"/>
              </w:rPr>
              <w:t xml:space="preserve"> ir Europos Prokuratūros atstovai pristatys esamą situaciją dėl EPPO steigimo.</w:t>
            </w:r>
          </w:p>
          <w:p w14:paraId="3624993C" w14:textId="77777777"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 xml:space="preserve">EPPO Reglamento suderinimas su nacionaline teise. Kai kurios valstybės narės stipriai pasistūmėjusios, tačiau dauguma dar nepriėmė reikalingų teisės aktų, o kai kurioms dar reikia atlikti nemažai parengiamųjų veiksmų. Kai kurios valstybės labai atsilieka. Tai greičiausia sukels EPPO funkcionavimo pradžios nukėlimą į I ketvirtį 2021 m. </w:t>
            </w:r>
          </w:p>
          <w:p w14:paraId="3517661E" w14:textId="4B45B778" w:rsidR="00AC526E" w:rsidRPr="00AC526E" w:rsidRDefault="00AC526E" w:rsidP="00AC526E">
            <w:pPr>
              <w:pStyle w:val="BodyA"/>
              <w:jc w:val="both"/>
              <w:rPr>
                <w:rFonts w:hAnsi="Times New Roman" w:cs="Times New Roman"/>
                <w:shd w:val="clear" w:color="auto" w:fill="FFFFFF"/>
                <w:lang w:val="lt-LT"/>
              </w:rPr>
            </w:pPr>
            <w:proofErr w:type="spellStart"/>
            <w:r w:rsidRPr="00AC526E">
              <w:rPr>
                <w:rFonts w:hAnsi="Times New Roman" w:cs="Times New Roman"/>
                <w:shd w:val="clear" w:color="auto" w:fill="FFFFFF"/>
                <w:lang w:val="lt-LT"/>
              </w:rPr>
              <w:t>EDPs</w:t>
            </w:r>
            <w:proofErr w:type="spellEnd"/>
            <w:r w:rsidRPr="00AC526E">
              <w:rPr>
                <w:rFonts w:hAnsi="Times New Roman" w:cs="Times New Roman"/>
                <w:shd w:val="clear" w:color="auto" w:fill="FFFFFF"/>
                <w:lang w:val="lt-LT"/>
              </w:rPr>
              <w:t xml:space="preserve"> paskyrimas. Vyksta diskusijos su valstybėmis narėmis apie EDP skaičių. Jos sulėtėjusios dėl pandemijos. Kai kurios valstybės pasiekė sutarimą su Vyriausia prokurore, kitos dar ne, tačiau tik kelios jau iš tikr</w:t>
            </w:r>
            <w:r w:rsidR="0051120D">
              <w:rPr>
                <w:rFonts w:hAnsi="Times New Roman" w:cs="Times New Roman"/>
                <w:shd w:val="clear" w:color="auto" w:fill="FFFFFF"/>
                <w:lang w:val="lt-LT"/>
              </w:rPr>
              <w:t>ųjų</w:t>
            </w:r>
            <w:r w:rsidRPr="00AC526E">
              <w:rPr>
                <w:rFonts w:hAnsi="Times New Roman" w:cs="Times New Roman"/>
                <w:shd w:val="clear" w:color="auto" w:fill="FFFFFF"/>
                <w:lang w:val="lt-LT"/>
              </w:rPr>
              <w:t xml:space="preserve"> yra paskyrusios EDP. Tai irgi darys įtaką EPPO funkcionavimo pradžiai.</w:t>
            </w:r>
          </w:p>
          <w:p w14:paraId="5DB56623" w14:textId="4C9C602B"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 xml:space="preserve">2020 </w:t>
            </w:r>
            <w:r w:rsidR="0051120D">
              <w:rPr>
                <w:rFonts w:hAnsi="Times New Roman" w:cs="Times New Roman"/>
                <w:shd w:val="clear" w:color="auto" w:fill="FFFFFF"/>
                <w:lang w:val="lt-LT"/>
              </w:rPr>
              <w:t>m. l</w:t>
            </w:r>
            <w:r w:rsidRPr="00AC526E">
              <w:rPr>
                <w:rFonts w:hAnsi="Times New Roman" w:cs="Times New Roman"/>
                <w:shd w:val="clear" w:color="auto" w:fill="FFFFFF"/>
                <w:lang w:val="lt-LT"/>
              </w:rPr>
              <w:t>apkričio mėn. paskirti vyriausios prokurorės pavaduotojai. Jais tapo Vokietijos Europos Prokuroras ir Italijos Europos Prokuroras.</w:t>
            </w:r>
          </w:p>
          <w:p w14:paraId="131C335F" w14:textId="77777777"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Darbuotojų samdymas. Procesai vyksta. Tikimasi iki metų galo pasamdyti septyniasdešimt asmenų, įskaitant EP.</w:t>
            </w:r>
          </w:p>
          <w:p w14:paraId="3BEB7125" w14:textId="77777777"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 xml:space="preserve">Biudžetas. 2021 m. Komisija pasiūlė 37.7 </w:t>
            </w:r>
            <w:proofErr w:type="spellStart"/>
            <w:r w:rsidRPr="00AC526E">
              <w:rPr>
                <w:rFonts w:hAnsi="Times New Roman" w:cs="Times New Roman"/>
                <w:shd w:val="clear" w:color="auto" w:fill="FFFFFF"/>
                <w:lang w:val="lt-LT"/>
              </w:rPr>
              <w:t>mln</w:t>
            </w:r>
            <w:proofErr w:type="spellEnd"/>
            <w:r w:rsidRPr="00AC526E">
              <w:rPr>
                <w:rFonts w:hAnsi="Times New Roman" w:cs="Times New Roman"/>
                <w:shd w:val="clear" w:color="auto" w:fill="FFFFFF"/>
                <w:lang w:val="lt-LT"/>
              </w:rPr>
              <w:t xml:space="preserve"> EUR biudžetą. Tai dabar diskutuoja biudžeto institucijos.</w:t>
            </w:r>
          </w:p>
          <w:p w14:paraId="526063AB" w14:textId="77777777"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Bylų valdymo sistema. Bylų valdymo sistema vystoma. Darbinė versija yra bandoma. Tikimasi, kad gruodžio mėn. ja bus galima pradėti naudoti, o vėliau tobulinti. Toliau dirbama su Valstybių narių prieiga prie Bylų valdymo sistemos.</w:t>
            </w:r>
          </w:p>
          <w:p w14:paraId="56DC7F0C" w14:textId="77777777"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Būstinė. Tikėtasi, kad pastatas Liuksemburge bus baigtas pačioje 2021 m. pradžioje (buvo planuota 2020 lapkričio mėn.). EPPO darbuotojai gali dirbti pereinamajame pastate, todėl darbų atidėjimai neturės įtakos EPPO darbo pradžiai.</w:t>
            </w:r>
          </w:p>
          <w:p w14:paraId="6402C6B9" w14:textId="77777777"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 xml:space="preserve">Deleguotasis aktas dėl asmens duomenų ir duomenų subjektų buvo priimtas 2020 spalio mėn. </w:t>
            </w:r>
          </w:p>
          <w:p w14:paraId="598E9F77" w14:textId="77777777"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 xml:space="preserve">Bendradarbiavimas su trečiosiomis šalimis. Rugsėjo 22 d. ekspertai sutarė dėl teksto, kurį valstybės narės naudos kaip pranešimą Europos tarybai apie Europos prokuratūrą kaip kompetentingą instituciją 1959 m. Konvencijos ir jos papildomų protokolų kontekste. </w:t>
            </w:r>
          </w:p>
          <w:p w14:paraId="4F888686" w14:textId="77777777" w:rsidR="00AC526E" w:rsidRPr="00AC526E"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 xml:space="preserve">Nedalyvaujančios valstybės narės. Ekspertai sutarė dėl Vokietijos parengto interpretacijos dėl ETO, jį taikant tarp EPPO ir nedalyvaujančių valstybių narių kompetentingų institucijų. </w:t>
            </w:r>
          </w:p>
          <w:p w14:paraId="5D302339" w14:textId="439DAAE8" w:rsidR="00630401" w:rsidRDefault="00AC526E" w:rsidP="00AC526E">
            <w:pPr>
              <w:pStyle w:val="BodyA"/>
              <w:jc w:val="both"/>
              <w:rPr>
                <w:rFonts w:hAnsi="Times New Roman" w:cs="Times New Roman"/>
                <w:shd w:val="clear" w:color="auto" w:fill="FFFFFF"/>
                <w:lang w:val="lt-LT"/>
              </w:rPr>
            </w:pPr>
            <w:r w:rsidRPr="00AC526E">
              <w:rPr>
                <w:rFonts w:hAnsi="Times New Roman" w:cs="Times New Roman"/>
                <w:shd w:val="clear" w:color="auto" w:fill="FFFFFF"/>
                <w:lang w:val="lt-LT"/>
              </w:rPr>
              <w:t>PIF direktyva. Dauguma valstybių narių yra įgyvendinusios Direktyvą. Prieš tas, kurios nepranešė apie įgyvendinimą, pradėtos pažeidimo procedūros.</w:t>
            </w:r>
          </w:p>
          <w:p w14:paraId="3CA79CD7" w14:textId="77777777" w:rsidR="00AC526E" w:rsidRPr="003F18DB" w:rsidRDefault="00AC526E" w:rsidP="00630401">
            <w:pPr>
              <w:pStyle w:val="BodyA"/>
              <w:jc w:val="both"/>
              <w:rPr>
                <w:rFonts w:hAnsi="Times New Roman" w:cs="Times New Roman"/>
                <w:shd w:val="clear" w:color="auto" w:fill="FFFFFF"/>
                <w:lang w:val="lt-LT"/>
              </w:rPr>
            </w:pPr>
          </w:p>
          <w:p w14:paraId="1AC42FEE" w14:textId="77777777" w:rsidR="00630401" w:rsidRPr="000C72FF" w:rsidRDefault="00630401" w:rsidP="00630401">
            <w:pPr>
              <w:pStyle w:val="BodyA"/>
              <w:jc w:val="both"/>
              <w:rPr>
                <w:rFonts w:hAnsi="Times New Roman" w:cs="Times New Roman"/>
                <w:lang w:val="lt-LT"/>
              </w:rPr>
            </w:pPr>
            <w:r w:rsidRPr="003F18DB">
              <w:rPr>
                <w:rFonts w:hAnsi="Times New Roman" w:cs="Times New Roman"/>
                <w:b/>
                <w:bCs/>
                <w:u w:val="single"/>
                <w:lang w:val="lt-LT"/>
              </w:rPr>
              <w:t>Lietuvos pozicija</w:t>
            </w:r>
            <w:r w:rsidRPr="003F18DB">
              <w:rPr>
                <w:rFonts w:hAnsi="Times New Roman" w:cs="Times New Roman"/>
                <w:b/>
                <w:bCs/>
                <w:lang w:val="lt-LT"/>
              </w:rPr>
              <w:t xml:space="preserve">. </w:t>
            </w:r>
            <w:r>
              <w:rPr>
                <w:rFonts w:hAnsi="Times New Roman" w:cs="Times New Roman"/>
                <w:lang w:val="lt-LT"/>
              </w:rPr>
              <w:t>Išklausyti informaciją.</w:t>
            </w:r>
          </w:p>
        </w:tc>
      </w:tr>
    </w:tbl>
    <w:p w14:paraId="4851C600" w14:textId="77777777" w:rsidR="00BA318C" w:rsidRPr="003F18DB" w:rsidRDefault="00BA318C">
      <w:pPr>
        <w:pStyle w:val="BodyA"/>
        <w:jc w:val="both"/>
        <w:rPr>
          <w:rFonts w:hAnsi="Times New Roman" w:cs="Times New Roman"/>
          <w:lang w:val="lt-LT"/>
        </w:rPr>
      </w:pPr>
    </w:p>
    <w:sectPr w:rsidR="00BA318C" w:rsidRPr="003F18DB" w:rsidSect="00630401">
      <w:headerReference w:type="default" r:id="rId8"/>
      <w:headerReference w:type="first" r:id="rId9"/>
      <w:pgSz w:w="11900" w:h="16840"/>
      <w:pgMar w:top="1560" w:right="1134" w:bottom="709"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D3E9B" w14:textId="77777777" w:rsidR="004A16D7" w:rsidRDefault="004A16D7">
      <w:r>
        <w:separator/>
      </w:r>
    </w:p>
  </w:endnote>
  <w:endnote w:type="continuationSeparator" w:id="0">
    <w:p w14:paraId="567E08AC" w14:textId="77777777" w:rsidR="004A16D7" w:rsidRDefault="004A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C3981" w14:textId="77777777" w:rsidR="004A16D7" w:rsidRDefault="004A16D7">
      <w:r>
        <w:separator/>
      </w:r>
    </w:p>
  </w:footnote>
  <w:footnote w:type="continuationSeparator" w:id="0">
    <w:p w14:paraId="5878C0B3" w14:textId="77777777" w:rsidR="004A16D7" w:rsidRDefault="004A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B16E" w14:textId="31B2320C" w:rsidR="004B217F" w:rsidRDefault="00EE1216" w:rsidP="00630401">
    <w:pPr>
      <w:pStyle w:val="BodyA"/>
      <w:tabs>
        <w:tab w:val="center" w:pos="4153"/>
        <w:tab w:val="right" w:pos="8306"/>
      </w:tabs>
      <w:jc w:val="right"/>
    </w:pPr>
    <w:r w:rsidRPr="0071270C">
      <w:rPr>
        <w:rFonts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5AB3" w14:textId="77777777" w:rsidR="006F1F92" w:rsidRPr="0071270C" w:rsidRDefault="006F1F92" w:rsidP="006F1F92">
    <w:pPr>
      <w:pStyle w:val="BodyA"/>
      <w:tabs>
        <w:tab w:val="center" w:pos="4153"/>
        <w:tab w:val="right" w:pos="8306"/>
      </w:tabs>
      <w:jc w:val="right"/>
      <w:rPr>
        <w:rFonts w:hAnsi="Times New Roman" w:cs="Times New Roman"/>
        <w:i/>
        <w:iCs/>
      </w:rPr>
    </w:pPr>
    <w:proofErr w:type="spellStart"/>
    <w:r w:rsidRPr="0071270C">
      <w:rPr>
        <w:rFonts w:hAnsi="Times New Roman" w:cs="Times New Roman"/>
        <w:i/>
        <w:iCs/>
      </w:rPr>
      <w:t>Parengė</w:t>
    </w:r>
    <w:proofErr w:type="spellEnd"/>
    <w:r w:rsidRPr="0071270C">
      <w:rPr>
        <w:rFonts w:hAnsi="Times New Roman" w:cs="Times New Roman"/>
        <w:i/>
        <w:iCs/>
      </w:rPr>
      <w:t xml:space="preserve">: </w:t>
    </w:r>
    <w:proofErr w:type="spellStart"/>
    <w:r w:rsidRPr="0071270C">
      <w:rPr>
        <w:rFonts w:hAnsi="Times New Roman" w:cs="Times New Roman"/>
        <w:i/>
        <w:iCs/>
      </w:rPr>
      <w:t>Teisingumo</w:t>
    </w:r>
    <w:proofErr w:type="spellEnd"/>
    <w:r w:rsidRPr="0071270C">
      <w:rPr>
        <w:rFonts w:hAnsi="Times New Roman" w:cs="Times New Roman"/>
        <w:i/>
        <w:iCs/>
      </w:rPr>
      <w:t xml:space="preserve"> </w:t>
    </w:r>
    <w:proofErr w:type="spellStart"/>
    <w:r w:rsidRPr="0071270C">
      <w:rPr>
        <w:rFonts w:hAnsi="Times New Roman" w:cs="Times New Roman"/>
        <w:i/>
        <w:iCs/>
      </w:rPr>
      <w:t>ministerijos</w:t>
    </w:r>
    <w:proofErr w:type="spellEnd"/>
    <w:r w:rsidRPr="0071270C">
      <w:rPr>
        <w:rFonts w:hAnsi="Times New Roman" w:cs="Times New Roman"/>
        <w:i/>
        <w:iCs/>
      </w:rPr>
      <w:t xml:space="preserve"> </w:t>
    </w:r>
    <w:proofErr w:type="spellStart"/>
    <w:r w:rsidRPr="0071270C">
      <w:rPr>
        <w:rFonts w:hAnsi="Times New Roman" w:cs="Times New Roman"/>
        <w:i/>
        <w:iCs/>
      </w:rPr>
      <w:t>tarptautinės</w:t>
    </w:r>
    <w:proofErr w:type="spellEnd"/>
    <w:r w:rsidRPr="0071270C">
      <w:rPr>
        <w:rFonts w:hAnsi="Times New Roman" w:cs="Times New Roman"/>
        <w:i/>
        <w:iCs/>
      </w:rPr>
      <w:t xml:space="preserve"> </w:t>
    </w:r>
    <w:proofErr w:type="spellStart"/>
    <w:r w:rsidRPr="0071270C">
      <w:rPr>
        <w:rFonts w:hAnsi="Times New Roman" w:cs="Times New Roman"/>
        <w:i/>
        <w:iCs/>
      </w:rPr>
      <w:t>teisės</w:t>
    </w:r>
    <w:proofErr w:type="spellEnd"/>
    <w:r w:rsidRPr="0071270C">
      <w:rPr>
        <w:rFonts w:hAnsi="Times New Roman" w:cs="Times New Roman"/>
        <w:i/>
        <w:iCs/>
      </w:rPr>
      <w:t xml:space="preserve"> </w:t>
    </w:r>
    <w:proofErr w:type="spellStart"/>
    <w:r w:rsidRPr="0071270C">
      <w:rPr>
        <w:rFonts w:hAnsi="Times New Roman" w:cs="Times New Roman"/>
        <w:i/>
        <w:iCs/>
      </w:rPr>
      <w:t>grupė</w:t>
    </w:r>
    <w:proofErr w:type="spellEnd"/>
  </w:p>
  <w:p w14:paraId="5F19C163" w14:textId="5A7C46F3" w:rsidR="00EF0DF3" w:rsidRDefault="006F1F92" w:rsidP="006F1F92">
    <w:pPr>
      <w:pStyle w:val="Antrats"/>
      <w:jc w:val="right"/>
    </w:pPr>
    <w:r>
      <w:rPr>
        <w:i/>
        <w:iCs/>
      </w:rPr>
      <w:t xml:space="preserve">                                  Data: 2020 11 2</w:t>
    </w:r>
    <w:r w:rsidR="007A27FD">
      <w:rPr>
        <w:i/>
        <w:i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1"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7"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9"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0"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1"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2"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5"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8"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0"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1"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2"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3"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20"/>
  </w:num>
  <w:num w:numId="2">
    <w:abstractNumId w:val="8"/>
  </w:num>
  <w:num w:numId="3">
    <w:abstractNumId w:val="6"/>
  </w:num>
  <w:num w:numId="4">
    <w:abstractNumId w:val="22"/>
  </w:num>
  <w:num w:numId="5">
    <w:abstractNumId w:val="13"/>
  </w:num>
  <w:num w:numId="6">
    <w:abstractNumId w:val="9"/>
  </w:num>
  <w:num w:numId="7">
    <w:abstractNumId w:val="11"/>
  </w:num>
  <w:num w:numId="8">
    <w:abstractNumId w:val="17"/>
  </w:num>
  <w:num w:numId="9">
    <w:abstractNumId w:val="29"/>
  </w:num>
  <w:num w:numId="10">
    <w:abstractNumId w:val="12"/>
  </w:num>
  <w:num w:numId="11">
    <w:abstractNumId w:val="19"/>
  </w:num>
  <w:num w:numId="12">
    <w:abstractNumId w:val="2"/>
  </w:num>
  <w:num w:numId="13">
    <w:abstractNumId w:val="23"/>
  </w:num>
  <w:num w:numId="14">
    <w:abstractNumId w:val="24"/>
  </w:num>
  <w:num w:numId="15">
    <w:abstractNumId w:val="3"/>
  </w:num>
  <w:num w:numId="16">
    <w:abstractNumId w:val="25"/>
  </w:num>
  <w:num w:numId="17">
    <w:abstractNumId w:val="27"/>
  </w:num>
  <w:num w:numId="18">
    <w:abstractNumId w:val="31"/>
  </w:num>
  <w:num w:numId="19">
    <w:abstractNumId w:val="5"/>
  </w:num>
  <w:num w:numId="20">
    <w:abstractNumId w:val="4"/>
  </w:num>
  <w:num w:numId="21">
    <w:abstractNumId w:val="15"/>
  </w:num>
  <w:num w:numId="22">
    <w:abstractNumId w:val="33"/>
  </w:num>
  <w:num w:numId="23">
    <w:abstractNumId w:val="0"/>
  </w:num>
  <w:num w:numId="24">
    <w:abstractNumId w:val="26"/>
  </w:num>
  <w:num w:numId="25">
    <w:abstractNumId w:val="32"/>
  </w:num>
  <w:num w:numId="26">
    <w:abstractNumId w:val="1"/>
  </w:num>
  <w:num w:numId="27">
    <w:abstractNumId w:val="21"/>
  </w:num>
  <w:num w:numId="28">
    <w:abstractNumId w:val="14"/>
  </w:num>
  <w:num w:numId="29">
    <w:abstractNumId w:val="18"/>
  </w:num>
  <w:num w:numId="30">
    <w:abstractNumId w:val="16"/>
  </w:num>
  <w:num w:numId="31">
    <w:abstractNumId w:val="28"/>
  </w:num>
  <w:num w:numId="32">
    <w:abstractNumId w:val="10"/>
  </w:num>
  <w:num w:numId="33">
    <w:abstractNumId w:val="30"/>
  </w:num>
  <w:num w:numId="34">
    <w:abstractNumId w:val="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trackRevisions/>
  <w:defaultTabStop w:val="1298"/>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7F"/>
    <w:rsid w:val="000851A1"/>
    <w:rsid w:val="000C72FF"/>
    <w:rsid w:val="00161A90"/>
    <w:rsid w:val="00167C5A"/>
    <w:rsid w:val="003C0E93"/>
    <w:rsid w:val="003C5055"/>
    <w:rsid w:val="003C6810"/>
    <w:rsid w:val="003E2F37"/>
    <w:rsid w:val="003F18DB"/>
    <w:rsid w:val="003F58E0"/>
    <w:rsid w:val="00444587"/>
    <w:rsid w:val="00454B38"/>
    <w:rsid w:val="004A16D7"/>
    <w:rsid w:val="004B217F"/>
    <w:rsid w:val="0051120D"/>
    <w:rsid w:val="005202E1"/>
    <w:rsid w:val="00541BCE"/>
    <w:rsid w:val="00557D5B"/>
    <w:rsid w:val="0062599A"/>
    <w:rsid w:val="00630401"/>
    <w:rsid w:val="00650113"/>
    <w:rsid w:val="006F1F92"/>
    <w:rsid w:val="0071270C"/>
    <w:rsid w:val="00752AD9"/>
    <w:rsid w:val="007A27FD"/>
    <w:rsid w:val="007B0AD2"/>
    <w:rsid w:val="00863F13"/>
    <w:rsid w:val="00915B0C"/>
    <w:rsid w:val="009469ED"/>
    <w:rsid w:val="00A146A7"/>
    <w:rsid w:val="00A3015C"/>
    <w:rsid w:val="00A33567"/>
    <w:rsid w:val="00A33870"/>
    <w:rsid w:val="00A77367"/>
    <w:rsid w:val="00AA600C"/>
    <w:rsid w:val="00AB38E3"/>
    <w:rsid w:val="00AC526E"/>
    <w:rsid w:val="00AD7E3A"/>
    <w:rsid w:val="00B03FB8"/>
    <w:rsid w:val="00B20330"/>
    <w:rsid w:val="00B33965"/>
    <w:rsid w:val="00B675A5"/>
    <w:rsid w:val="00B67F14"/>
    <w:rsid w:val="00B70894"/>
    <w:rsid w:val="00B72952"/>
    <w:rsid w:val="00BA186A"/>
    <w:rsid w:val="00BA318C"/>
    <w:rsid w:val="00C1445F"/>
    <w:rsid w:val="00C4320A"/>
    <w:rsid w:val="00C842BA"/>
    <w:rsid w:val="00C9706E"/>
    <w:rsid w:val="00D17400"/>
    <w:rsid w:val="00D34348"/>
    <w:rsid w:val="00E041E6"/>
    <w:rsid w:val="00EE1216"/>
    <w:rsid w:val="00EF0DF3"/>
    <w:rsid w:val="00F104B5"/>
    <w:rsid w:val="00F9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58B51"/>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A318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customStyle="1" w:styleId="Default">
    <w:name w:val="Default"/>
    <w:rsid w:val="00BA31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Debesliotekstas">
    <w:name w:val="Balloon Text"/>
    <w:basedOn w:val="prastasis"/>
    <w:link w:val="DebesliotekstasDiagrama"/>
    <w:uiPriority w:val="99"/>
    <w:semiHidden/>
    <w:unhideWhenUsed/>
    <w:rsid w:val="003F18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18DB"/>
    <w:rPr>
      <w:rFonts w:ascii="Segoe UI" w:hAnsi="Segoe UI" w:cs="Segoe UI"/>
      <w:sz w:val="18"/>
      <w:szCs w:val="18"/>
    </w:rPr>
  </w:style>
  <w:style w:type="character" w:styleId="Komentaronuoroda">
    <w:name w:val="annotation reference"/>
    <w:basedOn w:val="Numatytasispastraiposriftas"/>
    <w:uiPriority w:val="99"/>
    <w:semiHidden/>
    <w:unhideWhenUsed/>
    <w:rsid w:val="0051120D"/>
    <w:rPr>
      <w:sz w:val="16"/>
      <w:szCs w:val="16"/>
    </w:rPr>
  </w:style>
  <w:style w:type="paragraph" w:styleId="Komentarotekstas">
    <w:name w:val="annotation text"/>
    <w:basedOn w:val="prastasis"/>
    <w:link w:val="KomentarotekstasDiagrama"/>
    <w:uiPriority w:val="99"/>
    <w:semiHidden/>
    <w:unhideWhenUsed/>
    <w:rsid w:val="0051120D"/>
    <w:rPr>
      <w:sz w:val="20"/>
      <w:szCs w:val="20"/>
    </w:rPr>
  </w:style>
  <w:style w:type="character" w:customStyle="1" w:styleId="KomentarotekstasDiagrama">
    <w:name w:val="Komentaro tekstas Diagrama"/>
    <w:basedOn w:val="Numatytasispastraiposriftas"/>
    <w:link w:val="Komentarotekstas"/>
    <w:uiPriority w:val="99"/>
    <w:semiHidden/>
    <w:rsid w:val="0051120D"/>
  </w:style>
  <w:style w:type="paragraph" w:styleId="Komentarotema">
    <w:name w:val="annotation subject"/>
    <w:basedOn w:val="Komentarotekstas"/>
    <w:next w:val="Komentarotekstas"/>
    <w:link w:val="KomentarotemaDiagrama"/>
    <w:uiPriority w:val="99"/>
    <w:semiHidden/>
    <w:unhideWhenUsed/>
    <w:rsid w:val="0051120D"/>
    <w:rPr>
      <w:b/>
      <w:bCs/>
    </w:rPr>
  </w:style>
  <w:style w:type="character" w:customStyle="1" w:styleId="KomentarotemaDiagrama">
    <w:name w:val="Komentaro tema Diagrama"/>
    <w:basedOn w:val="KomentarotekstasDiagrama"/>
    <w:link w:val="Komentarotema"/>
    <w:uiPriority w:val="99"/>
    <w:semiHidden/>
    <w:rsid w:val="00511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050501">
      <w:bodyDiv w:val="1"/>
      <w:marLeft w:val="0"/>
      <w:marRight w:val="0"/>
      <w:marTop w:val="0"/>
      <w:marBottom w:val="0"/>
      <w:divBdr>
        <w:top w:val="none" w:sz="0" w:space="0" w:color="auto"/>
        <w:left w:val="none" w:sz="0" w:space="0" w:color="auto"/>
        <w:bottom w:val="none" w:sz="0" w:space="0" w:color="auto"/>
        <w:right w:val="none" w:sz="0" w:space="0" w:color="auto"/>
      </w:divBdr>
    </w:div>
    <w:div w:id="1786339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_rels/theme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50C2-5B43-45FD-BA25-599773A9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7771</Words>
  <Characters>4430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2020-11-30T08:35:00Z</dcterms:created>
  <dc:creator>Margarita Antanaitė</dc:creator>
  <cp:lastModifiedBy>Darius Žilys</cp:lastModifiedBy>
  <dcterms:modified xsi:type="dcterms:W3CDTF">2020-11-30T08:35:00Z</dcterms:modified>
  <cp:revision>2</cp:revision>
</cp:coreProperties>
</file>