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15DF" w14:textId="77777777" w:rsidR="00E145D7" w:rsidRDefault="00610831">
      <w:pPr>
        <w:pStyle w:val="InstitucijosPavadinimas"/>
        <w:spacing w:line="240" w:lineRule="auto"/>
        <w:ind w:firstLine="0"/>
        <w:rPr>
          <w:rFonts w:ascii="Times New Roman" w:hAnsi="Times New Roman" w:cs="Times New Roman"/>
          <w:b/>
          <w:bCs/>
          <w:caps/>
          <w:sz w:val="24"/>
          <w:szCs w:val="24"/>
        </w:rPr>
      </w:pPr>
      <w:r>
        <w:rPr>
          <w:rFonts w:ascii="Times New Roman" w:hAnsi="Times New Roman" w:cs="Times New Roman"/>
          <w:b/>
          <w:bCs/>
          <w:caps/>
          <w:sz w:val="24"/>
          <w:szCs w:val="24"/>
        </w:rPr>
        <w:t>Lietuvos Respublikos Seimo nutarimo „Dėl Lietuvos Respublikos Seimo 2002 m. gegužės 28 d. nutarimo Nr. IX-907 „Dėl Nacionalinio saugumo strategijos patvirtinimo“ pakeitimo“ projekto</w:t>
      </w:r>
    </w:p>
    <w:p w14:paraId="73AF15E0" w14:textId="77777777" w:rsidR="00E145D7" w:rsidRDefault="00610831">
      <w:pPr>
        <w:jc w:val="center"/>
        <w:rPr>
          <w:b/>
          <w:caps/>
          <w:lang w:val="lt-LT"/>
        </w:rPr>
      </w:pPr>
      <w:r>
        <w:rPr>
          <w:b/>
          <w:caps/>
          <w:lang w:val="lt-LT"/>
        </w:rPr>
        <w:t>DERINIMO PAŽYMA</w:t>
      </w:r>
    </w:p>
    <w:p w14:paraId="73AF15E1" w14:textId="77777777" w:rsidR="00E145D7" w:rsidRDefault="00E145D7">
      <w:pPr>
        <w:pStyle w:val="InstitucijosPavadinimas"/>
        <w:spacing w:line="240" w:lineRule="auto"/>
        <w:ind w:firstLine="0"/>
        <w:rPr>
          <w:rFonts w:ascii="Times New Roman" w:hAnsi="Times New Roman" w:cs="Times New Roman"/>
          <w:b/>
          <w:bCs/>
          <w:caps/>
          <w:sz w:val="24"/>
          <w:szCs w:val="24"/>
        </w:rPr>
      </w:pPr>
    </w:p>
    <w:p w14:paraId="73AF15E2" w14:textId="77777777" w:rsidR="00E145D7" w:rsidRDefault="00E145D7">
      <w:pPr>
        <w:rPr>
          <w:b/>
          <w:bCs/>
          <w:caps/>
          <w:lang w:val="lt-LT"/>
        </w:rPr>
      </w:pPr>
    </w:p>
    <w:tbl>
      <w:tblPr>
        <w:tblW w:w="14567" w:type="dxa"/>
        <w:tblInd w:w="-695" w:type="dxa"/>
        <w:tblLayout w:type="fixed"/>
        <w:tblLook w:val="0000" w:firstRow="0" w:lastRow="0" w:firstColumn="0" w:lastColumn="0" w:noHBand="0" w:noVBand="0"/>
      </w:tblPr>
      <w:tblGrid>
        <w:gridCol w:w="1750"/>
        <w:gridCol w:w="7147"/>
        <w:gridCol w:w="5670"/>
      </w:tblGrid>
      <w:tr w:rsidR="00E145D7" w14:paraId="73AF15E9" w14:textId="77777777">
        <w:trPr>
          <w:trHeight w:val="983"/>
        </w:trPr>
        <w:tc>
          <w:tcPr>
            <w:tcW w:w="1750" w:type="dxa"/>
            <w:tcBorders>
              <w:top w:val="single" w:sz="4" w:space="0" w:color="000000"/>
              <w:left w:val="single" w:sz="4" w:space="0" w:color="000000"/>
              <w:bottom w:val="single" w:sz="4" w:space="0" w:color="000000"/>
              <w:right w:val="single" w:sz="4" w:space="0" w:color="000000"/>
            </w:tcBorders>
          </w:tcPr>
          <w:p w14:paraId="73AF15E3" w14:textId="77777777" w:rsidR="00E145D7" w:rsidRDefault="00610831">
            <w:pPr>
              <w:jc w:val="center"/>
              <w:rPr>
                <w:lang w:val="lt-LT"/>
              </w:rPr>
            </w:pPr>
            <w:r>
              <w:rPr>
                <w:b/>
                <w:lang w:val="lt-LT"/>
              </w:rPr>
              <w:t>Pasiūlymų ir pastabų pateikusi institucija</w:t>
            </w:r>
          </w:p>
        </w:tc>
        <w:tc>
          <w:tcPr>
            <w:tcW w:w="7147" w:type="dxa"/>
            <w:tcBorders>
              <w:top w:val="single" w:sz="4" w:space="0" w:color="000000"/>
              <w:left w:val="single" w:sz="4" w:space="0" w:color="000000"/>
              <w:bottom w:val="single" w:sz="4" w:space="0" w:color="000000"/>
              <w:right w:val="single" w:sz="4" w:space="0" w:color="000000"/>
            </w:tcBorders>
          </w:tcPr>
          <w:p w14:paraId="73AF15E4" w14:textId="77777777" w:rsidR="00E145D7" w:rsidRDefault="00610831">
            <w:pPr>
              <w:jc w:val="center"/>
            </w:pPr>
            <w:r>
              <w:rPr>
                <w:b/>
                <w:lang w:val="lt-LT"/>
              </w:rPr>
              <w:t>Pasiūlymai, pastabos</w:t>
            </w:r>
          </w:p>
          <w:p w14:paraId="73AF15E5" w14:textId="77777777" w:rsidR="00E145D7" w:rsidRDefault="00E145D7">
            <w:pPr>
              <w:jc w:val="center"/>
              <w:rPr>
                <w:b/>
                <w:lang w:val="lt-LT"/>
              </w:rPr>
            </w:pPr>
          </w:p>
        </w:tc>
        <w:tc>
          <w:tcPr>
            <w:tcW w:w="5670" w:type="dxa"/>
            <w:tcBorders>
              <w:top w:val="single" w:sz="4" w:space="0" w:color="000000"/>
              <w:left w:val="single" w:sz="4" w:space="0" w:color="000000"/>
              <w:bottom w:val="single" w:sz="4" w:space="0" w:color="000000"/>
              <w:right w:val="single" w:sz="4" w:space="0" w:color="000000"/>
            </w:tcBorders>
          </w:tcPr>
          <w:p w14:paraId="73AF15E6" w14:textId="77777777" w:rsidR="00E145D7" w:rsidRDefault="00610831">
            <w:pPr>
              <w:jc w:val="center"/>
            </w:pPr>
            <w:r>
              <w:rPr>
                <w:b/>
                <w:lang w:val="lt-LT"/>
              </w:rPr>
              <w:t>Žyma apie priimtas ir nepriimtas pastabas ir pasiūlymus</w:t>
            </w:r>
          </w:p>
          <w:p w14:paraId="73AF15E7" w14:textId="77777777" w:rsidR="00E145D7" w:rsidRDefault="00E145D7">
            <w:pPr>
              <w:jc w:val="center"/>
              <w:rPr>
                <w:b/>
                <w:lang w:val="lt-LT"/>
              </w:rPr>
            </w:pPr>
          </w:p>
          <w:p w14:paraId="73AF15E8" w14:textId="77777777" w:rsidR="00E145D7" w:rsidRDefault="00E145D7">
            <w:pPr>
              <w:jc w:val="center"/>
              <w:rPr>
                <w:b/>
                <w:lang w:val="lt-LT"/>
              </w:rPr>
            </w:pPr>
          </w:p>
        </w:tc>
      </w:tr>
      <w:tr w:rsidR="00E145D7" w14:paraId="73AF15F2" w14:textId="77777777">
        <w:tc>
          <w:tcPr>
            <w:tcW w:w="1750" w:type="dxa"/>
            <w:tcBorders>
              <w:top w:val="single" w:sz="4" w:space="0" w:color="000000"/>
              <w:left w:val="single" w:sz="4" w:space="0" w:color="000000"/>
              <w:bottom w:val="single" w:sz="4" w:space="0" w:color="000000"/>
              <w:right w:val="single" w:sz="4" w:space="0" w:color="000000"/>
            </w:tcBorders>
          </w:tcPr>
          <w:p w14:paraId="73AF15EA" w14:textId="77777777" w:rsidR="00E145D7" w:rsidRDefault="00610831">
            <w:pPr>
              <w:jc w:val="center"/>
              <w:rPr>
                <w:b/>
                <w:lang w:val="lt-LT"/>
              </w:rPr>
            </w:pPr>
            <w:r>
              <w:rPr>
                <w:b/>
                <w:lang w:val="lt-LT"/>
              </w:rPr>
              <w:t>Lietuvos Respublikos Vyriausybės Kanceliarija</w:t>
            </w:r>
          </w:p>
          <w:p w14:paraId="73AF15EB" w14:textId="77777777" w:rsidR="00E145D7" w:rsidRDefault="00610831">
            <w:pPr>
              <w:jc w:val="center"/>
              <w:rPr>
                <w:b/>
                <w:lang w:val="lt-LT"/>
              </w:rPr>
            </w:pPr>
            <w:r>
              <w:rPr>
                <w:b/>
                <w:lang w:val="lt-LT"/>
              </w:rPr>
              <w:t>Teisės grupė</w:t>
            </w:r>
          </w:p>
          <w:p w14:paraId="73AF15EC" w14:textId="77777777" w:rsidR="00E145D7" w:rsidRDefault="00610831">
            <w:pPr>
              <w:jc w:val="center"/>
            </w:pPr>
            <w:r>
              <w:rPr>
                <w:b/>
                <w:lang w:val="lt-LT"/>
              </w:rPr>
              <w:t xml:space="preserve"> (2021-09-20 Nr. NV-2248)</w:t>
            </w:r>
          </w:p>
        </w:tc>
        <w:tc>
          <w:tcPr>
            <w:tcW w:w="7147" w:type="dxa"/>
            <w:tcBorders>
              <w:top w:val="single" w:sz="4" w:space="0" w:color="000000"/>
              <w:left w:val="single" w:sz="4" w:space="0" w:color="000000"/>
              <w:bottom w:val="single" w:sz="4" w:space="0" w:color="000000"/>
              <w:right w:val="single" w:sz="4" w:space="0" w:color="000000"/>
            </w:tcBorders>
          </w:tcPr>
          <w:p w14:paraId="73AF15ED" w14:textId="265F7D56" w:rsidR="00E145D7" w:rsidRDefault="00610831" w:rsidP="00C61526">
            <w:pPr>
              <w:ind w:left="72"/>
              <w:jc w:val="both"/>
              <w:rPr>
                <w:lang w:val="lt-LT"/>
              </w:rPr>
            </w:pPr>
            <w:r>
              <w:rPr>
                <w:lang w:val="lt-LT"/>
              </w:rPr>
              <w:t xml:space="preserve">1. Manytume, kad Nacionalinio saugumo strategija (toliau – Strategija) neatliepia Lietuvos Respublikos strateginio valdymo įstatymo (toliau </w:t>
            </w:r>
            <w:r w:rsidR="00C61526">
              <w:rPr>
                <w:lang w:val="lt-LT"/>
              </w:rPr>
              <w:t xml:space="preserve">– </w:t>
            </w:r>
            <w:r>
              <w:rPr>
                <w:lang w:val="lt-LT"/>
              </w:rPr>
              <w:t>SVĮ) 6 str. 2 p. ir Lietuvos Respublikos nacionalinio saugumo pagrindų įstatymo 3 str. 2 d. esančių nuostatų, kad Strategijoje turi būti nustatyti ilgalaikiai bei vidutinio laikotarpio uždaviniai valstybės saugumo būklei užtikrinti.  Ir nors Strategijos 51 p. antru sakiniu yra nustatoma, kad „Strategijoje nustatyti ilgojo ir vidutinio laikotarpių nacionalinio saugumo politikos prioritetai ir uždaviniai“, tačiau Strategijos nuostatose nėra atskirai išskirti ir nurodyti</w:t>
            </w:r>
            <w:r w:rsidR="00C61526">
              <w:rPr>
                <w:lang w:val="lt-LT"/>
              </w:rPr>
              <w:t>,</w:t>
            </w:r>
            <w:r>
              <w:rPr>
                <w:lang w:val="lt-LT"/>
              </w:rPr>
              <w:t xml:space="preserve"> kurie prioritetai ir uždaviniai yra ilgojo laikotarpio, o kurie vidutinio laikotarpio. Todėl siūlytume Strategiją tikslinti šiuo aspektu.</w:t>
            </w:r>
          </w:p>
        </w:tc>
        <w:tc>
          <w:tcPr>
            <w:tcW w:w="5670" w:type="dxa"/>
            <w:tcBorders>
              <w:top w:val="single" w:sz="4" w:space="0" w:color="000000"/>
              <w:left w:val="single" w:sz="4" w:space="0" w:color="000000"/>
              <w:bottom w:val="single" w:sz="4" w:space="0" w:color="000000"/>
              <w:right w:val="single" w:sz="4" w:space="0" w:color="000000"/>
            </w:tcBorders>
          </w:tcPr>
          <w:p w14:paraId="73AF15EE" w14:textId="38580D0E" w:rsidR="00E145D7" w:rsidRDefault="00610831">
            <w:pPr>
              <w:jc w:val="both"/>
            </w:pPr>
            <w:r>
              <w:rPr>
                <w:bCs/>
                <w:u w:val="single"/>
                <w:lang w:val="lt-LT"/>
              </w:rPr>
              <w:t>Neatsižvelgta.</w:t>
            </w:r>
            <w:r>
              <w:rPr>
                <w:bCs/>
                <w:lang w:val="lt-LT"/>
              </w:rPr>
              <w:t xml:space="preserve"> Darbo grupė Nacionalinio saugumo strategijai (toliau – Strategija) atnaujinti nustatydama Strategijos atnaujinimo parametrus priėmė sprendimą vidutinio ir ilgojo laikotarpi</w:t>
            </w:r>
            <w:r w:rsidR="00C61526">
              <w:rPr>
                <w:bCs/>
                <w:lang w:val="lt-LT"/>
              </w:rPr>
              <w:t>ų</w:t>
            </w:r>
            <w:r>
              <w:rPr>
                <w:bCs/>
                <w:lang w:val="lt-LT"/>
              </w:rPr>
              <w:t xml:space="preserve"> prioritetų bei uždavinių neišskirti. Pagrindinės priežastys:</w:t>
            </w:r>
          </w:p>
          <w:p w14:paraId="73AF15EF" w14:textId="24F9B07F" w:rsidR="00E145D7" w:rsidRDefault="00610831">
            <w:pPr>
              <w:numPr>
                <w:ilvl w:val="0"/>
                <w:numId w:val="1"/>
              </w:numPr>
              <w:ind w:left="28" w:firstLine="425"/>
              <w:jc w:val="both"/>
            </w:pPr>
            <w:r>
              <w:rPr>
                <w:bCs/>
                <w:lang w:val="lt-LT"/>
              </w:rPr>
              <w:t>Darbo grupės prašymu institucijoms teikiant siūlymus dėl uždavinių buvo nustatyta, kad keliami uždaviniai būtų aktualūs tiek vidutinėje, tiek ilgalaikėje perspektyvoje. Būtent tokie uždaviniai buvo reglamentuoti Strategijos projekte</w:t>
            </w:r>
            <w:r w:rsidR="00C61526">
              <w:rPr>
                <w:bCs/>
                <w:lang w:val="lt-LT"/>
              </w:rPr>
              <w:t>.</w:t>
            </w:r>
          </w:p>
          <w:p w14:paraId="73AF15F0" w14:textId="36E4DB99" w:rsidR="00E145D7" w:rsidRDefault="00610831">
            <w:pPr>
              <w:numPr>
                <w:ilvl w:val="0"/>
                <w:numId w:val="1"/>
              </w:numPr>
              <w:ind w:left="28" w:firstLine="425"/>
              <w:jc w:val="both"/>
              <w:rPr>
                <w:bCs/>
                <w:lang w:val="lt-LT"/>
              </w:rPr>
            </w:pPr>
            <w:r>
              <w:rPr>
                <w:bCs/>
                <w:lang w:val="lt-LT"/>
              </w:rPr>
              <w:t xml:space="preserve">Kadangi institucijos, įgyvendinančios nacionalinio saugumo politiką, veikia kartu, o dalis uždavinių </w:t>
            </w:r>
            <w:r w:rsidR="0082610D">
              <w:rPr>
                <w:bCs/>
                <w:lang w:val="lt-LT"/>
              </w:rPr>
              <w:t>sutampa</w:t>
            </w:r>
            <w:bookmarkStart w:id="0" w:name="_GoBack"/>
            <w:bookmarkEnd w:id="0"/>
            <w:r w:rsidR="0082610D">
              <w:rPr>
                <w:bCs/>
                <w:lang w:val="lt-LT"/>
              </w:rPr>
              <w:t xml:space="preserve"> </w:t>
            </w:r>
            <w:r>
              <w:rPr>
                <w:bCs/>
                <w:lang w:val="lt-LT"/>
              </w:rPr>
              <w:t>bei apima kelias sritis, jie skirtingoms institucijoms gali būti aktualūs skirtingu laiku</w:t>
            </w:r>
            <w:r w:rsidR="00C61526">
              <w:rPr>
                <w:bCs/>
                <w:lang w:val="lt-LT"/>
              </w:rPr>
              <w:t>.</w:t>
            </w:r>
          </w:p>
          <w:p w14:paraId="73AF15F1" w14:textId="04C957B3" w:rsidR="00E145D7" w:rsidRDefault="00610831" w:rsidP="00C61526">
            <w:pPr>
              <w:numPr>
                <w:ilvl w:val="0"/>
                <w:numId w:val="1"/>
              </w:numPr>
              <w:ind w:left="28" w:firstLine="425"/>
              <w:jc w:val="both"/>
              <w:rPr>
                <w:bCs/>
                <w:lang w:val="lt-LT"/>
              </w:rPr>
            </w:pPr>
            <w:r>
              <w:rPr>
                <w:bCs/>
                <w:lang w:val="lt-LT"/>
              </w:rPr>
              <w:t>Tradiciškai ankstesnėse Strategijos redakcijose nacionalinio saugumo prioritetai ir uždaviniai buvo dėstomi bendrai, neišskiriant jų į vidutinio ir ilgojo laikotarpio.</w:t>
            </w:r>
          </w:p>
        </w:tc>
      </w:tr>
      <w:tr w:rsidR="00E145D7" w14:paraId="73AF15F9" w14:textId="77777777">
        <w:tc>
          <w:tcPr>
            <w:tcW w:w="1750" w:type="dxa"/>
            <w:tcBorders>
              <w:top w:val="single" w:sz="4" w:space="0" w:color="000000"/>
              <w:left w:val="single" w:sz="4" w:space="0" w:color="000000"/>
              <w:bottom w:val="single" w:sz="4" w:space="0" w:color="000000"/>
              <w:right w:val="single" w:sz="4" w:space="0" w:color="000000"/>
            </w:tcBorders>
          </w:tcPr>
          <w:p w14:paraId="73AF15F3" w14:textId="77777777" w:rsidR="00E145D7" w:rsidRDefault="00610831">
            <w:pPr>
              <w:jc w:val="center"/>
              <w:rPr>
                <w:b/>
                <w:lang w:val="lt-LT"/>
              </w:rPr>
            </w:pPr>
            <w:r>
              <w:rPr>
                <w:b/>
                <w:lang w:val="lt-LT"/>
              </w:rPr>
              <w:t>Lietuvos Respublikos Vyriausybės Kanceliarija</w:t>
            </w:r>
          </w:p>
          <w:p w14:paraId="73AF15F4" w14:textId="77777777" w:rsidR="00E145D7" w:rsidRDefault="00610831">
            <w:pPr>
              <w:jc w:val="center"/>
              <w:rPr>
                <w:b/>
                <w:lang w:val="lt-LT"/>
              </w:rPr>
            </w:pPr>
            <w:r>
              <w:rPr>
                <w:b/>
                <w:lang w:val="lt-LT"/>
              </w:rPr>
              <w:t>Strateginio planavimo ir stebėsenos grupė</w:t>
            </w:r>
          </w:p>
          <w:p w14:paraId="73AF15F5" w14:textId="77777777" w:rsidR="00E145D7" w:rsidRDefault="00610831">
            <w:pPr>
              <w:jc w:val="center"/>
              <w:rPr>
                <w:b/>
                <w:lang w:val="lt-LT"/>
              </w:rPr>
            </w:pPr>
            <w:r>
              <w:rPr>
                <w:b/>
                <w:lang w:val="lt-LT"/>
              </w:rPr>
              <w:t>Grėsmių valdymo ir krizių prevencijos grupė</w:t>
            </w:r>
          </w:p>
          <w:p w14:paraId="73AF15F6" w14:textId="77777777" w:rsidR="00E145D7" w:rsidRDefault="00610831">
            <w:pPr>
              <w:jc w:val="center"/>
              <w:rPr>
                <w:b/>
                <w:lang w:val="lt-LT"/>
              </w:rPr>
            </w:pPr>
            <w:r>
              <w:rPr>
                <w:b/>
                <w:lang w:val="lt-LT"/>
              </w:rPr>
              <w:t xml:space="preserve"> (2021-09-21 Nr. NV-2264)</w:t>
            </w:r>
          </w:p>
        </w:tc>
        <w:tc>
          <w:tcPr>
            <w:tcW w:w="7147" w:type="dxa"/>
            <w:tcBorders>
              <w:top w:val="single" w:sz="4" w:space="0" w:color="000000"/>
              <w:left w:val="single" w:sz="4" w:space="0" w:color="000000"/>
              <w:bottom w:val="single" w:sz="4" w:space="0" w:color="000000"/>
              <w:right w:val="single" w:sz="4" w:space="0" w:color="000000"/>
            </w:tcBorders>
          </w:tcPr>
          <w:p w14:paraId="73AF15F7" w14:textId="25F82BD0" w:rsidR="00E145D7" w:rsidRDefault="00610831" w:rsidP="00C61526">
            <w:pPr>
              <w:ind w:left="72"/>
              <w:jc w:val="both"/>
              <w:rPr>
                <w:lang w:val="lt-LT"/>
              </w:rPr>
            </w:pPr>
            <w:r>
              <w:rPr>
                <w:lang w:val="lt-LT"/>
              </w:rPr>
              <w:t>2. Abejojame dėl Projekte numatytų uždavinių skaičiaus ir jų detalumo. Lietuvos Respublikos strateginio valdymo įstatyme nustatyta, kad pažangos uždavinys yra tam tikros valstybės veiklos srities pokytis. Vertinant</w:t>
            </w:r>
            <w:r w:rsidR="00C61526">
              <w:rPr>
                <w:lang w:val="lt-LT"/>
              </w:rPr>
              <w:t>,</w:t>
            </w:r>
            <w:r>
              <w:rPr>
                <w:lang w:val="lt-LT"/>
              </w:rPr>
              <w:t xml:space="preserve"> kaip kituose strateginio lygmens planavimo dokumentuose dėstomi uždaviniai, Projekte siekiami nustatyti uždaviniai atitiktų programavimo lygmens dokumentų logiką. Tačiau Projekte nustačius tiek uždavinių ir juos taip detaliai aprašius, nėra aišku, kokios priemonės bus nustatomos ilgalaikėse valstybinėse saugumo stiprinimo programose, kuriomis būtų įgyvendinamos Projekto nuostatos. Atsižvelgdami į tai, siūlytume įvertinti, ar nebūtų tikslinga Projekte nustatyti tik esminius uždavinius.</w:t>
            </w:r>
          </w:p>
        </w:tc>
        <w:tc>
          <w:tcPr>
            <w:tcW w:w="5670" w:type="dxa"/>
            <w:tcBorders>
              <w:top w:val="single" w:sz="4" w:space="0" w:color="000000"/>
              <w:left w:val="single" w:sz="4" w:space="0" w:color="000000"/>
              <w:bottom w:val="single" w:sz="4" w:space="0" w:color="000000"/>
              <w:right w:val="single" w:sz="4" w:space="0" w:color="000000"/>
            </w:tcBorders>
          </w:tcPr>
          <w:p w14:paraId="73AF15F8" w14:textId="5C30FB6B" w:rsidR="00E145D7" w:rsidRDefault="00610831" w:rsidP="00610831">
            <w:pPr>
              <w:jc w:val="both"/>
              <w:rPr>
                <w:bCs/>
                <w:lang w:val="lt-LT"/>
              </w:rPr>
            </w:pPr>
            <w:r>
              <w:rPr>
                <w:bCs/>
                <w:u w:val="single"/>
                <w:lang w:val="lt-LT"/>
              </w:rPr>
              <w:t>Neatsižvelgta.</w:t>
            </w:r>
            <w:r>
              <w:rPr>
                <w:bCs/>
                <w:lang w:val="lt-LT"/>
              </w:rPr>
              <w:t xml:space="preserve"> Strategija nėra tipinis planavimo dokumentas – Lietuvos Respublikos strateginio valdymo įstatyme (toliau – SVĮ) pažymima, kad jis rengiamas vadovaujantis Lietuvos Respublikos nacionalinio saugumo pagrindų įstatymu. SVĮ taip pat pažymima</w:t>
            </w:r>
            <w:r w:rsidR="00C61526">
              <w:rPr>
                <w:bCs/>
                <w:lang w:val="lt-LT"/>
              </w:rPr>
              <w:t>,</w:t>
            </w:r>
            <w:r>
              <w:rPr>
                <w:bCs/>
                <w:lang w:val="lt-LT"/>
              </w:rPr>
              <w:t xml:space="preserve"> kad Strategijoje įtvirtinami uždaviniai valstybės saugumo būklei užtikrinti. Strategija ne tik brėžia ilgalaikę strateginę kryptį, bet yra ir „svarbiausių saugią Lietuvos valstybės ir visuomenės raidą lemiančių nuostatų visuma“ (Strategijos 1 p.)</w:t>
            </w:r>
            <w:r w:rsidR="00C61526">
              <w:rPr>
                <w:bCs/>
                <w:lang w:val="lt-LT"/>
              </w:rPr>
              <w:t>.</w:t>
            </w:r>
            <w:r>
              <w:rPr>
                <w:bCs/>
                <w:lang w:val="lt-LT"/>
              </w:rPr>
              <w:t xml:space="preserve"> Darbo grupėje buvo priimtas sprendimas, kad dėl specifinės Strategijos vietos dokumentų hierarchijoje ši nuostatų visuma turėtų būti išsami. Ilgalaikėse valstybinėse saugumo stiprinimo programose, kaip ir kituose šią Strategiją įgyvendinančiuose planavimo dokumentuose, Strategijos nuostatos bus detalizuotos, susietos su įgyvendinimo terminais ir resursais, tačiau išsamus uždavinių išdėstymas buvo reikalingas siekiant Strategijoje pristatyti svarbiausių nuostatų visumą, visapusiškai atskleidžiančią nacionalinio saugumo politikos kryptį.  </w:t>
            </w:r>
          </w:p>
        </w:tc>
      </w:tr>
    </w:tbl>
    <w:p w14:paraId="73AF15FA" w14:textId="77777777" w:rsidR="00E145D7" w:rsidRDefault="00E145D7">
      <w:pPr>
        <w:rPr>
          <w:lang w:val="lt-LT"/>
        </w:rPr>
      </w:pPr>
    </w:p>
    <w:p w14:paraId="73AF15FB" w14:textId="77777777" w:rsidR="00E145D7" w:rsidRDefault="00610831">
      <w:pPr>
        <w:jc w:val="center"/>
        <w:rPr>
          <w:lang w:val="lt-LT"/>
        </w:rPr>
      </w:pPr>
      <w:r>
        <w:rPr>
          <w:lang w:val="lt-LT"/>
        </w:rPr>
        <w:t>________________________________________</w:t>
      </w:r>
    </w:p>
    <w:p w14:paraId="73AF15FC" w14:textId="77777777" w:rsidR="00E145D7" w:rsidRDefault="00E145D7">
      <w:pPr>
        <w:rPr>
          <w:lang w:val="lt-LT"/>
        </w:rPr>
      </w:pPr>
    </w:p>
    <w:p w14:paraId="73AF15FD" w14:textId="77777777" w:rsidR="00E145D7" w:rsidRDefault="00E145D7">
      <w:pPr>
        <w:rPr>
          <w:lang w:val="lt-LT"/>
        </w:rPr>
      </w:pPr>
    </w:p>
    <w:sectPr w:rsidR="00E145D7">
      <w:headerReference w:type="default" r:id="rId7"/>
      <w:footerReference w:type="default" r:id="rId8"/>
      <w:pgSz w:w="15840" w:h="12240" w:orient="landscape"/>
      <w:pgMar w:top="1701" w:right="567" w:bottom="1134" w:left="1134" w:header="720" w:footer="72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F1607" w14:textId="77777777" w:rsidR="008E74D5" w:rsidRDefault="00610831">
      <w:r>
        <w:separator/>
      </w:r>
    </w:p>
  </w:endnote>
  <w:endnote w:type="continuationSeparator" w:id="0">
    <w:p w14:paraId="73AF1609" w14:textId="77777777" w:rsidR="008E74D5" w:rsidRDefault="0061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ourier">
    <w:panose1 w:val="02070309020205020404"/>
    <w:charset w:val="00"/>
    <w:family w:val="moder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F1600" w14:textId="77777777" w:rsidR="00E145D7" w:rsidRDefault="00610831">
    <w:pPr>
      <w:pStyle w:val="Footer"/>
      <w:ind w:right="360"/>
    </w:pPr>
    <w:r>
      <w:rPr>
        <w:noProof/>
        <w:lang w:eastAsia="en-US"/>
      </w:rPr>
      <mc:AlternateContent>
        <mc:Choice Requires="wps">
          <w:drawing>
            <wp:anchor distT="0" distB="0" distL="0" distR="0" simplePos="0" relativeHeight="2" behindDoc="0" locked="0" layoutInCell="0" allowOverlap="1" wp14:anchorId="73AF1603" wp14:editId="73AF1604">
              <wp:simplePos x="0" y="0"/>
              <wp:positionH relativeFrom="margin">
                <wp:align>right</wp:align>
              </wp:positionH>
              <wp:positionV relativeFrom="paragraph">
                <wp:posOffset>635</wp:posOffset>
              </wp:positionV>
              <wp:extent cx="1460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14:paraId="73AF1605" w14:textId="77777777" w:rsidR="00E145D7" w:rsidRDefault="00E145D7">
                          <w:pPr>
                            <w:pStyle w:val="Footer"/>
                            <w:rPr>
                              <w:rStyle w:val="PageNumber"/>
                            </w:rPr>
                          </w:pPr>
                        </w:p>
                      </w:txbxContent>
                    </wps:txbx>
                    <wps:bodyPr lIns="0" tIns="0" rIns="0" bIns="0" anchor="t">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705.8pt;mso-position-horizontal:right;mso-position-horizontal-relative:margin">
              <v:fill opacity="0f"/>
              <v:textbox inset="0in,0in,0in,0in">
                <w:txbxContent>
                  <w:p>
                    <w:pPr>
                      <w:pStyle w:val="Footer"/>
                      <w:rPr>
                        <w:rStyle w:val="PageNumber"/>
                      </w:rPr>
                    </w:pPr>
                    <w:r>
                      <w:rPr/>
                    </w:r>
                  </w:p>
                </w:txbxContent>
              </v:textbox>
              <w10:wrap type="square" side="larges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F1603" w14:textId="77777777" w:rsidR="008E74D5" w:rsidRDefault="00610831">
      <w:r>
        <w:separator/>
      </w:r>
    </w:p>
  </w:footnote>
  <w:footnote w:type="continuationSeparator" w:id="0">
    <w:p w14:paraId="73AF1605" w14:textId="77777777" w:rsidR="008E74D5" w:rsidRDefault="00610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F15FE" w14:textId="0EC92A3E" w:rsidR="00E145D7" w:rsidRDefault="00610831">
    <w:pPr>
      <w:pStyle w:val="Header"/>
      <w:jc w:val="center"/>
    </w:pPr>
    <w:r>
      <w:fldChar w:fldCharType="begin"/>
    </w:r>
    <w:r>
      <w:instrText>PAGE</w:instrText>
    </w:r>
    <w:r>
      <w:fldChar w:fldCharType="separate"/>
    </w:r>
    <w:r w:rsidR="0082610D">
      <w:rPr>
        <w:noProof/>
      </w:rPr>
      <w:t>2</w:t>
    </w:r>
    <w:r>
      <w:fldChar w:fldCharType="end"/>
    </w:r>
  </w:p>
  <w:p w14:paraId="73AF15FF" w14:textId="77777777" w:rsidR="00E145D7" w:rsidRDefault="00E14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62005"/>
    <w:multiLevelType w:val="multilevel"/>
    <w:tmpl w:val="48AA2116"/>
    <w:lvl w:ilvl="0">
      <w:start w:val="1"/>
      <w:numFmt w:val="decimal"/>
      <w:lvlText w:val="%1."/>
      <w:lvlJc w:val="left"/>
      <w:pPr>
        <w:tabs>
          <w:tab w:val="num" w:pos="0"/>
        </w:tabs>
        <w:ind w:left="720" w:hanging="360"/>
      </w:pPr>
      <w:rPr>
        <w:bCs/>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7D744D"/>
    <w:multiLevelType w:val="multilevel"/>
    <w:tmpl w:val="F62CAA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5D7"/>
    <w:rsid w:val="00610831"/>
    <w:rsid w:val="0082610D"/>
    <w:rsid w:val="008E74D5"/>
    <w:rsid w:val="00C61526"/>
    <w:rsid w:val="00E145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15DF"/>
  <w15:docId w15:val="{ED222963-52E1-4AC5-886F-2B88A786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Cs/>
      <w:lang w:val="lt-LT"/>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ourier" w:eastAsia="Courier" w:hAnsi="Courier" w:cs="Courier"/>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Courier" w:hAnsi="Courier" w:cs="Courier"/>
      <w:color w:val="000000"/>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Courier" w:eastAsia="Courier" w:hAnsi="Courier" w:cs="Courier"/>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sz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Courier" w:eastAsia="Courier" w:hAnsi="Courier" w:cs="Courier"/>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Courier" w:eastAsia="Courier" w:hAnsi="Courier" w:cs="Courier"/>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Courier" w:hAnsi="Courier" w:cs="Courier"/>
      <w:color w:val="000000"/>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b w:val="0"/>
    </w:rPr>
  </w:style>
  <w:style w:type="character" w:customStyle="1" w:styleId="WW8Num22z1">
    <w:name w:val="WW8Num22z1"/>
    <w:qFormat/>
    <w:rPr>
      <w:i w:val="0"/>
    </w:rPr>
  </w:style>
  <w:style w:type="character" w:customStyle="1" w:styleId="WW8Num22z2">
    <w:name w:val="WW8Num22z2"/>
    <w:qFormat/>
    <w:rPr>
      <w:b w:val="0"/>
    </w:rPr>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Courier" w:eastAsia="Courier" w:hAnsi="Courier" w:cs="Courier"/>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sz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imes New Roman" w:eastAsia="Times New Roman" w:hAnsi="Times New Roman" w:cs="Times New Roman"/>
      <w:b w:val="0"/>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Courier" w:eastAsia="Courier" w:hAnsi="Courier" w:cs="Courier"/>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Courier" w:eastAsia="Courier" w:hAnsi="Courier" w:cs="Courier"/>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Courier" w:eastAsia="Courier" w:hAnsi="Courier" w:cs="Courier"/>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Courier" w:eastAsia="Courier" w:hAnsi="Courier" w:cs="Courier"/>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styleId="PageNumber">
    <w:name w:val="page number"/>
    <w:basedOn w:val="DefaultParagraphFont"/>
  </w:style>
  <w:style w:type="character" w:styleId="Hyperlink">
    <w:name w:val="Hyperlink"/>
    <w:rPr>
      <w:color w:val="000000"/>
      <w:u w:val="single"/>
    </w:rPr>
  </w:style>
  <w:style w:type="character" w:customStyle="1" w:styleId="datametai">
    <w:name w:val="datametai"/>
    <w:basedOn w:val="DefaultParagraphFont"/>
    <w:qFormat/>
  </w:style>
  <w:style w:type="character" w:customStyle="1" w:styleId="datamnuo">
    <w:name w:val="datamnuo"/>
    <w:basedOn w:val="DefaultParagraphFont"/>
    <w:qFormat/>
  </w:style>
  <w:style w:type="character" w:customStyle="1" w:styleId="datadiena">
    <w:name w:val="datadiena"/>
    <w:basedOn w:val="DefaultParagraphFont"/>
    <w:qFormat/>
  </w:style>
  <w:style w:type="character" w:customStyle="1" w:styleId="statymonr">
    <w:name w:val="statymonr"/>
    <w:basedOn w:val="DefaultParagraphFont"/>
    <w:qFormat/>
  </w:style>
  <w:style w:type="character" w:customStyle="1" w:styleId="HTMLPreformattedChar">
    <w:name w:val="HTML Preformatted Char"/>
    <w:qFormat/>
    <w:rPr>
      <w:rFonts w:ascii="Courier New" w:hAnsi="Courier New" w:cs="Courier New"/>
      <w:lang w:val="lt-LT" w:bidi="ar-SA"/>
    </w:rPr>
  </w:style>
  <w:style w:type="character" w:customStyle="1" w:styleId="HeaderChar">
    <w:name w:val="Header Char"/>
    <w:qFormat/>
    <w:rPr>
      <w:sz w:val="24"/>
      <w:lang w:val="lt-LT" w:bidi="ar-SA"/>
    </w:rPr>
  </w:style>
  <w:style w:type="character" w:customStyle="1" w:styleId="dpav">
    <w:name w:val="dpav"/>
    <w:qFormat/>
    <w:rPr>
      <w:sz w:val="26"/>
      <w:szCs w:val="26"/>
    </w:rPr>
  </w:style>
  <w:style w:type="character" w:customStyle="1" w:styleId="BalloonTextChar">
    <w:name w:val="Balloon Text Char"/>
    <w:qFormat/>
    <w:rPr>
      <w:rFonts w:ascii="Tahoma" w:hAnsi="Tahoma" w:cs="Tahoma"/>
      <w:sz w:val="16"/>
      <w:szCs w:val="16"/>
      <w:lang w:val="en-US"/>
    </w:rPr>
  </w:style>
  <w:style w:type="character" w:styleId="CommentReference">
    <w:name w:val="annotation reference"/>
    <w:qFormat/>
    <w:rPr>
      <w:sz w:val="16"/>
      <w:szCs w:val="16"/>
    </w:rPr>
  </w:style>
  <w:style w:type="character" w:customStyle="1" w:styleId="CommentTextChar">
    <w:name w:val="Comment Text Char"/>
    <w:qFormat/>
    <w:rPr>
      <w:lang w:val="en-US"/>
    </w:rPr>
  </w:style>
  <w:style w:type="character" w:customStyle="1" w:styleId="CommentSubjectChar">
    <w:name w:val="Comment Subject Char"/>
    <w:qFormat/>
    <w:rPr>
      <w:b/>
      <w:bCs/>
      <w:lang w:val="en-US"/>
    </w:rPr>
  </w:style>
  <w:style w:type="paragraph" w:customStyle="1" w:styleId="Heading">
    <w:name w:val="Heading"/>
    <w:basedOn w:val="Normal"/>
    <w:next w:val="BodyText"/>
    <w:qFormat/>
    <w:pPr>
      <w:jc w:val="center"/>
    </w:pPr>
    <w:rPr>
      <w:b/>
      <w:bCs/>
      <w:lang w:val="lt-LT"/>
    </w:rPr>
  </w:style>
  <w:style w:type="paragraph" w:styleId="BodyText">
    <w:name w:val="Body Text"/>
    <w:basedOn w:val="Normal"/>
    <w:pPr>
      <w:overflowPunct w:val="0"/>
      <w:autoSpaceDE w:val="0"/>
      <w:spacing w:line="360" w:lineRule="auto"/>
      <w:jc w:val="both"/>
      <w:textAlignment w:val="baseline"/>
    </w:pPr>
    <w:rPr>
      <w:szCs w:val="20"/>
      <w:lang w:val="lt-LT"/>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
    <w:name w:val="Body Text Indent"/>
    <w:basedOn w:val="Normal"/>
    <w:pPr>
      <w:spacing w:after="120"/>
      <w:ind w:left="283"/>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986"/>
        <w:tab w:val="right" w:pos="9972"/>
      </w:tabs>
    </w:pPr>
  </w:style>
  <w:style w:type="paragraph" w:customStyle="1" w:styleId="InstitucijosPavadinimas">
    <w:name w:val="InstitucijosPavadinimas"/>
    <w:basedOn w:val="Normal"/>
    <w:qFormat/>
    <w:pPr>
      <w:spacing w:line="360" w:lineRule="auto"/>
      <w:ind w:firstLine="720"/>
      <w:jc w:val="center"/>
    </w:pPr>
    <w:rPr>
      <w:rFonts w:ascii="TimesLT;Times New Roman" w:hAnsi="TimesLT;Times New Roman" w:cs="TimesLT;Times New Roman"/>
      <w:sz w:val="22"/>
      <w:szCs w:val="22"/>
      <w:lang w:val="lt-LT" w:bidi="sa-IN"/>
    </w:rPr>
  </w:style>
  <w:style w:type="paragraph" w:styleId="Header">
    <w:name w:val="header"/>
    <w:basedOn w:val="Normal"/>
    <w:pPr>
      <w:tabs>
        <w:tab w:val="center" w:pos="4153"/>
        <w:tab w:val="right" w:pos="8306"/>
      </w:tabs>
    </w:pPr>
    <w:rPr>
      <w:szCs w:val="20"/>
      <w:lang w:val="lt-LT"/>
    </w:rPr>
  </w:style>
  <w:style w:type="paragraph" w:styleId="BodyText2">
    <w:name w:val="Body Text 2"/>
    <w:basedOn w:val="Normal"/>
    <w:qFormat/>
    <w:pPr>
      <w:spacing w:after="120" w:line="480" w:lineRule="auto"/>
    </w:pPr>
    <w:rPr>
      <w:szCs w:val="20"/>
      <w:lang w:val="en-GB"/>
    </w:rPr>
  </w:style>
  <w:style w:type="paragraph" w:customStyle="1" w:styleId="dokparasas">
    <w:name w:val="dokparasas"/>
    <w:basedOn w:val="Normal"/>
    <w:qFormat/>
    <w:pPr>
      <w:spacing w:before="280" w:after="280"/>
    </w:pPr>
    <w:rPr>
      <w:lang w:val="lt-LT" w:bidi="sa-IN"/>
    </w:rPr>
  </w:style>
  <w:style w:type="paragraph" w:customStyle="1" w:styleId="statymopavad">
    <w:name w:val="statymopavad"/>
    <w:basedOn w:val="Normal"/>
    <w:qFormat/>
    <w:pPr>
      <w:spacing w:before="280" w:after="280"/>
    </w:pPr>
    <w:rPr>
      <w:lang w:val="lt-LT" w:bidi="sa-IN"/>
    </w:rPr>
  </w:style>
  <w:style w:type="paragraph" w:customStyle="1" w:styleId="Hyperlink1">
    <w:name w:val="Hyperlink1"/>
    <w:basedOn w:val="Normal"/>
    <w:qFormat/>
    <w:pPr>
      <w:spacing w:before="280" w:after="280"/>
    </w:pPr>
    <w:rPr>
      <w:lang w:val="lt-LT" w:bidi="sa-IN"/>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customStyle="1" w:styleId="msolistparagraph0">
    <w:name w:val="msolistparagraph"/>
    <w:basedOn w:val="Normal"/>
    <w:qFormat/>
    <w:pPr>
      <w:spacing w:before="280" w:after="280"/>
    </w:pPr>
  </w:style>
  <w:style w:type="paragraph" w:customStyle="1" w:styleId="msolistparagraphcxspmiddle">
    <w:name w:val="msolistparagraphcxspmiddle"/>
    <w:basedOn w:val="Normal"/>
    <w:qFormat/>
    <w:pPr>
      <w:spacing w:before="280" w:after="280"/>
    </w:pPr>
  </w:style>
  <w:style w:type="paragraph" w:customStyle="1" w:styleId="msolistparagraphcxsplast">
    <w:name w:val="msolistparagraphcxsplast"/>
    <w:basedOn w:val="Normal"/>
    <w:qFormat/>
    <w:pPr>
      <w:spacing w:before="280" w:after="280"/>
    </w:pPr>
  </w:style>
  <w:style w:type="paragraph" w:styleId="BodyText3">
    <w:name w:val="Body Text 3"/>
    <w:basedOn w:val="Normal"/>
    <w:qFormat/>
    <w:pPr>
      <w:spacing w:after="120"/>
    </w:pPr>
    <w:rPr>
      <w:sz w:val="16"/>
      <w:szCs w:val="16"/>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DĖL LIETUVOS RESPUBLIKOS VYRIAUSYBĖS NUTARIMO „DĖL LIETUVOS RESPUBLIKOS VYRIAUSYBĖS 2001 LAPKRIČIO 27 NUTARIMO NR</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2021-09-27T11:31:00Z</dcterms:created>
  <dc:creator>laura.maciulskaite</dc:creator>
  <cp:keywords> </cp:keywords>
  <dc:language>lt-LT</dc:language>
  <cp:lastModifiedBy>Vytautas Keršanskas</cp:lastModifiedBy>
  <cp:lastPrinted>2016-05-17T10:35:00Z</cp:lastPrinted>
  <dcterms:modified xsi:type="dcterms:W3CDTF">2021-09-27T11:31:00Z</dcterms:modified>
  <cp:revision>2</cp:revision>
  <dc:title>DĖL LIETUVOS RESPUBLIKOS VYRIAUSYBĖS NUTARIMO „DĖL LIETUVOS RESPUBLIKOS VYRIAUSYBĖS 2001 LAPKRIČIO 27 NUTARIMO NR</dc:title>
</cp:coreProperties>
</file>