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3D63" w14:textId="77777777" w:rsidR="002E5526" w:rsidRDefault="002E6017" w:rsidP="007E7A84">
      <w:pPr>
        <w:pStyle w:val="BodyText"/>
        <w:spacing w:after="0"/>
        <w:jc w:val="center"/>
        <w:rPr>
          <w:b/>
          <w:bCs/>
          <w:caps/>
        </w:rPr>
      </w:pPr>
      <w:r w:rsidRPr="007E7A84">
        <w:rPr>
          <w:b/>
          <w:bCs/>
        </w:rPr>
        <w:t xml:space="preserve">LIETUVOS RESPUBLIKOS </w:t>
      </w:r>
      <w:r w:rsidR="00C37F78" w:rsidRPr="007E7A84">
        <w:rPr>
          <w:b/>
          <w:bCs/>
        </w:rPr>
        <w:t>VYRIAUSYBĖS NUTARIMO</w:t>
      </w:r>
      <w:r w:rsidR="007E7A84" w:rsidRPr="007E7A84">
        <w:rPr>
          <w:b/>
          <w:bCs/>
        </w:rPr>
        <w:t xml:space="preserve"> ,,</w:t>
      </w:r>
      <w:r w:rsidR="007E7A84" w:rsidRPr="007E7A84">
        <w:rPr>
          <w:b/>
          <w:bCs/>
          <w:caps/>
        </w:rPr>
        <w:t xml:space="preserve">DĖL LIetuvos respublikos Farmacijos įstatymo </w:t>
      </w:r>
    </w:p>
    <w:p w14:paraId="3C91AB8C" w14:textId="77777777" w:rsidR="008A380B" w:rsidRPr="007E7A84" w:rsidRDefault="007E7A84" w:rsidP="007E7A84">
      <w:pPr>
        <w:pStyle w:val="BodyText"/>
        <w:spacing w:after="0"/>
        <w:jc w:val="center"/>
        <w:rPr>
          <w:b/>
          <w:szCs w:val="24"/>
          <w:lang w:eastAsia="en-US"/>
        </w:rPr>
      </w:pPr>
      <w:r w:rsidRPr="007E7A84">
        <w:rPr>
          <w:b/>
          <w:bCs/>
          <w:caps/>
        </w:rPr>
        <w:t>Nr.</w:t>
      </w:r>
      <w:r w:rsidRPr="001551D0">
        <w:rPr>
          <w:b/>
          <w:bCs/>
          <w:caps/>
        </w:rPr>
        <w:t xml:space="preserve"> X-709 8, 57 ir 59 straipsnių pakeitimo įstatymo projekto Nr. XIVP-337 </w:t>
      </w:r>
      <w:r w:rsidR="00C37F78">
        <w:t>“</w:t>
      </w:r>
    </w:p>
    <w:p w14:paraId="3B6EF69F" w14:textId="77777777" w:rsidR="0059724C" w:rsidRPr="0078520A" w:rsidRDefault="00DA7E94" w:rsidP="008A380B">
      <w:pPr>
        <w:pStyle w:val="Heading2"/>
        <w:rPr>
          <w:color w:val="000000"/>
        </w:rPr>
      </w:pPr>
      <w:bookmarkStart w:id="0" w:name="1z"/>
      <w:bookmarkEnd w:id="0"/>
      <w:r w:rsidRPr="0078520A">
        <w:rPr>
          <w:color w:val="000000"/>
        </w:rPr>
        <w:t>P</w:t>
      </w:r>
      <w:r w:rsidR="00880E01" w:rsidRPr="0078520A">
        <w:rPr>
          <w:color w:val="000000"/>
        </w:rPr>
        <w:t>ROJEKTO</w:t>
      </w:r>
      <w:r w:rsidR="001F4F06" w:rsidRPr="0078520A">
        <w:rPr>
          <w:color w:val="000000"/>
        </w:rPr>
        <w:t xml:space="preserve"> </w:t>
      </w:r>
      <w:r w:rsidR="0059724C" w:rsidRPr="0078520A">
        <w:rPr>
          <w:color w:val="000000"/>
        </w:rPr>
        <w:t>DERINIMO PAŽYMA</w:t>
      </w:r>
    </w:p>
    <w:p w14:paraId="2AF806A8" w14:textId="77777777" w:rsidR="0059724C" w:rsidRPr="0078520A" w:rsidRDefault="0059724C" w:rsidP="00CA385B">
      <w:pPr>
        <w:jc w:val="both"/>
        <w:rPr>
          <w:b/>
          <w:color w:val="000000"/>
          <w:sz w:val="22"/>
          <w:szCs w:val="22"/>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588"/>
        <w:gridCol w:w="7655"/>
        <w:gridCol w:w="3639"/>
      </w:tblGrid>
      <w:tr w:rsidR="0059724C" w:rsidRPr="0078520A" w14:paraId="45F7DDB6" w14:textId="77777777" w:rsidTr="00985616">
        <w:trPr>
          <w:trHeight w:val="1069"/>
        </w:trPr>
        <w:tc>
          <w:tcPr>
            <w:tcW w:w="1788" w:type="dxa"/>
            <w:shd w:val="clear" w:color="auto" w:fill="auto"/>
          </w:tcPr>
          <w:p w14:paraId="08242D28" w14:textId="77777777" w:rsidR="0059724C" w:rsidRPr="0078520A" w:rsidRDefault="00B4097E" w:rsidP="001F4405">
            <w:pPr>
              <w:jc w:val="both"/>
              <w:rPr>
                <w:color w:val="000000"/>
              </w:rPr>
            </w:pPr>
            <w:r>
              <w:rPr>
                <w:color w:val="000000"/>
              </w:rPr>
              <w:t>Institucija</w:t>
            </w:r>
            <w:r w:rsidR="00480BEF" w:rsidRPr="0078520A">
              <w:rPr>
                <w:color w:val="000000"/>
              </w:rPr>
              <w:t xml:space="preserve">, </w:t>
            </w:r>
            <w:r w:rsidR="00A94251" w:rsidRPr="0078520A">
              <w:rPr>
                <w:color w:val="000000"/>
              </w:rPr>
              <w:t xml:space="preserve"> pateik</w:t>
            </w:r>
            <w:r>
              <w:rPr>
                <w:color w:val="000000"/>
              </w:rPr>
              <w:t>u</w:t>
            </w:r>
            <w:r w:rsidR="00480BEF" w:rsidRPr="0078520A">
              <w:rPr>
                <w:color w:val="000000"/>
              </w:rPr>
              <w:t>s</w:t>
            </w:r>
            <w:r>
              <w:rPr>
                <w:color w:val="000000"/>
              </w:rPr>
              <w:t>i</w:t>
            </w:r>
            <w:r w:rsidR="00480BEF" w:rsidRPr="0078520A">
              <w:rPr>
                <w:color w:val="000000"/>
              </w:rPr>
              <w:t xml:space="preserve"> </w:t>
            </w:r>
            <w:r w:rsidR="00A94251" w:rsidRPr="0078520A">
              <w:rPr>
                <w:color w:val="000000"/>
              </w:rPr>
              <w:t>pastabas ir pasiūlymus</w:t>
            </w:r>
          </w:p>
        </w:tc>
        <w:tc>
          <w:tcPr>
            <w:tcW w:w="588" w:type="dxa"/>
            <w:shd w:val="clear" w:color="auto" w:fill="auto"/>
          </w:tcPr>
          <w:p w14:paraId="6EE50E00" w14:textId="77777777" w:rsidR="0059724C" w:rsidRPr="0078520A" w:rsidRDefault="0059724C" w:rsidP="001F4405">
            <w:pPr>
              <w:jc w:val="both"/>
              <w:rPr>
                <w:color w:val="000000"/>
              </w:rPr>
            </w:pPr>
          </w:p>
          <w:p w14:paraId="64571839" w14:textId="77777777" w:rsidR="00A94251" w:rsidRPr="0078520A" w:rsidRDefault="00A94251" w:rsidP="001F4405">
            <w:pPr>
              <w:jc w:val="both"/>
              <w:rPr>
                <w:color w:val="000000"/>
              </w:rPr>
            </w:pPr>
            <w:r w:rsidRPr="0078520A">
              <w:rPr>
                <w:color w:val="000000"/>
              </w:rPr>
              <w:t>Eil</w:t>
            </w:r>
            <w:r w:rsidR="00677E84" w:rsidRPr="0078520A">
              <w:rPr>
                <w:color w:val="000000"/>
              </w:rPr>
              <w:t>.</w:t>
            </w:r>
          </w:p>
          <w:p w14:paraId="7C493738" w14:textId="77777777" w:rsidR="0059724C" w:rsidRPr="0078520A" w:rsidRDefault="00A94251" w:rsidP="001F4405">
            <w:pPr>
              <w:jc w:val="both"/>
              <w:rPr>
                <w:color w:val="000000"/>
              </w:rPr>
            </w:pPr>
            <w:r w:rsidRPr="0078520A">
              <w:rPr>
                <w:color w:val="000000"/>
              </w:rPr>
              <w:t>Nr.</w:t>
            </w:r>
          </w:p>
        </w:tc>
        <w:tc>
          <w:tcPr>
            <w:tcW w:w="7655" w:type="dxa"/>
            <w:shd w:val="clear" w:color="auto" w:fill="auto"/>
          </w:tcPr>
          <w:p w14:paraId="1FD84A7E" w14:textId="77777777" w:rsidR="0059724C" w:rsidRPr="0078520A" w:rsidRDefault="0059724C" w:rsidP="00FD2265">
            <w:pPr>
              <w:rPr>
                <w:color w:val="000000"/>
              </w:rPr>
            </w:pPr>
          </w:p>
          <w:p w14:paraId="47AE9406" w14:textId="77777777" w:rsidR="0059724C" w:rsidRPr="0078520A" w:rsidRDefault="00A94251" w:rsidP="00FD2265">
            <w:pPr>
              <w:rPr>
                <w:color w:val="000000"/>
              </w:rPr>
            </w:pPr>
            <w:r w:rsidRPr="0078520A">
              <w:rPr>
                <w:color w:val="000000"/>
              </w:rPr>
              <w:t>Pastabos ir pasiūlymai</w:t>
            </w:r>
          </w:p>
        </w:tc>
        <w:tc>
          <w:tcPr>
            <w:tcW w:w="3639" w:type="dxa"/>
            <w:shd w:val="clear" w:color="auto" w:fill="auto"/>
          </w:tcPr>
          <w:p w14:paraId="0F717244" w14:textId="77777777" w:rsidR="0059724C" w:rsidRPr="0078520A" w:rsidRDefault="0059724C" w:rsidP="001F4405">
            <w:pPr>
              <w:jc w:val="both"/>
              <w:rPr>
                <w:color w:val="000000"/>
              </w:rPr>
            </w:pPr>
          </w:p>
          <w:p w14:paraId="0E394424" w14:textId="77777777" w:rsidR="0059724C" w:rsidRPr="0078520A" w:rsidRDefault="00685787" w:rsidP="001F4405">
            <w:pPr>
              <w:jc w:val="center"/>
              <w:rPr>
                <w:color w:val="000000"/>
              </w:rPr>
            </w:pPr>
            <w:r w:rsidRPr="0078520A">
              <w:rPr>
                <w:color w:val="000000"/>
              </w:rPr>
              <w:t xml:space="preserve">Žyma apie </w:t>
            </w:r>
            <w:r w:rsidR="00F351A4" w:rsidRPr="0078520A">
              <w:rPr>
                <w:color w:val="000000"/>
              </w:rPr>
              <w:t xml:space="preserve">neatsižvelgtas </w:t>
            </w:r>
            <w:r w:rsidRPr="0078520A">
              <w:rPr>
                <w:color w:val="000000"/>
              </w:rPr>
              <w:t>pastabas ir pasiūlymus</w:t>
            </w:r>
          </w:p>
        </w:tc>
      </w:tr>
      <w:tr w:rsidR="008F41BE" w:rsidRPr="00187523" w14:paraId="44FD12FE"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510177A4" w14:textId="77777777" w:rsidR="008F41BE" w:rsidRPr="00187523" w:rsidRDefault="008F41BE" w:rsidP="00F547DE">
            <w:pPr>
              <w:jc w:val="both"/>
              <w:rPr>
                <w:color w:val="000000"/>
              </w:rPr>
            </w:pPr>
            <w:r w:rsidRPr="00187523">
              <w:rPr>
                <w:color w:val="000000"/>
              </w:rPr>
              <w:t xml:space="preserve">Lietuvos </w:t>
            </w:r>
            <w:r w:rsidR="00B4097E" w:rsidRPr="00187523">
              <w:rPr>
                <w:color w:val="000000"/>
              </w:rPr>
              <w:t>vaistinių asociacija</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4057B754" w14:textId="77777777" w:rsidR="008F41BE" w:rsidRPr="00187523" w:rsidRDefault="00331F3A" w:rsidP="001F4405">
            <w:pPr>
              <w:jc w:val="both"/>
              <w:rPr>
                <w:color w:val="000000"/>
              </w:rPr>
            </w:pPr>
            <w:r w:rsidRPr="00187523">
              <w:rPr>
                <w:color w:val="000000"/>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20E8D0" w14:textId="77777777" w:rsidR="00F44B85" w:rsidRPr="00187523" w:rsidRDefault="00F44B85" w:rsidP="00F44B85">
            <w:pPr>
              <w:pStyle w:val="ListParagraph"/>
              <w:ind w:left="0"/>
              <w:jc w:val="both"/>
            </w:pPr>
            <w:r w:rsidRPr="00187523">
              <w:t>Dėl Kainyno tvirtinimo ir įsigaliojimo terminų (Projekto 2 str., kuriuo keičiamas Farmacijos įstatymo 57 str.)</w:t>
            </w:r>
            <w:r w:rsidR="006E730E" w:rsidRPr="00187523">
              <w:t xml:space="preserve"> s</w:t>
            </w:r>
            <w:r w:rsidRPr="00187523">
              <w:t>iūlo</w:t>
            </w:r>
            <w:r w:rsidR="006E730E" w:rsidRPr="00187523">
              <w:t>:</w:t>
            </w:r>
          </w:p>
          <w:p w14:paraId="09901822" w14:textId="77777777" w:rsidR="00F44B85" w:rsidRPr="00187523" w:rsidRDefault="00F44B85" w:rsidP="00F44B85">
            <w:pPr>
              <w:pStyle w:val="ListParagraph"/>
              <w:numPr>
                <w:ilvl w:val="0"/>
                <w:numId w:val="18"/>
              </w:numPr>
              <w:jc w:val="both"/>
              <w:rPr>
                <w:color w:val="000000"/>
              </w:rPr>
            </w:pPr>
            <w:r w:rsidRPr="00187523">
              <w:t>Kainyną tvirtinti 2 mėnesius prieš įsigaliojimo datą, pvz.: jei dabar Projekte nurodyta birželio 1</w:t>
            </w:r>
            <w:r w:rsidR="002E5526">
              <w:t xml:space="preserve"> </w:t>
            </w:r>
            <w:r w:rsidRPr="00187523">
              <w:t>d.</w:t>
            </w:r>
            <w:r w:rsidR="002E5526">
              <w:t>,</w:t>
            </w:r>
            <w:r w:rsidRPr="00187523">
              <w:t xml:space="preserve"> tai galėtų būti gegužės 1</w:t>
            </w:r>
            <w:r w:rsidR="002E5526">
              <w:t xml:space="preserve"> </w:t>
            </w:r>
            <w:r w:rsidRPr="00187523">
              <w:t>d. ir atitinkamai gruodžio 1 d. keičiama į lapkričio 1</w:t>
            </w:r>
            <w:r w:rsidR="002E5526">
              <w:t xml:space="preserve"> </w:t>
            </w:r>
            <w:r w:rsidRPr="00187523">
              <w:t>d. Taip būtų sudaryta galimybė vaistų didmeninio platinimo įmonėms ir vaistinėms tinkamai pasiruošti Kainyno įsigaliojimui bei užtriktini vaistų prieinamumą gyventojams nuo pat pirmos Kainyno įsigaliojimo dienos;</w:t>
            </w:r>
          </w:p>
          <w:p w14:paraId="77FA760A" w14:textId="77777777" w:rsidR="00F44B85" w:rsidRPr="00187523" w:rsidRDefault="00F44B85" w:rsidP="00F44B85">
            <w:pPr>
              <w:pStyle w:val="ListParagraph"/>
              <w:numPr>
                <w:ilvl w:val="0"/>
                <w:numId w:val="18"/>
              </w:numPr>
              <w:jc w:val="both"/>
              <w:rPr>
                <w:color w:val="000000"/>
              </w:rPr>
            </w:pPr>
            <w:r w:rsidRPr="00187523">
              <w:t>MPP Kainyną tvirtinti taip pat prieš 2 mėnesius, nes 15 dienų nuo MPP Kainyno patvirtinimo iki įsigaliojimo yra per trumpas terminas tinkamai pasiruošti Kainyno įsigaliojimui ir užtikrinti, kad visos MPP priemonės laiku pasieks vaistines;</w:t>
            </w:r>
          </w:p>
          <w:p w14:paraId="5E8F53DC" w14:textId="77777777" w:rsidR="00F44B85" w:rsidRPr="00187523" w:rsidRDefault="00F44B85" w:rsidP="00F44B85">
            <w:pPr>
              <w:pStyle w:val="ListParagraph"/>
              <w:numPr>
                <w:ilvl w:val="0"/>
                <w:numId w:val="18"/>
              </w:numPr>
              <w:jc w:val="both"/>
              <w:rPr>
                <w:color w:val="000000"/>
              </w:rPr>
            </w:pPr>
            <w:r w:rsidRPr="00187523">
              <w:t>Siūlome Farmacijos įstatyme numatyti ne Kainyno tvirtinimo datą, o paskelbimo datą Teisės aktų registre ir nustatyti Kainyno įsigaliojimo terminą nuo jo paskelbimo datos. Tai padėtų išvengti situacijų, kuomet vėluojant patvirtinti bei paskelbti Kainyną vaistinėms nebelieka Projekte numatyto laiko tinkamai jam pasiruošti.</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3B9101C1" w14:textId="77777777" w:rsidR="008F41BE" w:rsidRPr="00187523" w:rsidRDefault="00187523" w:rsidP="00C37F78">
            <w:pPr>
              <w:jc w:val="both"/>
            </w:pPr>
            <w:r w:rsidRPr="00187523">
              <w:rPr>
                <w:rStyle w:val="Hyperlink"/>
                <w:color w:val="auto"/>
                <w:u w:val="none"/>
              </w:rPr>
              <w:t>Neatsižvelgta, nes pateikti pasiūlymai susiję su techniniais pakeitimais Įstatymo projekte ir neturėtų būti formuojami kaip Vyriausybės išvada (siūlymai) Įstatymo projektui, tačiau svarstymui turėtų būti teikiami tiesiogiai Įstatymo projektą svarstančiam pagrindiniam Seimo komitetui (Sveikatos reikalų komitetui).</w:t>
            </w:r>
          </w:p>
        </w:tc>
      </w:tr>
      <w:tr w:rsidR="00187523" w:rsidRPr="00187523" w14:paraId="1A25B5C6"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BCE77DC"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7AD907BD" w14:textId="77777777" w:rsidR="00187523" w:rsidRPr="00187523" w:rsidRDefault="00187523" w:rsidP="00187523">
            <w:pPr>
              <w:jc w:val="both"/>
            </w:pPr>
            <w:r w:rsidRPr="00187523">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30ACF2C" w14:textId="77777777" w:rsidR="00187523" w:rsidRPr="00187523" w:rsidRDefault="00187523" w:rsidP="00187523">
            <w:pPr>
              <w:jc w:val="both"/>
            </w:pPr>
            <w:r w:rsidRPr="00187523">
              <w:t xml:space="preserve">Dėl Kainyno pakeitimų tvirtinimo ir įsigaliojimo terminų siūlo papildyti Farmacijos įstatymo 57 straipsnį, kad Kainyno pakeitimai įsigaliotų po 7 ar numatytais išimtinais atvejais po 3 darbo dienų, nuo jų paskelbimo Teisės aktų registre. </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00BAD262" w14:textId="77777777" w:rsidR="00187523" w:rsidRPr="00614156" w:rsidRDefault="00187523" w:rsidP="00187523">
            <w:pPr>
              <w:jc w:val="both"/>
            </w:pPr>
            <w:r w:rsidRPr="00614156">
              <w:rPr>
                <w:rStyle w:val="Hyperlink"/>
                <w:color w:val="auto"/>
                <w:u w:val="none"/>
              </w:rPr>
              <w:t>Neatsižvelgta, nes pateikti pasiūlymai susiję su techniniais pakeitimais Įstatymo projekte ir neturėtų būti formuojami kaip Vyriausybės išvada (siūlymai) Įstatymo projektui, tačiau svarstymui turėtų būti teikiami tiesiogiai Įstatymo projektą svarstančiam pagrindiniam Seimo komitetui (Sveikatos reikalų komitetui).</w:t>
            </w:r>
          </w:p>
        </w:tc>
      </w:tr>
      <w:tr w:rsidR="00187523" w:rsidRPr="00187523" w14:paraId="7D8848D3"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3BB1AF0"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2C053C66" w14:textId="77777777" w:rsidR="00187523" w:rsidRPr="00187523" w:rsidRDefault="00187523" w:rsidP="00187523">
            <w:pPr>
              <w:jc w:val="both"/>
            </w:pPr>
            <w:r w:rsidRPr="00187523">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AD0A9" w14:textId="77777777" w:rsidR="00187523" w:rsidRPr="00187523" w:rsidRDefault="00187523" w:rsidP="00187523">
            <w:pPr>
              <w:jc w:val="both"/>
            </w:pPr>
            <w:r w:rsidRPr="00187523">
              <w:t>Dėl vaistinių pakuočių ne lietuvių kalba (Projekto 3 str., kuriuo keičiamas Farmacijos įstatymo 59 str. 5 d. 3 p.) siūlo keisti Farmacijos įstatymo 8 straipsnio 16 dalį, įtvirtinant, kad VVKT išduoda leidimus konkrečiam vaistinio preparato pavadinimo kiekiui ir serijai, o ne sieti su  Kainyno galiojimo laikotarpiu.</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4E53BD0C" w14:textId="77777777" w:rsidR="00187523" w:rsidRPr="00614156" w:rsidRDefault="00187523" w:rsidP="00187523">
            <w:pPr>
              <w:jc w:val="both"/>
            </w:pPr>
          </w:p>
        </w:tc>
      </w:tr>
      <w:tr w:rsidR="00187523" w:rsidRPr="00187523" w14:paraId="7379B6C8" w14:textId="77777777" w:rsidTr="00985616">
        <w:trPr>
          <w:trHeight w:val="841"/>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705ED430" w14:textId="77777777" w:rsidR="00187523" w:rsidRPr="00187523" w:rsidRDefault="00187523" w:rsidP="00187523">
            <w:r w:rsidRPr="00187523">
              <w:t>Amerikos prekybos rūmų nuolatinis komitetas LAWG,</w:t>
            </w:r>
          </w:p>
          <w:p w14:paraId="00FF3A4A" w14:textId="77777777" w:rsidR="00187523" w:rsidRPr="00187523" w:rsidRDefault="00187523" w:rsidP="00187523">
            <w:pPr>
              <w:jc w:val="both"/>
            </w:pPr>
            <w:r w:rsidRPr="00187523">
              <w:t>Inovatyvios farmacijos pramonės asociacija</w:t>
            </w:r>
          </w:p>
          <w:p w14:paraId="5A6BDE4E" w14:textId="77777777" w:rsidR="00187523" w:rsidRPr="00187523" w:rsidRDefault="00187523" w:rsidP="00187523">
            <w:pPr>
              <w:jc w:val="both"/>
            </w:pPr>
            <w:r w:rsidRPr="00187523">
              <w:t>(toliau – IFPA)</w:t>
            </w:r>
          </w:p>
          <w:p w14:paraId="773C43BB"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5DFF49BA" w14:textId="77777777" w:rsidR="00187523" w:rsidRPr="00187523" w:rsidRDefault="00187523" w:rsidP="00187523">
            <w:pPr>
              <w:jc w:val="both"/>
            </w:pPr>
            <w:r w:rsidRPr="00187523">
              <w:t>1.</w:t>
            </w:r>
          </w:p>
          <w:p w14:paraId="25BC5AE2" w14:textId="77777777" w:rsidR="00187523" w:rsidRPr="00187523" w:rsidRDefault="00187523" w:rsidP="00187523">
            <w:pPr>
              <w:jc w:val="both"/>
            </w:pPr>
          </w:p>
          <w:p w14:paraId="45F762AC" w14:textId="77777777" w:rsidR="00187523" w:rsidRPr="00187523" w:rsidRDefault="00187523" w:rsidP="00187523">
            <w:pPr>
              <w:jc w:val="both"/>
            </w:pPr>
          </w:p>
          <w:p w14:paraId="3E9140C5" w14:textId="77777777" w:rsidR="00187523" w:rsidRPr="00187523" w:rsidRDefault="00187523" w:rsidP="00187523">
            <w:pPr>
              <w:jc w:val="both"/>
            </w:pPr>
          </w:p>
          <w:p w14:paraId="656E88B3" w14:textId="77777777" w:rsidR="00187523" w:rsidRPr="00187523" w:rsidRDefault="00187523" w:rsidP="00187523">
            <w:pPr>
              <w:jc w:val="both"/>
            </w:pPr>
          </w:p>
          <w:p w14:paraId="5C7F31A3" w14:textId="77777777" w:rsidR="00187523" w:rsidRPr="00187523" w:rsidRDefault="00187523" w:rsidP="00187523">
            <w:pPr>
              <w:jc w:val="both"/>
            </w:pPr>
          </w:p>
          <w:p w14:paraId="16A028A9" w14:textId="77777777" w:rsidR="00187523" w:rsidRPr="00187523" w:rsidRDefault="00187523" w:rsidP="00187523">
            <w:pPr>
              <w:jc w:val="both"/>
            </w:pPr>
          </w:p>
          <w:p w14:paraId="1944AB32" w14:textId="77777777" w:rsidR="00187523" w:rsidRPr="00187523" w:rsidRDefault="00187523" w:rsidP="00187523">
            <w:pPr>
              <w:jc w:val="both"/>
            </w:pPr>
          </w:p>
          <w:p w14:paraId="7A6861CC" w14:textId="77777777" w:rsidR="00187523" w:rsidRPr="00187523" w:rsidRDefault="00187523" w:rsidP="00187523">
            <w:pPr>
              <w:jc w:val="both"/>
            </w:pPr>
          </w:p>
          <w:p w14:paraId="117CB7A3" w14:textId="77777777" w:rsidR="00187523" w:rsidRPr="00187523" w:rsidRDefault="00187523" w:rsidP="00187523">
            <w:pPr>
              <w:jc w:val="both"/>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9DAAAC" w14:textId="77777777" w:rsidR="00187523" w:rsidRPr="00187523" w:rsidRDefault="00187523" w:rsidP="00187523">
            <w:pPr>
              <w:jc w:val="both"/>
            </w:pPr>
            <w:r w:rsidRPr="00187523">
              <w:t>Atsižvelgdami į tai, bei siekiant tiek pilna apimti įgyvendinti LVAT sprendimą, tiek nediskriminuoti pacientų priklausomai nuo to, kokius vaistinius preparatus valstybė kompensuoja, siūlo Įstatymo projektu papildyti „Pirmo paskyrimo“ taisyklės formuluotę taip, kad ji apimtų visus kompensuojamuosius vaistinius preparatus:</w:t>
            </w:r>
          </w:p>
          <w:p w14:paraId="53A98D1B" w14:textId="77777777" w:rsidR="00187523" w:rsidRPr="00187523" w:rsidRDefault="00187523" w:rsidP="00187523">
            <w:pPr>
              <w:jc w:val="both"/>
            </w:pPr>
            <w:r w:rsidRPr="00187523">
              <w:t xml:space="preserve">Papildyti 8 straipsnį 10² dalimi: </w:t>
            </w:r>
          </w:p>
          <w:p w14:paraId="2A973221" w14:textId="77777777" w:rsidR="00187523" w:rsidRPr="00187523" w:rsidRDefault="00187523" w:rsidP="00187523">
            <w:pPr>
              <w:jc w:val="both"/>
            </w:pPr>
            <w:r w:rsidRPr="00187523">
              <w:t xml:space="preserve">„10². Jei </w:t>
            </w:r>
            <w:r w:rsidR="002E5526">
              <w:t>s</w:t>
            </w:r>
            <w:r w:rsidRPr="00187523">
              <w:t>veikatos apsaugos ministro nustatyta tvarka yra nustatytas vaistinių preparatų skyrimo eiliškumas pradedant gydymą atsižvelgiant į mažiausią metinę gydymo kainą, gydytojas privalo suteikti informaciją pacientui apie kitą kompensuojamąjį vaistinį preparatą, jei jis yra tinkamesnis jo ligos gydymui pagal klinikinius kriterijus. Jei pacientas atsisako jam siūlomo kompensuojamojo vaistinio preparato atsižvelgiant į mažiausią metinę gydymo kainą, jam išrašomas gydytojo skiriamo tinkamesnio kompensuojamojo vaistinio preparato receptas.“</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056AF65B" w14:textId="77777777" w:rsidR="00187523" w:rsidRPr="00614156" w:rsidRDefault="00187523" w:rsidP="00187523">
            <w:pPr>
              <w:jc w:val="both"/>
            </w:pPr>
            <w:r w:rsidRPr="00614156">
              <w:rPr>
                <w:rStyle w:val="Hyperlink"/>
                <w:color w:val="auto"/>
                <w:u w:val="none"/>
              </w:rPr>
              <w:t>Neatsižvelgta, nes pateiktas pasiūlymas yra susijęs su Įstatymo projekto papildymu,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187523" w:rsidRPr="00187523" w14:paraId="736CD484" w14:textId="77777777" w:rsidTr="00985616">
        <w:trPr>
          <w:trHeight w:val="342"/>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1F65F990" w14:textId="77777777" w:rsidR="00187523" w:rsidRPr="00187523" w:rsidRDefault="00187523" w:rsidP="00187523">
            <w:pPr>
              <w:jc w:val="both"/>
            </w:pPr>
            <w:r w:rsidRPr="00187523">
              <w:t>Inovatyvios farmacijos pramonės asociacija</w:t>
            </w:r>
          </w:p>
          <w:p w14:paraId="2623DA29" w14:textId="77777777" w:rsidR="00187523" w:rsidRPr="00187523" w:rsidRDefault="00187523" w:rsidP="00187523">
            <w:pPr>
              <w:jc w:val="both"/>
            </w:pPr>
            <w:r w:rsidRPr="00187523">
              <w:t>(toliau – IFPA)</w:t>
            </w:r>
          </w:p>
          <w:p w14:paraId="4875305C" w14:textId="77777777" w:rsidR="00187523" w:rsidRPr="00187523" w:rsidRDefault="00187523" w:rsidP="00187523">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52CD0E9D" w14:textId="77777777" w:rsidR="00187523" w:rsidRPr="00187523" w:rsidRDefault="00187523" w:rsidP="00187523">
            <w:pPr>
              <w:jc w:val="both"/>
            </w:pPr>
            <w:r w:rsidRPr="00187523">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B68B08" w14:textId="77777777" w:rsidR="00187523" w:rsidRPr="00187523" w:rsidRDefault="00187523" w:rsidP="00187523">
            <w:pPr>
              <w:jc w:val="both"/>
              <w:outlineLvl w:val="0"/>
            </w:pPr>
            <w:r w:rsidRPr="00187523">
              <w:t>Siekiant užtikrinti pacientų pasirinkimo galimybes, siūloma panaikinti maksimalų leidžiamą paciento priemokų ribojimą ir pakeisti Farmacijos įstatymo 57 straipsnio 2 dalį taip:</w:t>
            </w:r>
          </w:p>
          <w:p w14:paraId="39007E42" w14:textId="77777777" w:rsidR="00187523" w:rsidRPr="00187523" w:rsidRDefault="002E5526" w:rsidP="00187523">
            <w:pPr>
              <w:jc w:val="both"/>
              <w:outlineLvl w:val="0"/>
            </w:pPr>
            <w:r>
              <w:t>„</w:t>
            </w:r>
            <w:r w:rsidR="00187523" w:rsidRPr="00187523">
              <w:t xml:space="preserve">2. Kompensuojamųjų vaistinių preparatų ir kompensuojamųjų medicinos pagalbos priemonių mažmeninės kainos apskaičiuojamos prie vaistinio preparato registruotojo ar jo atstovo, lygiagretaus importo leidimo turėtojo ar asmens, pagal šį įstatymą turinčio teisę vykdyti vaistinių preparatų lygiagretų platinimą, ar jų atstovo arba medicinos pagalbos priemonės gamintojo ar jo atstovo (toliau – vaistinio preparato ar medicinos pagalbos priemonės tiekėjas) Lietuvai taikomos vaistinio preparato ar medicinos pagalbos priemonės kainos pridedant ne didesnius negu sveikatos apsaugos ministro nustatytus didmeninės ir mažmeninės prekybos antkainius ir pridėtinės vertės mokestį, jeigu vaistinis preparatas ar medicinos pagalbos priemonė apmokestinama šiuo mokesčiu. Kompensuojamųjų ekstemporaliųjų vaistinių preparatų mažmeninės kainos apskaičiuojamos prie vaistinių medžiagų didmeninės kainos pridedant ne didesnį kaip 22 procentų šios kainos mažmeninės prekybos antkainį, ne didesnę kaip sveikatos apsaugos ministro patvirtintą šių vaistinių preparatų gamybos vaistinėse kainą, priklausančią nuo gamybos sąnaudų, vaistinių preparatų pakavimui ir ženklinimui </w:t>
            </w:r>
            <w:r w:rsidR="00187523" w:rsidRPr="00187523">
              <w:lastRenderedPageBreak/>
              <w:t xml:space="preserve">naudojamų medžiagų kainas ir pridėtinės vertės mokestį, jeigu vaistinis preparatas apmokestinamas šiuo mokesčiu. Kompensuojamųjų vaistinių preparatų ir kompensuojamųjų medicinos pagalbos priemonių bazinės kainos </w:t>
            </w:r>
            <w:r w:rsidR="00187523" w:rsidRPr="00187523">
              <w:rPr>
                <w:strike/>
              </w:rPr>
              <w:t>ir paciento priemokos už juos</w:t>
            </w:r>
            <w:r w:rsidR="00187523" w:rsidRPr="00187523">
              <w:t xml:space="preserve"> apskaičiuojamos Vyriausybės nustatyta tvarka. </w:t>
            </w:r>
            <w:r w:rsidR="00187523" w:rsidRPr="00187523">
              <w:rPr>
                <w:b/>
                <w:bCs/>
              </w:rPr>
              <w:t>Paciento priemokos už kompensuojamuosius vaistinius preparatus ir kompensuojamąsias medicinos pagalbos priemones apskaičiuojamos iš jų mažmeninės kainos atimant bazinę kainą ir pridedant nekompensuojamos bazinės kainos dalį, kai vaistinis preparatas ar medicinos pagalbos priemonė kompensuojama 90, 80 ar 50 procentų bazinės kainos</w:t>
            </w:r>
            <w:r w:rsidR="00187523" w:rsidRPr="00187523">
              <w:t>.“</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62F88756" w14:textId="77777777" w:rsidR="00187523" w:rsidRPr="00614156" w:rsidRDefault="00187523" w:rsidP="00187523">
            <w:pPr>
              <w:jc w:val="both"/>
            </w:pPr>
            <w:r w:rsidRPr="00614156">
              <w:rPr>
                <w:rStyle w:val="Hyperlink"/>
                <w:color w:val="auto"/>
                <w:u w:val="none"/>
              </w:rPr>
              <w:lastRenderedPageBreak/>
              <w:t>Neatsižvelgta, nes pateiktas pasiūlymas yra susijęs su Įstatymo projekto papildymu,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BB00D0" w:rsidRPr="00187523" w14:paraId="619BBEA8" w14:textId="77777777" w:rsidTr="00985616">
        <w:trPr>
          <w:trHeight w:val="342"/>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121C9D5" w14:textId="77777777" w:rsidR="00BB00D0" w:rsidRPr="00187523" w:rsidRDefault="00BB00D0" w:rsidP="00BB00D0">
            <w:pPr>
              <w:jc w:val="both"/>
            </w:pPr>
            <w:r>
              <w:t>Vaistų gamintojų asociacija</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7848D036" w14:textId="77777777" w:rsidR="00BB00D0" w:rsidRPr="00187523" w:rsidRDefault="00BB00D0" w:rsidP="00BB00D0">
            <w:pPr>
              <w:jc w:val="both"/>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88DAC" w14:textId="77777777" w:rsidR="00BB00D0" w:rsidRPr="00187523" w:rsidRDefault="00BB00D0" w:rsidP="00BB00D0">
            <w:pPr>
              <w:jc w:val="both"/>
              <w:outlineLvl w:val="0"/>
            </w:pPr>
            <w:r>
              <w:t>Siekiant išvengti esamos tvarkos dviprasmybės dėl šiuo metu galiojančių ir Įstatymo projekte numatytų pakeitimų, siūloma Įstatymo projekto įsigaliojimą visa apimtimi perkelti į 2022 m. sausio 1 d., nes dviejų, dviejų ir daugiau gamintojų grupės ūkio subjektams šis pakeitimas keis veiklos teisinį reguliavimą (LR teisėkūros pagrindų įstatymo 20 straipsnio 4 dalis)</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720FC23E" w14:textId="77777777" w:rsidR="00BB00D0" w:rsidRPr="00614156" w:rsidRDefault="00BB00D0" w:rsidP="00BB00D0">
            <w:pPr>
              <w:jc w:val="both"/>
              <w:rPr>
                <w:rStyle w:val="Hyperlink"/>
                <w:color w:val="auto"/>
                <w:u w:val="none"/>
              </w:rPr>
            </w:pPr>
            <w:r w:rsidRPr="00614156">
              <w:rPr>
                <w:rStyle w:val="Hyperlink"/>
                <w:color w:val="auto"/>
                <w:u w:val="none"/>
              </w:rPr>
              <w:t>Neatsižvelgta, nes pateikti pasiūlymai susiję su techniniais pakeitimais Įstatymo projekte ir neturėtų būti formuojami kaip Vyriausybės išvada (siūlymai) Įstatymo projektui, tačiau svarstymui turėtų būti teikiami tiesiogiai Įstatymo projektą svarstančiam pagrindiniam Seimo komitetui (Sveikatos reikalų komitetui).</w:t>
            </w:r>
          </w:p>
        </w:tc>
      </w:tr>
      <w:tr w:rsidR="007C0637" w:rsidRPr="00187523" w14:paraId="0C1EA065" w14:textId="77777777" w:rsidTr="00985616">
        <w:trPr>
          <w:trHeight w:val="70"/>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0DDC2DF" w14:textId="77777777" w:rsidR="007C0637" w:rsidRDefault="007C0637" w:rsidP="007C0637">
            <w:pPr>
              <w:jc w:val="both"/>
            </w:pPr>
            <w:r>
              <w:t>Lygiagretaus</w:t>
            </w:r>
          </w:p>
          <w:p w14:paraId="108BDF02" w14:textId="76CDE383" w:rsidR="007C0637" w:rsidRDefault="007C0637" w:rsidP="007C0637">
            <w:pPr>
              <w:jc w:val="both"/>
            </w:pPr>
            <w:r>
              <w:t>vaistų importo asociacija</w:t>
            </w: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0F6F916" w14:textId="714FAAE7" w:rsidR="007C0637" w:rsidRPr="00187523" w:rsidRDefault="007C0637" w:rsidP="007C0637">
            <w:pPr>
              <w:jc w:val="both"/>
            </w:pPr>
            <w: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DAAEA38" w14:textId="2E8C8598" w:rsidR="007C0637" w:rsidRDefault="007C0637" w:rsidP="007C0637">
            <w:pPr>
              <w:widowControl w:val="0"/>
              <w:autoSpaceDE w:val="0"/>
              <w:autoSpaceDN w:val="0"/>
              <w:adjustRightInd w:val="0"/>
              <w:ind w:right="-20"/>
              <w:jc w:val="both"/>
            </w:pPr>
            <w:r w:rsidRPr="0040353E">
              <w:t>Dėl  FĮ  projektu  neva  užtikrinamos  paciento  teisės  rinktis  vaistus / gydymą  ir  naudotis  PSD</w:t>
            </w:r>
            <w:r w:rsidRPr="0040353E">
              <w:rPr>
                <w:lang w:val="en-US"/>
              </w:rPr>
              <w:t xml:space="preserve"> </w:t>
            </w:r>
            <w:r w:rsidRPr="0040353E">
              <w:t>garantuojamomis teisėmis.</w:t>
            </w:r>
          </w:p>
          <w:p w14:paraId="29E3F1C4" w14:textId="7A4A0E1F" w:rsidR="007C0637" w:rsidRDefault="007C0637" w:rsidP="007C0637">
            <w:pPr>
              <w:widowControl w:val="0"/>
              <w:autoSpaceDE w:val="0"/>
              <w:autoSpaceDN w:val="0"/>
              <w:adjustRightInd w:val="0"/>
              <w:spacing w:before="68"/>
              <w:ind w:left="119" w:right="40"/>
              <w:jc w:val="both"/>
            </w:pPr>
            <w:r>
              <w:t>LVIA  laiko,  kad  priėmus  FĮ  projektu  numatomą  reguliavimą  nebus  įtvirtinta  reali  paciento pasirinkimo teisė rinktis jam priimtiną vaistinį preparatą. Laiko, kad numatomu reguliavimu, paciento pasirinkimo teisė  iš  esmės  priklausys  nuo  jo  finansinio  pajėgumo  ir  nuo  paciento  turimų  lėšų  kiekio  (socialinės padėties). pacientai,  kurie  priskirtini  labiausiai  socialiai  pažeidžiamų  asmenų  grupei, realios pasirinkimo teisės neturės arba šie  pacientai  bus  priversti  už  vaistus  sumokėti  žymiai  didesnę  savo  pajamų  dalį.  LVIA  laiko,  kad priešingai  negu  teikime  numato  SAM,  visuomenės  susipriešinimas  ir  atskirtis  dėl  socialinės  ir finansinės  padėties  tik  didės. LVIA  pažymi,  kad  priėmus  FĮ  projektu  numatomą  reguliavimą,  racionalus  vaistų  įsigijimas taip  pat  mažės,</w:t>
            </w:r>
            <w:r>
              <w:rPr>
                <w:spacing w:val="60"/>
              </w:rPr>
              <w:t xml:space="preserve"> </w:t>
            </w:r>
            <w:r>
              <w:t xml:space="preserve">nes  formuosis  nepagrįsta  nuomonė,  jog  </w:t>
            </w:r>
            <w:r>
              <w:rPr>
                <w:i/>
                <w:iCs/>
              </w:rPr>
              <w:t xml:space="preserve">,,pirmo  paskyrimo“  </w:t>
            </w:r>
            <w:r>
              <w:t xml:space="preserve">vaistai  yra neva  mažiau kokybiški,  negu  kiti  brangiau  kainuojantys  </w:t>
            </w:r>
            <w:r>
              <w:rPr>
                <w:i/>
                <w:iCs/>
              </w:rPr>
              <w:t xml:space="preserve">,,antro“,  ,,trečio“  </w:t>
            </w:r>
            <w:r>
              <w:t>ar  paskesnio  paskyrimo  vaistai.</w:t>
            </w:r>
          </w:p>
          <w:p w14:paraId="7DBEA505" w14:textId="5946591B" w:rsidR="007C0637" w:rsidRPr="0040353E" w:rsidRDefault="007C0637" w:rsidP="007C0637">
            <w:pPr>
              <w:widowControl w:val="0"/>
              <w:autoSpaceDE w:val="0"/>
              <w:autoSpaceDN w:val="0"/>
              <w:adjustRightInd w:val="0"/>
              <w:spacing w:before="68"/>
              <w:ind w:left="119" w:right="40"/>
              <w:jc w:val="both"/>
              <w:rPr>
                <w:lang w:val="en-US"/>
              </w:rPr>
            </w:pPr>
            <w:r>
              <w:rPr>
                <w:color w:val="000000"/>
              </w:rPr>
              <w:t xml:space="preserve">Valstybei nusprendus kompensuoti visų Kainyne esančių vaistinių </w:t>
            </w:r>
            <w:r>
              <w:rPr>
                <w:color w:val="000000"/>
              </w:rPr>
              <w:lastRenderedPageBreak/>
              <w:t>preparatų bazinę kainą (pacientui savarankiškai sumokant priemokas), atsižvelgiant į kitų ES šalių praktiką (</w:t>
            </w:r>
            <w:r>
              <w:rPr>
                <w:i/>
                <w:iCs/>
                <w:color w:val="000000"/>
              </w:rPr>
              <w:t>Estijos pavyzdys</w:t>
            </w:r>
            <w:r>
              <w:rPr>
                <w:color w:val="000000"/>
              </w:rPr>
              <w:t>), LVIA siūlo nustatyti, kad visi receptiniai vaistai būtų įtraukiami į Kainyną, tai įgyvendinus pacientai galėtų įsigyti reikiamus vaistus jų ligoms gydyti, kurie iki šiol nebuvo kompensuojami PSDF biudžeto lėšomis.</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15CD9D77" w14:textId="25107079" w:rsidR="007C0637" w:rsidRPr="00614156" w:rsidRDefault="007C0637" w:rsidP="007C0637">
            <w:pPr>
              <w:jc w:val="both"/>
              <w:rPr>
                <w:rStyle w:val="Hyperlink"/>
                <w:color w:val="auto"/>
                <w:u w:val="none"/>
              </w:rPr>
            </w:pPr>
            <w:r w:rsidRPr="00614156">
              <w:rPr>
                <w:rStyle w:val="Hyperlink"/>
                <w:color w:val="auto"/>
                <w:u w:val="none"/>
              </w:rPr>
              <w:lastRenderedPageBreak/>
              <w:t>Neatsižvelgta, nes pateikt</w:t>
            </w:r>
            <w:r>
              <w:rPr>
                <w:rStyle w:val="Hyperlink"/>
                <w:color w:val="auto"/>
                <w:u w:val="none"/>
              </w:rPr>
              <w:t>o</w:t>
            </w:r>
            <w:r w:rsidRPr="00614156">
              <w:rPr>
                <w:rStyle w:val="Hyperlink"/>
                <w:color w:val="auto"/>
                <w:u w:val="none"/>
              </w:rPr>
              <w:t>s</w:t>
            </w:r>
            <w:r>
              <w:rPr>
                <w:rStyle w:val="Hyperlink"/>
                <w:color w:val="auto"/>
                <w:u w:val="none"/>
              </w:rPr>
              <w:t xml:space="preserve"> pastabos</w:t>
            </w:r>
            <w:r w:rsidRPr="00614156">
              <w:rPr>
                <w:rStyle w:val="Hyperlink"/>
                <w:color w:val="auto"/>
                <w:u w:val="none"/>
              </w:rPr>
              <w:t xml:space="preserve"> </w:t>
            </w:r>
            <w:r>
              <w:rPr>
                <w:rStyle w:val="Hyperlink"/>
                <w:color w:val="auto"/>
                <w:u w:val="none"/>
              </w:rPr>
              <w:t xml:space="preserve">ir </w:t>
            </w:r>
            <w:r w:rsidRPr="00614156">
              <w:rPr>
                <w:rStyle w:val="Hyperlink"/>
                <w:color w:val="auto"/>
                <w:u w:val="none"/>
              </w:rPr>
              <w:t>pasiūlymas yra susijęs su Įstatymo projekt</w:t>
            </w:r>
            <w:r>
              <w:rPr>
                <w:rStyle w:val="Hyperlink"/>
                <w:color w:val="auto"/>
                <w:u w:val="none"/>
              </w:rPr>
              <w:t>u</w:t>
            </w:r>
            <w:r w:rsidRPr="00614156">
              <w:rPr>
                <w:rStyle w:val="Hyperlink"/>
                <w:color w:val="auto"/>
                <w:u w:val="none"/>
              </w:rPr>
              <w:t>,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7C0637" w:rsidRPr="00187523" w14:paraId="7CA0943C" w14:textId="77777777" w:rsidTr="00985616">
        <w:trPr>
          <w:trHeight w:val="70"/>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91995E6" w14:textId="77777777" w:rsidR="007C0637" w:rsidRDefault="007C0637" w:rsidP="007C0637">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2598741E" w14:textId="02D2CFFB" w:rsidR="007C0637" w:rsidRDefault="00BB0A02" w:rsidP="007C0637">
            <w:pPr>
              <w:jc w:val="both"/>
            </w:pPr>
            <w: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EAD101B" w14:textId="3AB3D77E" w:rsidR="007C0637" w:rsidRDefault="007C0637" w:rsidP="007C0637">
            <w:pPr>
              <w:widowControl w:val="0"/>
              <w:autoSpaceDE w:val="0"/>
              <w:autoSpaceDN w:val="0"/>
              <w:adjustRightInd w:val="0"/>
              <w:ind w:right="43"/>
              <w:jc w:val="both"/>
              <w:rPr>
                <w:color w:val="000000"/>
              </w:rPr>
            </w:pPr>
            <w:r w:rsidRPr="007C0637">
              <w:rPr>
                <w:color w:val="000000"/>
              </w:rPr>
              <w:t>2. Dėl   FĮ   projektu   neva   sudaromų   geresnių   sąlygų   vaistinių   preparatų   tiekėjams,   kai nustatomu  reguliavimu  Kainynas  keičiamas  tik  2  kartus  per  metus  (šiuo  metu  galioja  4 kartai per metus).</w:t>
            </w:r>
          </w:p>
          <w:p w14:paraId="64AB7B63" w14:textId="45C19769" w:rsidR="007C0637" w:rsidRPr="00694175" w:rsidRDefault="00694175" w:rsidP="00694175">
            <w:pPr>
              <w:widowControl w:val="0"/>
              <w:autoSpaceDE w:val="0"/>
              <w:autoSpaceDN w:val="0"/>
              <w:adjustRightInd w:val="0"/>
              <w:spacing w:before="4"/>
              <w:ind w:left="119" w:right="39"/>
              <w:jc w:val="both"/>
              <w:rPr>
                <w:color w:val="000000"/>
                <w:lang w:val="en-US"/>
              </w:rPr>
            </w:pPr>
            <w:r>
              <w:rPr>
                <w:color w:val="000000"/>
              </w:rPr>
              <w:t>Siūlo FĮ įtvirtinti,  jog  vaistų  tiekėjui  deklaravus  į  Kainyną  neįtraukto  vaisto  žemesnę  kainą,  negu  Kainyne atitinkamą  laikotarpį  patvirtinta  žemiausia  vaisto  kaina  grupėje  (dviejų  vaistų  arba  trijų  ir  daugiau vaistų grupėse), toks vaistinis preparatas per 20 dienų nuo pareiškėjo prašymo pateikimo dienos yra įtraukiamas  į  Kainyną,  tokiu  būdu  būtų  įtvirtina  galimybė  bet  kuriuo  metu  į  Kainyną    įtraukti mažiau  kainuojančius  vaistus,  kurie  galėtų  būti patiekiami  į  rinką  (būtų  realiu  laiku  ir  pagal  rinkoje susiklosčiusią situaciją atliekami Kainyno pakeitimai).</w:t>
            </w: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21A972A9" w14:textId="3763AFA5" w:rsidR="007C0637" w:rsidRPr="00614156" w:rsidRDefault="007C0637" w:rsidP="007C0637">
            <w:pPr>
              <w:jc w:val="both"/>
              <w:rPr>
                <w:rStyle w:val="Hyperlink"/>
                <w:color w:val="auto"/>
                <w:u w:val="none"/>
              </w:rPr>
            </w:pPr>
            <w:r w:rsidRPr="00614156">
              <w:rPr>
                <w:rStyle w:val="Hyperlink"/>
                <w:color w:val="auto"/>
                <w:u w:val="none"/>
              </w:rPr>
              <w:t>Neatsižvelgta, nes pateiktas pasiūlymas yra susijęs su Įstatymo projekto papildymu, o ne su Nutarimo projektu, ir neturėtų būti formuojami kaip Vyriausybės išvada (siūlymai) Įstatymo projektui, tačiau svarstymui turėtų būti teikiami tiesiogiai Įstatymo projektą svarstančiam pagrindiniam Seimo komitetui (Sveikatos reikalų komitetui).</w:t>
            </w:r>
          </w:p>
        </w:tc>
      </w:tr>
      <w:tr w:rsidR="00BB0A02" w:rsidRPr="00BB0A02" w14:paraId="18B78958" w14:textId="77777777" w:rsidTr="00985616">
        <w:trPr>
          <w:trHeight w:val="70"/>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592E727A" w14:textId="77777777" w:rsidR="00BB0A02" w:rsidRPr="00BB0A02" w:rsidRDefault="00BB0A02" w:rsidP="00BB0A02">
            <w:pPr>
              <w:jc w:val="both"/>
            </w:pPr>
          </w:p>
        </w:tc>
        <w:tc>
          <w:tcPr>
            <w:tcW w:w="588" w:type="dxa"/>
            <w:tcBorders>
              <w:top w:val="single" w:sz="4" w:space="0" w:color="auto"/>
              <w:left w:val="single" w:sz="4" w:space="0" w:color="auto"/>
              <w:bottom w:val="single" w:sz="4" w:space="0" w:color="auto"/>
              <w:right w:val="single" w:sz="4" w:space="0" w:color="auto"/>
            </w:tcBorders>
            <w:shd w:val="clear" w:color="auto" w:fill="auto"/>
          </w:tcPr>
          <w:p w14:paraId="65EA9560" w14:textId="411A6B42" w:rsidR="00BB0A02" w:rsidRPr="00BB0A02" w:rsidRDefault="00BB0A02" w:rsidP="00BB0A02">
            <w:pPr>
              <w:jc w:val="both"/>
            </w:pPr>
            <w:r w:rsidRPr="00BB0A02">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8B726D1" w14:textId="77777777" w:rsidR="00BB0A02" w:rsidRPr="00BB0A02" w:rsidRDefault="00BB0A02" w:rsidP="00BB0A02">
            <w:pPr>
              <w:widowControl w:val="0"/>
              <w:autoSpaceDE w:val="0"/>
              <w:autoSpaceDN w:val="0"/>
              <w:adjustRightInd w:val="0"/>
              <w:ind w:right="40"/>
              <w:jc w:val="both"/>
              <w:rPr>
                <w:color w:val="000000"/>
                <w:lang w:val="en-US"/>
              </w:rPr>
            </w:pPr>
            <w:r w:rsidRPr="00BB0A02">
              <w:rPr>
                <w:color w:val="000000"/>
              </w:rPr>
              <w:t>4. Dėl numatomo teisinio reguliavimo poveikio vertinimo.</w:t>
            </w:r>
          </w:p>
          <w:p w14:paraId="27218181" w14:textId="09100245" w:rsidR="00BB0A02" w:rsidRDefault="00BB0A02" w:rsidP="00BB0A02">
            <w:pPr>
              <w:widowControl w:val="0"/>
              <w:autoSpaceDE w:val="0"/>
              <w:autoSpaceDN w:val="0"/>
              <w:adjustRightInd w:val="0"/>
              <w:spacing w:before="2"/>
              <w:ind w:left="119" w:right="40"/>
              <w:jc w:val="both"/>
              <w:rPr>
                <w:color w:val="000000"/>
                <w:lang w:val="en-US"/>
              </w:rPr>
            </w:pPr>
            <w:r w:rsidRPr="00BB0A02">
              <w:rPr>
                <w:color w:val="000000"/>
              </w:rPr>
              <w:t xml:space="preserve">Atsižvelgiant į tai, kad FĮ projektu siekiama įtvirtinti iki tol įstatyme nereglamentuotą ,,pirmo paskyrimo“ taisyklę, kuomet būtų kompensuojama vaistinio preparato bazinė kaina, o pacientai, įsigydami kitą vaistą, mokėtų priemokas, mano, kad  privalo </w:t>
            </w:r>
            <w:r>
              <w:rPr>
                <w:color w:val="000000"/>
              </w:rPr>
              <w:t>būti</w:t>
            </w:r>
            <w:r w:rsidRPr="00BB0A02">
              <w:rPr>
                <w:color w:val="000000"/>
              </w:rPr>
              <w:t xml:space="preserve">  </w:t>
            </w:r>
            <w:r>
              <w:rPr>
                <w:color w:val="000000"/>
              </w:rPr>
              <w:t>atliekamas numatomo teisinio reguliavimo</w:t>
            </w:r>
            <w:r w:rsidRPr="00BB0A02">
              <w:rPr>
                <w:color w:val="000000"/>
              </w:rPr>
              <w:t xml:space="preserve"> poveikio  vertinimas</w:t>
            </w:r>
            <w:r>
              <w:rPr>
                <w:color w:val="000000"/>
              </w:rPr>
              <w:t>. Taip pat privalo būti atliktas  FĮ  projekto poveikio  konkurencijai  vertinimas  ir  gauta  Konkurencijos  tarybos  nuomonė  dėl  numatomo  teisinio reguliavimo, ūkio subjektams teikiant paraiškas dėl jų vaistų įtraukimo į Kainyną, taip pat paraiškas dėl įtraukimo teikiant 2 kartus metuose.</w:t>
            </w:r>
          </w:p>
          <w:p w14:paraId="737162A8" w14:textId="4B71E8B6" w:rsidR="00BB0A02" w:rsidRPr="00BB0A02" w:rsidRDefault="00BB0A02" w:rsidP="00BB0A02">
            <w:pPr>
              <w:widowControl w:val="0"/>
              <w:autoSpaceDE w:val="0"/>
              <w:autoSpaceDN w:val="0"/>
              <w:adjustRightInd w:val="0"/>
              <w:ind w:right="40" w:firstLine="782"/>
              <w:jc w:val="both"/>
              <w:rPr>
                <w:color w:val="000000"/>
                <w:lang w:val="en-US"/>
              </w:rPr>
            </w:pPr>
          </w:p>
        </w:tc>
        <w:tc>
          <w:tcPr>
            <w:tcW w:w="3639" w:type="dxa"/>
            <w:tcBorders>
              <w:top w:val="single" w:sz="4" w:space="0" w:color="auto"/>
              <w:left w:val="single" w:sz="4" w:space="0" w:color="auto"/>
              <w:bottom w:val="single" w:sz="4" w:space="0" w:color="auto"/>
              <w:right w:val="single" w:sz="4" w:space="0" w:color="auto"/>
            </w:tcBorders>
            <w:shd w:val="clear" w:color="auto" w:fill="auto"/>
          </w:tcPr>
          <w:p w14:paraId="5FE2BE9D" w14:textId="4151D90C" w:rsidR="00BB0A02" w:rsidRPr="00BB0A02" w:rsidRDefault="00BB0A02" w:rsidP="00BB0A02">
            <w:pPr>
              <w:jc w:val="both"/>
              <w:rPr>
                <w:rStyle w:val="Hyperlink"/>
                <w:color w:val="auto"/>
                <w:u w:val="none"/>
              </w:rPr>
            </w:pPr>
            <w:r w:rsidRPr="00614156">
              <w:rPr>
                <w:rStyle w:val="Hyperlink"/>
                <w:color w:val="auto"/>
                <w:u w:val="none"/>
              </w:rPr>
              <w:t>Neatsižvelgta, nes pateiktas pasiūlymas yra susijęs su Įstatymo proje</w:t>
            </w:r>
            <w:r w:rsidR="00694175">
              <w:rPr>
                <w:rStyle w:val="Hyperlink"/>
                <w:color w:val="auto"/>
                <w:u w:val="none"/>
              </w:rPr>
              <w:t>ktu</w:t>
            </w:r>
            <w:r w:rsidRPr="00614156">
              <w:rPr>
                <w:rStyle w:val="Hyperlink"/>
                <w:color w:val="auto"/>
                <w:u w:val="none"/>
              </w:rPr>
              <w:t>, o ne su Nutarimo projektu, ir neturėtų būti formuojami kaip Vyriausybės išvada (siūlymai) Įstatymo projektui, tačiau svarstymui turėtų būti teikiami tiesiogiai Įstatymo projektą svarstančiam pagrindiniam</w:t>
            </w:r>
            <w:r>
              <w:rPr>
                <w:rStyle w:val="Hyperlink"/>
                <w:color w:val="auto"/>
                <w:u w:val="none"/>
              </w:rPr>
              <w:t xml:space="preserve"> </w:t>
            </w:r>
            <w:r w:rsidR="00694175">
              <w:rPr>
                <w:rStyle w:val="Hyperlink"/>
                <w:color w:val="auto"/>
                <w:u w:val="none"/>
              </w:rPr>
              <w:t>Seimo komitetui (Sveikatos reikalų komitetui).</w:t>
            </w:r>
          </w:p>
        </w:tc>
      </w:tr>
    </w:tbl>
    <w:p w14:paraId="2EEE0FDE" w14:textId="77777777" w:rsidR="001D0070" w:rsidRPr="00BB0A02" w:rsidRDefault="001D0070" w:rsidP="00BB0A02">
      <w:pPr>
        <w:jc w:val="both"/>
      </w:pPr>
    </w:p>
    <w:p w14:paraId="7DE39382" w14:textId="77777777" w:rsidR="00BB00D0" w:rsidRDefault="00BB00D0" w:rsidP="00372334">
      <w:pPr>
        <w:jc w:val="both"/>
      </w:pPr>
    </w:p>
    <w:p w14:paraId="1E9ED698" w14:textId="77777777" w:rsidR="00BB00D0" w:rsidRPr="00187523" w:rsidRDefault="00BB00D0" w:rsidP="00372334">
      <w:pPr>
        <w:jc w:val="both"/>
      </w:pPr>
      <w:r>
        <w:tab/>
      </w:r>
      <w:r>
        <w:tab/>
      </w:r>
      <w:r>
        <w:tab/>
        <w:t>_____________________________________</w:t>
      </w:r>
    </w:p>
    <w:sectPr w:rsidR="00BB00D0" w:rsidRPr="00187523" w:rsidSect="00E25B31">
      <w:headerReference w:type="even" r:id="rId7"/>
      <w:headerReference w:type="default" r:id="rId8"/>
      <w:pgSz w:w="15840" w:h="12240" w:orient="landscape"/>
      <w:pgMar w:top="1138" w:right="677" w:bottom="432"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42AB" w14:textId="77777777" w:rsidR="00BC2D34" w:rsidRDefault="00BC2D34">
      <w:r>
        <w:separator/>
      </w:r>
    </w:p>
  </w:endnote>
  <w:endnote w:type="continuationSeparator" w:id="0">
    <w:p w14:paraId="2D2F57DE" w14:textId="77777777" w:rsidR="00BC2D34" w:rsidRDefault="00BC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1117" w14:textId="77777777" w:rsidR="00BC2D34" w:rsidRDefault="00BC2D34">
      <w:r>
        <w:separator/>
      </w:r>
    </w:p>
  </w:footnote>
  <w:footnote w:type="continuationSeparator" w:id="0">
    <w:p w14:paraId="795B7372" w14:textId="77777777" w:rsidR="00BC2D34" w:rsidRDefault="00BC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E711" w14:textId="77777777" w:rsidR="002E5526" w:rsidRDefault="002E5526" w:rsidP="008C10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77175" w14:textId="77777777" w:rsidR="002E5526" w:rsidRDefault="002E5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37AC" w14:textId="77777777" w:rsidR="002E5526" w:rsidRDefault="002E5526" w:rsidP="008C10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EC9879" w14:textId="77777777" w:rsidR="002E5526" w:rsidRDefault="002E5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6828"/>
    <w:multiLevelType w:val="multilevel"/>
    <w:tmpl w:val="4378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266948"/>
    <w:multiLevelType w:val="hybridMultilevel"/>
    <w:tmpl w:val="F1864C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815685"/>
    <w:multiLevelType w:val="hybridMultilevel"/>
    <w:tmpl w:val="9B86E7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465F4"/>
    <w:multiLevelType w:val="hybridMultilevel"/>
    <w:tmpl w:val="005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05052C"/>
    <w:multiLevelType w:val="hybridMultilevel"/>
    <w:tmpl w:val="1B8407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2142A5"/>
    <w:multiLevelType w:val="hybridMultilevel"/>
    <w:tmpl w:val="8D98A4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94C8D"/>
    <w:multiLevelType w:val="hybridMultilevel"/>
    <w:tmpl w:val="C966E99C"/>
    <w:lvl w:ilvl="0" w:tplc="9424D1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172FD2"/>
    <w:multiLevelType w:val="hybridMultilevel"/>
    <w:tmpl w:val="374811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3268DD"/>
    <w:multiLevelType w:val="hybridMultilevel"/>
    <w:tmpl w:val="3EFCA7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243D17"/>
    <w:multiLevelType w:val="hybridMultilevel"/>
    <w:tmpl w:val="CFF0B9F4"/>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FE6771"/>
    <w:multiLevelType w:val="multilevel"/>
    <w:tmpl w:val="6552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B21F0"/>
    <w:multiLevelType w:val="hybridMultilevel"/>
    <w:tmpl w:val="AE16FD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9D17CC"/>
    <w:multiLevelType w:val="hybridMultilevel"/>
    <w:tmpl w:val="1E96DB4A"/>
    <w:lvl w:ilvl="0" w:tplc="5F628E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4" w15:restartNumberingAfterBreak="0">
    <w:nsid w:val="6C955015"/>
    <w:multiLevelType w:val="hybridMultilevel"/>
    <w:tmpl w:val="96FA7432"/>
    <w:lvl w:ilvl="0" w:tplc="586EE4D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39A2C98"/>
    <w:multiLevelType w:val="hybridMultilevel"/>
    <w:tmpl w:val="5B3C65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ED2E2C"/>
    <w:multiLevelType w:val="hybridMultilevel"/>
    <w:tmpl w:val="296EB9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9B4548"/>
    <w:multiLevelType w:val="hybridMultilevel"/>
    <w:tmpl w:val="C61E1DFA"/>
    <w:lvl w:ilvl="0" w:tplc="5D5AD7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2"/>
  </w:num>
  <w:num w:numId="3">
    <w:abstractNumId w:val="4"/>
  </w:num>
  <w:num w:numId="4">
    <w:abstractNumId w:val="11"/>
  </w:num>
  <w:num w:numId="5">
    <w:abstractNumId w:val="10"/>
  </w:num>
  <w:num w:numId="6">
    <w:abstractNumId w:val="0"/>
  </w:num>
  <w:num w:numId="7">
    <w:abstractNumId w:val="7"/>
  </w:num>
  <w:num w:numId="8">
    <w:abstractNumId w:val="2"/>
  </w:num>
  <w:num w:numId="9">
    <w:abstractNumId w:val="17"/>
  </w:num>
  <w:num w:numId="10">
    <w:abstractNumId w:val="13"/>
  </w:num>
  <w:num w:numId="11">
    <w:abstractNumId w:val="14"/>
  </w:num>
  <w:num w:numId="12">
    <w:abstractNumId w:val="15"/>
  </w:num>
  <w:num w:numId="13">
    <w:abstractNumId w:val="1"/>
  </w:num>
  <w:num w:numId="14">
    <w:abstractNumId w:val="5"/>
  </w:num>
  <w:num w:numId="15">
    <w:abstractNumId w:val="16"/>
  </w:num>
  <w:num w:numId="16">
    <w:abstractNumId w:val="8"/>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02"/>
    <w:rsid w:val="0000213D"/>
    <w:rsid w:val="0001126D"/>
    <w:rsid w:val="00011446"/>
    <w:rsid w:val="00026864"/>
    <w:rsid w:val="000319B0"/>
    <w:rsid w:val="00033620"/>
    <w:rsid w:val="00033D49"/>
    <w:rsid w:val="00040E46"/>
    <w:rsid w:val="0004110C"/>
    <w:rsid w:val="00042EF6"/>
    <w:rsid w:val="000554E2"/>
    <w:rsid w:val="00056D39"/>
    <w:rsid w:val="000610B0"/>
    <w:rsid w:val="00061AA7"/>
    <w:rsid w:val="00065BF2"/>
    <w:rsid w:val="000660CD"/>
    <w:rsid w:val="000743CF"/>
    <w:rsid w:val="00075576"/>
    <w:rsid w:val="00077F57"/>
    <w:rsid w:val="00080504"/>
    <w:rsid w:val="00080C33"/>
    <w:rsid w:val="000836DF"/>
    <w:rsid w:val="00083B8C"/>
    <w:rsid w:val="000844CD"/>
    <w:rsid w:val="00095078"/>
    <w:rsid w:val="00095DDA"/>
    <w:rsid w:val="000A0D5B"/>
    <w:rsid w:val="000A2C7E"/>
    <w:rsid w:val="000B0197"/>
    <w:rsid w:val="000B17BA"/>
    <w:rsid w:val="000B7388"/>
    <w:rsid w:val="000D2A0F"/>
    <w:rsid w:val="000D307D"/>
    <w:rsid w:val="000D35A8"/>
    <w:rsid w:val="000E22E3"/>
    <w:rsid w:val="000E6AC6"/>
    <w:rsid w:val="000E7CC4"/>
    <w:rsid w:val="00103969"/>
    <w:rsid w:val="00103B56"/>
    <w:rsid w:val="00106D27"/>
    <w:rsid w:val="0011183E"/>
    <w:rsid w:val="00112724"/>
    <w:rsid w:val="001200AE"/>
    <w:rsid w:val="00123B7B"/>
    <w:rsid w:val="0012470D"/>
    <w:rsid w:val="00127F45"/>
    <w:rsid w:val="001344FB"/>
    <w:rsid w:val="00134D60"/>
    <w:rsid w:val="0014280E"/>
    <w:rsid w:val="00142FF4"/>
    <w:rsid w:val="00146940"/>
    <w:rsid w:val="00154A02"/>
    <w:rsid w:val="00157456"/>
    <w:rsid w:val="001576D8"/>
    <w:rsid w:val="001600DC"/>
    <w:rsid w:val="0017147E"/>
    <w:rsid w:val="00171B4F"/>
    <w:rsid w:val="0017334B"/>
    <w:rsid w:val="0018042C"/>
    <w:rsid w:val="001805EC"/>
    <w:rsid w:val="00182388"/>
    <w:rsid w:val="001845B5"/>
    <w:rsid w:val="00184970"/>
    <w:rsid w:val="00187523"/>
    <w:rsid w:val="00192078"/>
    <w:rsid w:val="001A23C0"/>
    <w:rsid w:val="001A4E76"/>
    <w:rsid w:val="001A64F5"/>
    <w:rsid w:val="001B02F3"/>
    <w:rsid w:val="001B1094"/>
    <w:rsid w:val="001B2818"/>
    <w:rsid w:val="001B31A9"/>
    <w:rsid w:val="001B70FE"/>
    <w:rsid w:val="001C5818"/>
    <w:rsid w:val="001C600F"/>
    <w:rsid w:val="001D0070"/>
    <w:rsid w:val="001D0C79"/>
    <w:rsid w:val="001D344F"/>
    <w:rsid w:val="001D3D5C"/>
    <w:rsid w:val="001D7E2F"/>
    <w:rsid w:val="001E0BCA"/>
    <w:rsid w:val="001E22C4"/>
    <w:rsid w:val="001E4532"/>
    <w:rsid w:val="001F16A9"/>
    <w:rsid w:val="001F18C6"/>
    <w:rsid w:val="001F39FC"/>
    <w:rsid w:val="001F4405"/>
    <w:rsid w:val="001F4F06"/>
    <w:rsid w:val="001F5D31"/>
    <w:rsid w:val="002023DF"/>
    <w:rsid w:val="00204714"/>
    <w:rsid w:val="002049C7"/>
    <w:rsid w:val="0021002D"/>
    <w:rsid w:val="002124CD"/>
    <w:rsid w:val="00217E7E"/>
    <w:rsid w:val="002338B4"/>
    <w:rsid w:val="002379AA"/>
    <w:rsid w:val="00245284"/>
    <w:rsid w:val="00245782"/>
    <w:rsid w:val="00260D1D"/>
    <w:rsid w:val="00264D00"/>
    <w:rsid w:val="002702B4"/>
    <w:rsid w:val="00271E9E"/>
    <w:rsid w:val="002742BA"/>
    <w:rsid w:val="00284FDD"/>
    <w:rsid w:val="002853B2"/>
    <w:rsid w:val="00291D56"/>
    <w:rsid w:val="00292481"/>
    <w:rsid w:val="002A1F0B"/>
    <w:rsid w:val="002A5C18"/>
    <w:rsid w:val="002B240B"/>
    <w:rsid w:val="002B7737"/>
    <w:rsid w:val="002C0351"/>
    <w:rsid w:val="002C25B1"/>
    <w:rsid w:val="002D079F"/>
    <w:rsid w:val="002D161D"/>
    <w:rsid w:val="002D4A0B"/>
    <w:rsid w:val="002E07FE"/>
    <w:rsid w:val="002E11C3"/>
    <w:rsid w:val="002E4D33"/>
    <w:rsid w:val="002E5526"/>
    <w:rsid w:val="002E6017"/>
    <w:rsid w:val="002E7876"/>
    <w:rsid w:val="002F5D58"/>
    <w:rsid w:val="002F7947"/>
    <w:rsid w:val="003070EF"/>
    <w:rsid w:val="00310794"/>
    <w:rsid w:val="0031735D"/>
    <w:rsid w:val="00322190"/>
    <w:rsid w:val="00325F13"/>
    <w:rsid w:val="00331F3A"/>
    <w:rsid w:val="00334FFB"/>
    <w:rsid w:val="003378E7"/>
    <w:rsid w:val="00341E98"/>
    <w:rsid w:val="00343D57"/>
    <w:rsid w:val="00346D4E"/>
    <w:rsid w:val="00355839"/>
    <w:rsid w:val="00357980"/>
    <w:rsid w:val="00362B06"/>
    <w:rsid w:val="00365321"/>
    <w:rsid w:val="00366308"/>
    <w:rsid w:val="0036681F"/>
    <w:rsid w:val="00366E9B"/>
    <w:rsid w:val="00372334"/>
    <w:rsid w:val="00373F19"/>
    <w:rsid w:val="00382D19"/>
    <w:rsid w:val="00387399"/>
    <w:rsid w:val="003949F9"/>
    <w:rsid w:val="00396400"/>
    <w:rsid w:val="003A1528"/>
    <w:rsid w:val="003A18B2"/>
    <w:rsid w:val="003A2050"/>
    <w:rsid w:val="003A280E"/>
    <w:rsid w:val="003A3D65"/>
    <w:rsid w:val="003A5C99"/>
    <w:rsid w:val="003A639B"/>
    <w:rsid w:val="003A6458"/>
    <w:rsid w:val="003A6DCD"/>
    <w:rsid w:val="003B29A2"/>
    <w:rsid w:val="003B376C"/>
    <w:rsid w:val="003B4B26"/>
    <w:rsid w:val="003C37E0"/>
    <w:rsid w:val="003C4669"/>
    <w:rsid w:val="003C527A"/>
    <w:rsid w:val="003D1925"/>
    <w:rsid w:val="003D493A"/>
    <w:rsid w:val="003E0B36"/>
    <w:rsid w:val="003E130F"/>
    <w:rsid w:val="003E1563"/>
    <w:rsid w:val="003F3653"/>
    <w:rsid w:val="003F46B6"/>
    <w:rsid w:val="003F633D"/>
    <w:rsid w:val="003F6F75"/>
    <w:rsid w:val="00401FA8"/>
    <w:rsid w:val="0040353E"/>
    <w:rsid w:val="00405023"/>
    <w:rsid w:val="004133CD"/>
    <w:rsid w:val="00413D01"/>
    <w:rsid w:val="00423F36"/>
    <w:rsid w:val="00430B3D"/>
    <w:rsid w:val="00431E49"/>
    <w:rsid w:val="00432BB9"/>
    <w:rsid w:val="00433332"/>
    <w:rsid w:val="00433D4B"/>
    <w:rsid w:val="00435925"/>
    <w:rsid w:val="004463BA"/>
    <w:rsid w:val="00446670"/>
    <w:rsid w:val="00466573"/>
    <w:rsid w:val="00472306"/>
    <w:rsid w:val="00475EE3"/>
    <w:rsid w:val="004778AB"/>
    <w:rsid w:val="00477C09"/>
    <w:rsid w:val="00480917"/>
    <w:rsid w:val="00480BEF"/>
    <w:rsid w:val="00484DDA"/>
    <w:rsid w:val="00486663"/>
    <w:rsid w:val="00490E3A"/>
    <w:rsid w:val="00491915"/>
    <w:rsid w:val="00491A22"/>
    <w:rsid w:val="00493AA7"/>
    <w:rsid w:val="00493EE1"/>
    <w:rsid w:val="00494118"/>
    <w:rsid w:val="0049500C"/>
    <w:rsid w:val="00496861"/>
    <w:rsid w:val="00496946"/>
    <w:rsid w:val="00497587"/>
    <w:rsid w:val="004A5A45"/>
    <w:rsid w:val="004B51E0"/>
    <w:rsid w:val="004B5950"/>
    <w:rsid w:val="004B5A72"/>
    <w:rsid w:val="004B5CCB"/>
    <w:rsid w:val="004B650B"/>
    <w:rsid w:val="004C0611"/>
    <w:rsid w:val="004C423C"/>
    <w:rsid w:val="004C47A9"/>
    <w:rsid w:val="004C51A9"/>
    <w:rsid w:val="004C5B0F"/>
    <w:rsid w:val="004C6808"/>
    <w:rsid w:val="004C7F28"/>
    <w:rsid w:val="004D1480"/>
    <w:rsid w:val="004D4506"/>
    <w:rsid w:val="004E2D1F"/>
    <w:rsid w:val="004F24B5"/>
    <w:rsid w:val="004F3EC7"/>
    <w:rsid w:val="005023E9"/>
    <w:rsid w:val="00506F19"/>
    <w:rsid w:val="00511EE9"/>
    <w:rsid w:val="005130EE"/>
    <w:rsid w:val="00514A20"/>
    <w:rsid w:val="00516B43"/>
    <w:rsid w:val="00521960"/>
    <w:rsid w:val="005223C9"/>
    <w:rsid w:val="00523070"/>
    <w:rsid w:val="00525E75"/>
    <w:rsid w:val="005309E7"/>
    <w:rsid w:val="00530DEF"/>
    <w:rsid w:val="0053517B"/>
    <w:rsid w:val="005361E2"/>
    <w:rsid w:val="0053758C"/>
    <w:rsid w:val="00546552"/>
    <w:rsid w:val="005475A2"/>
    <w:rsid w:val="00552575"/>
    <w:rsid w:val="005538D1"/>
    <w:rsid w:val="00553B5B"/>
    <w:rsid w:val="00565CBF"/>
    <w:rsid w:val="0056647F"/>
    <w:rsid w:val="005801FD"/>
    <w:rsid w:val="00580BF5"/>
    <w:rsid w:val="00580D24"/>
    <w:rsid w:val="00582A1D"/>
    <w:rsid w:val="00583BBF"/>
    <w:rsid w:val="005920AC"/>
    <w:rsid w:val="00592874"/>
    <w:rsid w:val="005970AE"/>
    <w:rsid w:val="0059724C"/>
    <w:rsid w:val="005A2595"/>
    <w:rsid w:val="005B10A2"/>
    <w:rsid w:val="005B6B36"/>
    <w:rsid w:val="005C3C4E"/>
    <w:rsid w:val="005C3ED6"/>
    <w:rsid w:val="005C5A1C"/>
    <w:rsid w:val="005C5F0C"/>
    <w:rsid w:val="005C65E8"/>
    <w:rsid w:val="005D01DF"/>
    <w:rsid w:val="005D5243"/>
    <w:rsid w:val="005D661C"/>
    <w:rsid w:val="005D6A4B"/>
    <w:rsid w:val="005E1909"/>
    <w:rsid w:val="005E3B01"/>
    <w:rsid w:val="005E5B32"/>
    <w:rsid w:val="005E6385"/>
    <w:rsid w:val="005F16EB"/>
    <w:rsid w:val="0060430A"/>
    <w:rsid w:val="00614156"/>
    <w:rsid w:val="00623C97"/>
    <w:rsid w:val="0062495B"/>
    <w:rsid w:val="0062660E"/>
    <w:rsid w:val="006268BF"/>
    <w:rsid w:val="006275E1"/>
    <w:rsid w:val="00630D16"/>
    <w:rsid w:val="00632208"/>
    <w:rsid w:val="006354CD"/>
    <w:rsid w:val="00637E95"/>
    <w:rsid w:val="00641648"/>
    <w:rsid w:val="006441E5"/>
    <w:rsid w:val="00644B82"/>
    <w:rsid w:val="006470EA"/>
    <w:rsid w:val="006511EE"/>
    <w:rsid w:val="00664241"/>
    <w:rsid w:val="00665584"/>
    <w:rsid w:val="00671137"/>
    <w:rsid w:val="006758A9"/>
    <w:rsid w:val="00675BE4"/>
    <w:rsid w:val="00677E84"/>
    <w:rsid w:val="00681C70"/>
    <w:rsid w:val="00685787"/>
    <w:rsid w:val="00687F09"/>
    <w:rsid w:val="00694175"/>
    <w:rsid w:val="00696F57"/>
    <w:rsid w:val="006A4FC8"/>
    <w:rsid w:val="006A52E3"/>
    <w:rsid w:val="006A70BA"/>
    <w:rsid w:val="006B08F7"/>
    <w:rsid w:val="006B099C"/>
    <w:rsid w:val="006B25BC"/>
    <w:rsid w:val="006C1D68"/>
    <w:rsid w:val="006C2386"/>
    <w:rsid w:val="006C4B9D"/>
    <w:rsid w:val="006C5C06"/>
    <w:rsid w:val="006D6E30"/>
    <w:rsid w:val="006E2DD3"/>
    <w:rsid w:val="006E730E"/>
    <w:rsid w:val="006F4B50"/>
    <w:rsid w:val="006F51D9"/>
    <w:rsid w:val="00703F8C"/>
    <w:rsid w:val="007104F9"/>
    <w:rsid w:val="00710E8E"/>
    <w:rsid w:val="007116F5"/>
    <w:rsid w:val="00725B0E"/>
    <w:rsid w:val="007269E3"/>
    <w:rsid w:val="00733929"/>
    <w:rsid w:val="00754819"/>
    <w:rsid w:val="00764B69"/>
    <w:rsid w:val="0076654A"/>
    <w:rsid w:val="00767793"/>
    <w:rsid w:val="00773660"/>
    <w:rsid w:val="007741D8"/>
    <w:rsid w:val="00774515"/>
    <w:rsid w:val="007759D6"/>
    <w:rsid w:val="00775DAA"/>
    <w:rsid w:val="0077746C"/>
    <w:rsid w:val="007831B5"/>
    <w:rsid w:val="00784AA0"/>
    <w:rsid w:val="0078520A"/>
    <w:rsid w:val="00791C5B"/>
    <w:rsid w:val="007969F8"/>
    <w:rsid w:val="007A1D6B"/>
    <w:rsid w:val="007B1E4B"/>
    <w:rsid w:val="007B6C75"/>
    <w:rsid w:val="007C0637"/>
    <w:rsid w:val="007C0879"/>
    <w:rsid w:val="007C183B"/>
    <w:rsid w:val="007C5D8F"/>
    <w:rsid w:val="007D1308"/>
    <w:rsid w:val="007D17E7"/>
    <w:rsid w:val="007D3B80"/>
    <w:rsid w:val="007D3F8A"/>
    <w:rsid w:val="007D7EF1"/>
    <w:rsid w:val="007E1102"/>
    <w:rsid w:val="007E41A9"/>
    <w:rsid w:val="007E7A84"/>
    <w:rsid w:val="007F3FD7"/>
    <w:rsid w:val="00803D6C"/>
    <w:rsid w:val="008060AD"/>
    <w:rsid w:val="008367F3"/>
    <w:rsid w:val="008410C3"/>
    <w:rsid w:val="00841B1C"/>
    <w:rsid w:val="00844532"/>
    <w:rsid w:val="00850332"/>
    <w:rsid w:val="008530D2"/>
    <w:rsid w:val="008558B6"/>
    <w:rsid w:val="0085763F"/>
    <w:rsid w:val="00857EAD"/>
    <w:rsid w:val="0086326A"/>
    <w:rsid w:val="00872168"/>
    <w:rsid w:val="00880E01"/>
    <w:rsid w:val="00891CDF"/>
    <w:rsid w:val="00896DEF"/>
    <w:rsid w:val="008A1C9D"/>
    <w:rsid w:val="008A380B"/>
    <w:rsid w:val="008B00B6"/>
    <w:rsid w:val="008B4323"/>
    <w:rsid w:val="008B6DD2"/>
    <w:rsid w:val="008C1063"/>
    <w:rsid w:val="008C1B2A"/>
    <w:rsid w:val="008D296E"/>
    <w:rsid w:val="008D4C39"/>
    <w:rsid w:val="008F0369"/>
    <w:rsid w:val="008F0DBA"/>
    <w:rsid w:val="008F10F2"/>
    <w:rsid w:val="008F16FB"/>
    <w:rsid w:val="008F3E17"/>
    <w:rsid w:val="008F41BE"/>
    <w:rsid w:val="00901E18"/>
    <w:rsid w:val="00902AEA"/>
    <w:rsid w:val="009036CB"/>
    <w:rsid w:val="00907DBC"/>
    <w:rsid w:val="00913478"/>
    <w:rsid w:val="00921AC1"/>
    <w:rsid w:val="009224D7"/>
    <w:rsid w:val="0094690A"/>
    <w:rsid w:val="00951DCB"/>
    <w:rsid w:val="009530C0"/>
    <w:rsid w:val="009543FD"/>
    <w:rsid w:val="0095486D"/>
    <w:rsid w:val="00955B7C"/>
    <w:rsid w:val="009666C8"/>
    <w:rsid w:val="00971CC8"/>
    <w:rsid w:val="0097642D"/>
    <w:rsid w:val="00976DB6"/>
    <w:rsid w:val="0098264A"/>
    <w:rsid w:val="00983516"/>
    <w:rsid w:val="00985616"/>
    <w:rsid w:val="00985727"/>
    <w:rsid w:val="009946D1"/>
    <w:rsid w:val="00997A8B"/>
    <w:rsid w:val="009A5813"/>
    <w:rsid w:val="009B28FF"/>
    <w:rsid w:val="009B4B97"/>
    <w:rsid w:val="009C4D4C"/>
    <w:rsid w:val="009D0BF5"/>
    <w:rsid w:val="009D0CDE"/>
    <w:rsid w:val="009D2BC1"/>
    <w:rsid w:val="009E61C4"/>
    <w:rsid w:val="009E6875"/>
    <w:rsid w:val="009E6903"/>
    <w:rsid w:val="009E75C9"/>
    <w:rsid w:val="009F1844"/>
    <w:rsid w:val="009F5E69"/>
    <w:rsid w:val="00A00A7E"/>
    <w:rsid w:val="00A011AF"/>
    <w:rsid w:val="00A024E4"/>
    <w:rsid w:val="00A068B3"/>
    <w:rsid w:val="00A114F0"/>
    <w:rsid w:val="00A12F58"/>
    <w:rsid w:val="00A21E17"/>
    <w:rsid w:val="00A24D6E"/>
    <w:rsid w:val="00A269CE"/>
    <w:rsid w:val="00A31C34"/>
    <w:rsid w:val="00A331A0"/>
    <w:rsid w:val="00A35ED2"/>
    <w:rsid w:val="00A3779B"/>
    <w:rsid w:val="00A448A8"/>
    <w:rsid w:val="00A62466"/>
    <w:rsid w:val="00A704DA"/>
    <w:rsid w:val="00A757DE"/>
    <w:rsid w:val="00A87D48"/>
    <w:rsid w:val="00A90F19"/>
    <w:rsid w:val="00A919B9"/>
    <w:rsid w:val="00A93152"/>
    <w:rsid w:val="00A94251"/>
    <w:rsid w:val="00A954DE"/>
    <w:rsid w:val="00AA3336"/>
    <w:rsid w:val="00AB1DFA"/>
    <w:rsid w:val="00AB3EBA"/>
    <w:rsid w:val="00AB4AAB"/>
    <w:rsid w:val="00AB708A"/>
    <w:rsid w:val="00AB7D46"/>
    <w:rsid w:val="00AC0FF2"/>
    <w:rsid w:val="00AC418D"/>
    <w:rsid w:val="00AC7D16"/>
    <w:rsid w:val="00AD3616"/>
    <w:rsid w:val="00AD3BD6"/>
    <w:rsid w:val="00AE1555"/>
    <w:rsid w:val="00AF0371"/>
    <w:rsid w:val="00AF0CB1"/>
    <w:rsid w:val="00AF17F3"/>
    <w:rsid w:val="00AF2F48"/>
    <w:rsid w:val="00AF5DDC"/>
    <w:rsid w:val="00B07FBC"/>
    <w:rsid w:val="00B1190E"/>
    <w:rsid w:val="00B14009"/>
    <w:rsid w:val="00B16886"/>
    <w:rsid w:val="00B17503"/>
    <w:rsid w:val="00B27FBE"/>
    <w:rsid w:val="00B33AB4"/>
    <w:rsid w:val="00B40290"/>
    <w:rsid w:val="00B4097E"/>
    <w:rsid w:val="00B503BD"/>
    <w:rsid w:val="00B53E28"/>
    <w:rsid w:val="00B547A3"/>
    <w:rsid w:val="00B579E9"/>
    <w:rsid w:val="00B67752"/>
    <w:rsid w:val="00B72F09"/>
    <w:rsid w:val="00B75DB1"/>
    <w:rsid w:val="00B75F67"/>
    <w:rsid w:val="00B764CD"/>
    <w:rsid w:val="00B83A7F"/>
    <w:rsid w:val="00B8464D"/>
    <w:rsid w:val="00B8594C"/>
    <w:rsid w:val="00B930FF"/>
    <w:rsid w:val="00B94AA2"/>
    <w:rsid w:val="00B96308"/>
    <w:rsid w:val="00BB00D0"/>
    <w:rsid w:val="00BB0A02"/>
    <w:rsid w:val="00BB3E80"/>
    <w:rsid w:val="00BC1D84"/>
    <w:rsid w:val="00BC2D34"/>
    <w:rsid w:val="00BD2774"/>
    <w:rsid w:val="00BD3106"/>
    <w:rsid w:val="00BD52E5"/>
    <w:rsid w:val="00BD5E40"/>
    <w:rsid w:val="00BE072F"/>
    <w:rsid w:val="00BE1378"/>
    <w:rsid w:val="00BE2CA9"/>
    <w:rsid w:val="00BE72EB"/>
    <w:rsid w:val="00BF238A"/>
    <w:rsid w:val="00BF5353"/>
    <w:rsid w:val="00BF7D1F"/>
    <w:rsid w:val="00C04BEB"/>
    <w:rsid w:val="00C05CAC"/>
    <w:rsid w:val="00C06320"/>
    <w:rsid w:val="00C12133"/>
    <w:rsid w:val="00C21DEB"/>
    <w:rsid w:val="00C22A0D"/>
    <w:rsid w:val="00C26060"/>
    <w:rsid w:val="00C26FBB"/>
    <w:rsid w:val="00C337DB"/>
    <w:rsid w:val="00C33B67"/>
    <w:rsid w:val="00C37F78"/>
    <w:rsid w:val="00C40813"/>
    <w:rsid w:val="00C40ABD"/>
    <w:rsid w:val="00C44EE0"/>
    <w:rsid w:val="00C5058F"/>
    <w:rsid w:val="00C5233A"/>
    <w:rsid w:val="00C627D0"/>
    <w:rsid w:val="00C62BA7"/>
    <w:rsid w:val="00C6366A"/>
    <w:rsid w:val="00C64FAC"/>
    <w:rsid w:val="00C67709"/>
    <w:rsid w:val="00C70078"/>
    <w:rsid w:val="00C77203"/>
    <w:rsid w:val="00C774D0"/>
    <w:rsid w:val="00C84C72"/>
    <w:rsid w:val="00C863D9"/>
    <w:rsid w:val="00C92FE8"/>
    <w:rsid w:val="00C970C6"/>
    <w:rsid w:val="00CA369C"/>
    <w:rsid w:val="00CA385B"/>
    <w:rsid w:val="00CA3CA2"/>
    <w:rsid w:val="00CA401D"/>
    <w:rsid w:val="00CA78AE"/>
    <w:rsid w:val="00CB3D1C"/>
    <w:rsid w:val="00CB5FC4"/>
    <w:rsid w:val="00CB63B6"/>
    <w:rsid w:val="00CB694B"/>
    <w:rsid w:val="00CB6A92"/>
    <w:rsid w:val="00CD023F"/>
    <w:rsid w:val="00CD2C6F"/>
    <w:rsid w:val="00CD3224"/>
    <w:rsid w:val="00CE019F"/>
    <w:rsid w:val="00CE1DCB"/>
    <w:rsid w:val="00CE4222"/>
    <w:rsid w:val="00CE5134"/>
    <w:rsid w:val="00CE70CE"/>
    <w:rsid w:val="00CF33C3"/>
    <w:rsid w:val="00CF46CA"/>
    <w:rsid w:val="00CF4F74"/>
    <w:rsid w:val="00D00978"/>
    <w:rsid w:val="00D10DCA"/>
    <w:rsid w:val="00D115F9"/>
    <w:rsid w:val="00D16CD3"/>
    <w:rsid w:val="00D22BC1"/>
    <w:rsid w:val="00D24451"/>
    <w:rsid w:val="00D3061C"/>
    <w:rsid w:val="00D30EBE"/>
    <w:rsid w:val="00D33D80"/>
    <w:rsid w:val="00D37798"/>
    <w:rsid w:val="00D37AD4"/>
    <w:rsid w:val="00D55A3A"/>
    <w:rsid w:val="00D6313F"/>
    <w:rsid w:val="00D65A64"/>
    <w:rsid w:val="00D74643"/>
    <w:rsid w:val="00D863B0"/>
    <w:rsid w:val="00D873B7"/>
    <w:rsid w:val="00D91F52"/>
    <w:rsid w:val="00D9672B"/>
    <w:rsid w:val="00DA4ABA"/>
    <w:rsid w:val="00DA7371"/>
    <w:rsid w:val="00DA7E94"/>
    <w:rsid w:val="00DB6C7B"/>
    <w:rsid w:val="00DB7C56"/>
    <w:rsid w:val="00DC01CD"/>
    <w:rsid w:val="00DD1B8A"/>
    <w:rsid w:val="00DD2182"/>
    <w:rsid w:val="00DE147B"/>
    <w:rsid w:val="00DE18C7"/>
    <w:rsid w:val="00DE7590"/>
    <w:rsid w:val="00DF178B"/>
    <w:rsid w:val="00DF49C4"/>
    <w:rsid w:val="00DF7267"/>
    <w:rsid w:val="00E10898"/>
    <w:rsid w:val="00E15819"/>
    <w:rsid w:val="00E22C9F"/>
    <w:rsid w:val="00E25B31"/>
    <w:rsid w:val="00E32A7C"/>
    <w:rsid w:val="00E404A7"/>
    <w:rsid w:val="00E40A5E"/>
    <w:rsid w:val="00E4666B"/>
    <w:rsid w:val="00E54183"/>
    <w:rsid w:val="00E54226"/>
    <w:rsid w:val="00E5556F"/>
    <w:rsid w:val="00E577B5"/>
    <w:rsid w:val="00E606E4"/>
    <w:rsid w:val="00E61A4D"/>
    <w:rsid w:val="00E62B08"/>
    <w:rsid w:val="00E65D71"/>
    <w:rsid w:val="00E70D1C"/>
    <w:rsid w:val="00E7109F"/>
    <w:rsid w:val="00E73391"/>
    <w:rsid w:val="00E90418"/>
    <w:rsid w:val="00E923FA"/>
    <w:rsid w:val="00EA14C2"/>
    <w:rsid w:val="00EA2C67"/>
    <w:rsid w:val="00EA3A4A"/>
    <w:rsid w:val="00EB032E"/>
    <w:rsid w:val="00EB3B8B"/>
    <w:rsid w:val="00EB6137"/>
    <w:rsid w:val="00EC2819"/>
    <w:rsid w:val="00EC31FC"/>
    <w:rsid w:val="00EC620B"/>
    <w:rsid w:val="00EC6F78"/>
    <w:rsid w:val="00ED5488"/>
    <w:rsid w:val="00ED6FD1"/>
    <w:rsid w:val="00EE3D28"/>
    <w:rsid w:val="00EE6275"/>
    <w:rsid w:val="00EF2A8E"/>
    <w:rsid w:val="00F0196B"/>
    <w:rsid w:val="00F07734"/>
    <w:rsid w:val="00F11D53"/>
    <w:rsid w:val="00F142DD"/>
    <w:rsid w:val="00F1522A"/>
    <w:rsid w:val="00F1601D"/>
    <w:rsid w:val="00F1644D"/>
    <w:rsid w:val="00F201D8"/>
    <w:rsid w:val="00F23754"/>
    <w:rsid w:val="00F24C05"/>
    <w:rsid w:val="00F27634"/>
    <w:rsid w:val="00F332AE"/>
    <w:rsid w:val="00F351A4"/>
    <w:rsid w:val="00F35CDC"/>
    <w:rsid w:val="00F4341F"/>
    <w:rsid w:val="00F43655"/>
    <w:rsid w:val="00F44B85"/>
    <w:rsid w:val="00F45DA1"/>
    <w:rsid w:val="00F464FA"/>
    <w:rsid w:val="00F47868"/>
    <w:rsid w:val="00F50E59"/>
    <w:rsid w:val="00F51135"/>
    <w:rsid w:val="00F53950"/>
    <w:rsid w:val="00F547DE"/>
    <w:rsid w:val="00F564F3"/>
    <w:rsid w:val="00F573D4"/>
    <w:rsid w:val="00F57E7F"/>
    <w:rsid w:val="00F60A5A"/>
    <w:rsid w:val="00F61F0F"/>
    <w:rsid w:val="00F65034"/>
    <w:rsid w:val="00F662A7"/>
    <w:rsid w:val="00F673D3"/>
    <w:rsid w:val="00F75257"/>
    <w:rsid w:val="00F7638A"/>
    <w:rsid w:val="00F76FE8"/>
    <w:rsid w:val="00F854A5"/>
    <w:rsid w:val="00F90085"/>
    <w:rsid w:val="00F907A0"/>
    <w:rsid w:val="00F9407E"/>
    <w:rsid w:val="00F95D5F"/>
    <w:rsid w:val="00FA0C44"/>
    <w:rsid w:val="00FB5DD5"/>
    <w:rsid w:val="00FC67B7"/>
    <w:rsid w:val="00FD0A47"/>
    <w:rsid w:val="00FD2265"/>
    <w:rsid w:val="00FD4888"/>
    <w:rsid w:val="00FD5796"/>
    <w:rsid w:val="00FE0967"/>
    <w:rsid w:val="00FE519F"/>
    <w:rsid w:val="00FF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8A6F"/>
  <w15:chartTrackingRefBased/>
  <w15:docId w15:val="{4BA6B993-119E-4CA2-97B3-2B39FE99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C6F"/>
    <w:rPr>
      <w:sz w:val="24"/>
      <w:szCs w:val="24"/>
      <w:lang w:val="lt-LT" w:eastAsia="en-US"/>
    </w:rPr>
  </w:style>
  <w:style w:type="paragraph" w:styleId="Heading2">
    <w:name w:val="heading 2"/>
    <w:basedOn w:val="Normal"/>
    <w:next w:val="Normal"/>
    <w:link w:val="Heading2Char"/>
    <w:qFormat/>
    <w:rsid w:val="00FD0A47"/>
    <w:pPr>
      <w:keepNext/>
      <w:jc w:val="center"/>
      <w:outlineLvl w:val="1"/>
    </w:pPr>
    <w:rPr>
      <w:b/>
      <w:caps/>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9724C"/>
    <w:rPr>
      <w:sz w:val="16"/>
      <w:szCs w:val="16"/>
    </w:rPr>
  </w:style>
  <w:style w:type="paragraph" w:styleId="CommentText">
    <w:name w:val="annotation text"/>
    <w:basedOn w:val="Normal"/>
    <w:link w:val="CommentTextChar"/>
    <w:uiPriority w:val="99"/>
    <w:semiHidden/>
    <w:rsid w:val="0059724C"/>
    <w:rPr>
      <w:sz w:val="20"/>
      <w:szCs w:val="20"/>
    </w:rPr>
  </w:style>
  <w:style w:type="paragraph" w:styleId="BodyTextIndent">
    <w:name w:val="Body Text Indent"/>
    <w:basedOn w:val="Normal"/>
    <w:rsid w:val="0059724C"/>
    <w:pPr>
      <w:spacing w:after="120"/>
      <w:ind w:left="283"/>
    </w:pPr>
  </w:style>
  <w:style w:type="paragraph" w:styleId="Header">
    <w:name w:val="header"/>
    <w:basedOn w:val="Normal"/>
    <w:link w:val="HeaderChar"/>
    <w:rsid w:val="0059724C"/>
    <w:pPr>
      <w:tabs>
        <w:tab w:val="center" w:pos="4819"/>
        <w:tab w:val="right" w:pos="9638"/>
      </w:tabs>
    </w:pPr>
  </w:style>
  <w:style w:type="character" w:styleId="PageNumber">
    <w:name w:val="page number"/>
    <w:basedOn w:val="DefaultParagraphFont"/>
    <w:rsid w:val="0059724C"/>
  </w:style>
  <w:style w:type="paragraph" w:styleId="BalloonText">
    <w:name w:val="Balloon Text"/>
    <w:basedOn w:val="Normal"/>
    <w:semiHidden/>
    <w:rsid w:val="0059724C"/>
    <w:rPr>
      <w:rFonts w:ascii="Tahoma" w:hAnsi="Tahoma" w:cs="Tahoma"/>
      <w:sz w:val="16"/>
      <w:szCs w:val="16"/>
    </w:rPr>
  </w:style>
  <w:style w:type="paragraph" w:styleId="BodyTextIndent2">
    <w:name w:val="Body Text Indent 2"/>
    <w:basedOn w:val="Normal"/>
    <w:rsid w:val="00F27634"/>
    <w:pPr>
      <w:spacing w:after="120" w:line="480" w:lineRule="auto"/>
      <w:ind w:left="283"/>
    </w:pPr>
  </w:style>
  <w:style w:type="paragraph" w:styleId="List2">
    <w:name w:val="List 2"/>
    <w:basedOn w:val="Normal"/>
    <w:rsid w:val="00CA78AE"/>
    <w:pPr>
      <w:widowControl w:val="0"/>
      <w:ind w:left="566" w:hanging="283"/>
    </w:pPr>
    <w:rPr>
      <w:szCs w:val="20"/>
      <w:lang w:eastAsia="lt-LT"/>
    </w:rPr>
  </w:style>
  <w:style w:type="character" w:styleId="Hyperlink">
    <w:name w:val="Hyperlink"/>
    <w:rsid w:val="00DD1B8A"/>
    <w:rPr>
      <w:color w:val="0000FF"/>
      <w:u w:val="single"/>
    </w:rPr>
  </w:style>
  <w:style w:type="paragraph" w:styleId="HTMLPreformatted">
    <w:name w:val="HTML Preformatted"/>
    <w:basedOn w:val="Normal"/>
    <w:link w:val="HTMLPreformattedChar"/>
    <w:rsid w:val="00DD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table" w:styleId="TableGrid">
    <w:name w:val="Table Grid"/>
    <w:basedOn w:val="TableNormal"/>
    <w:rsid w:val="00F4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E606E4"/>
    <w:rPr>
      <w:rFonts w:ascii="Arial Unicode MS" w:eastAsia="Arial Unicode MS" w:hAnsi="Arial Unicode MS" w:cs="Arial Unicode MS"/>
      <w:sz w:val="20"/>
      <w:szCs w:val="20"/>
    </w:rPr>
  </w:style>
  <w:style w:type="paragraph" w:customStyle="1" w:styleId="statymopavad">
    <w:name w:val="Įstatymo pavad."/>
    <w:basedOn w:val="Normal"/>
    <w:rsid w:val="00880E01"/>
    <w:pPr>
      <w:spacing w:line="360" w:lineRule="auto"/>
      <w:ind w:firstLine="720"/>
      <w:jc w:val="center"/>
    </w:pPr>
    <w:rPr>
      <w:rFonts w:ascii="TimesLT" w:hAnsi="TimesLT"/>
      <w:caps/>
      <w:szCs w:val="20"/>
    </w:rPr>
  </w:style>
  <w:style w:type="paragraph" w:customStyle="1" w:styleId="Sraopastraipa1">
    <w:name w:val="Sąrašo pastraipa1"/>
    <w:basedOn w:val="Normal"/>
    <w:qFormat/>
    <w:rsid w:val="00F1644D"/>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semiHidden/>
    <w:rsid w:val="00A12F58"/>
    <w:rPr>
      <w:b/>
      <w:bCs/>
      <w:lang w:val="en-GB"/>
    </w:rPr>
  </w:style>
  <w:style w:type="paragraph" w:customStyle="1" w:styleId="CharChar">
    <w:name w:val="Char Char"/>
    <w:basedOn w:val="Normal"/>
    <w:rsid w:val="008D4C39"/>
    <w:pPr>
      <w:spacing w:after="160" w:line="240" w:lineRule="exact"/>
    </w:pPr>
    <w:rPr>
      <w:rFonts w:ascii="Tahoma" w:hAnsi="Tahoma" w:cs="Tahoma"/>
      <w:sz w:val="20"/>
      <w:szCs w:val="20"/>
      <w:lang w:val="en-US"/>
    </w:rPr>
  </w:style>
  <w:style w:type="paragraph" w:customStyle="1" w:styleId="CharChar2DiagramaDiagramaCharChar">
    <w:name w:val="Char Char2 Diagrama Diagrama Char Char"/>
    <w:basedOn w:val="Normal"/>
    <w:rsid w:val="002049C7"/>
    <w:pPr>
      <w:spacing w:after="160" w:line="240" w:lineRule="exact"/>
    </w:pPr>
    <w:rPr>
      <w:rFonts w:ascii="Tahoma" w:hAnsi="Tahoma" w:cs="Tahoma"/>
      <w:sz w:val="20"/>
      <w:szCs w:val="20"/>
      <w:lang w:val="en-US"/>
    </w:rPr>
  </w:style>
  <w:style w:type="paragraph" w:customStyle="1" w:styleId="DiagramaDiagramaDiagramaDiagrama">
    <w:name w:val="Diagrama Diagrama Diagrama Diagrama"/>
    <w:basedOn w:val="Normal"/>
    <w:rsid w:val="00B94AA2"/>
    <w:pPr>
      <w:spacing w:after="160" w:line="240" w:lineRule="exact"/>
    </w:pPr>
    <w:rPr>
      <w:rFonts w:ascii="Tahoma" w:hAnsi="Tahoma" w:cs="Tahoma"/>
      <w:sz w:val="20"/>
      <w:szCs w:val="20"/>
      <w:lang w:val="en-US"/>
    </w:rPr>
  </w:style>
  <w:style w:type="paragraph" w:styleId="DocumentMap">
    <w:name w:val="Document Map"/>
    <w:basedOn w:val="Normal"/>
    <w:semiHidden/>
    <w:rsid w:val="00CD023F"/>
    <w:pPr>
      <w:shd w:val="clear" w:color="auto" w:fill="000080"/>
    </w:pPr>
    <w:rPr>
      <w:rFonts w:ascii="Tahoma" w:hAnsi="Tahoma" w:cs="Tahoma"/>
      <w:sz w:val="20"/>
      <w:szCs w:val="20"/>
    </w:rPr>
  </w:style>
  <w:style w:type="character" w:customStyle="1" w:styleId="HTMLPreformattedChar">
    <w:name w:val="HTML Preformatted Char"/>
    <w:link w:val="HTMLPreformatted"/>
    <w:semiHidden/>
    <w:locked/>
    <w:rsid w:val="004C423C"/>
    <w:rPr>
      <w:rFonts w:ascii="Courier New" w:hAnsi="Courier New" w:cs="Courier New"/>
      <w:lang w:val="lt-LT" w:eastAsia="lt-LT" w:bidi="ar-SA"/>
    </w:rPr>
  </w:style>
  <w:style w:type="character" w:customStyle="1" w:styleId="Heading2Char">
    <w:name w:val="Heading 2 Char"/>
    <w:link w:val="Heading2"/>
    <w:semiHidden/>
    <w:locked/>
    <w:rsid w:val="008A380B"/>
    <w:rPr>
      <w:b/>
      <w:caps/>
      <w:sz w:val="24"/>
      <w:lang w:val="lt-LT" w:eastAsia="lt-LT" w:bidi="ar-SA"/>
    </w:rPr>
  </w:style>
  <w:style w:type="character" w:customStyle="1" w:styleId="HeaderChar">
    <w:name w:val="Header Char"/>
    <w:link w:val="Header"/>
    <w:semiHidden/>
    <w:locked/>
    <w:rsid w:val="008A380B"/>
    <w:rPr>
      <w:sz w:val="24"/>
      <w:szCs w:val="24"/>
      <w:lang w:val="en-GB" w:eastAsia="en-US" w:bidi="ar-SA"/>
    </w:rPr>
  </w:style>
  <w:style w:type="character" w:customStyle="1" w:styleId="apple-converted-space">
    <w:name w:val="apple-converted-space"/>
    <w:rsid w:val="006441E5"/>
  </w:style>
  <w:style w:type="character" w:customStyle="1" w:styleId="CommentTextChar">
    <w:name w:val="Comment Text Char"/>
    <w:link w:val="CommentText"/>
    <w:uiPriority w:val="99"/>
    <w:semiHidden/>
    <w:rsid w:val="00791C5B"/>
    <w:rPr>
      <w:lang w:val="lt-LT"/>
    </w:rPr>
  </w:style>
  <w:style w:type="paragraph" w:styleId="NormalWeb">
    <w:name w:val="Normal (Web)"/>
    <w:basedOn w:val="Normal"/>
    <w:uiPriority w:val="99"/>
    <w:unhideWhenUsed/>
    <w:rsid w:val="00955B7C"/>
    <w:pPr>
      <w:spacing w:before="100" w:beforeAutospacing="1" w:after="100" w:afterAutospacing="1"/>
    </w:pPr>
    <w:rPr>
      <w:lang w:val="en-US"/>
    </w:rPr>
  </w:style>
  <w:style w:type="paragraph" w:styleId="ListParagraph">
    <w:name w:val="List Paragraph"/>
    <w:basedOn w:val="Normal"/>
    <w:uiPriority w:val="34"/>
    <w:qFormat/>
    <w:rsid w:val="004B5A72"/>
    <w:pPr>
      <w:suppressAutoHyphens/>
      <w:ind w:left="720"/>
      <w:contextualSpacing/>
    </w:pPr>
    <w:rPr>
      <w:lang w:eastAsia="ar-SA"/>
    </w:rPr>
  </w:style>
  <w:style w:type="paragraph" w:customStyle="1" w:styleId="KTpstrnum">
    <w:name w:val="KT pstr num"/>
    <w:basedOn w:val="Normal"/>
    <w:link w:val="KTpstrnumChar"/>
    <w:qFormat/>
    <w:rsid w:val="005023E9"/>
    <w:pPr>
      <w:numPr>
        <w:numId w:val="10"/>
      </w:numPr>
      <w:jc w:val="both"/>
    </w:pPr>
    <w:rPr>
      <w:rFonts w:eastAsia="Calibri"/>
    </w:rPr>
  </w:style>
  <w:style w:type="character" w:customStyle="1" w:styleId="KTpstrnumChar">
    <w:name w:val="KT pstr num Char"/>
    <w:link w:val="KTpstrnum"/>
    <w:rsid w:val="005023E9"/>
    <w:rPr>
      <w:rFonts w:eastAsia="Calibri"/>
      <w:sz w:val="24"/>
      <w:szCs w:val="24"/>
      <w:lang w:eastAsia="en-US"/>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iPriority w:val="99"/>
    <w:unhideWhenUsed/>
    <w:rsid w:val="005023E9"/>
    <w:pPr>
      <w:jc w:val="both"/>
    </w:pPr>
    <w:rPr>
      <w:rFonts w:eastAsia="Calibri"/>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uiPriority w:val="99"/>
    <w:rsid w:val="005023E9"/>
    <w:rPr>
      <w:rFonts w:eastAsia="Calibri"/>
      <w:lang w:eastAsia="en-US"/>
    </w:rPr>
  </w:style>
  <w:style w:type="character" w:styleId="FootnoteReference">
    <w:name w:val="footnote reference"/>
    <w:aliases w:val="Ref,de nota al pie,Puslapio išnašos nuoroda1,fr,(NECG) Footnote Reference,o"/>
    <w:uiPriority w:val="99"/>
    <w:unhideWhenUsed/>
    <w:rsid w:val="005023E9"/>
    <w:rPr>
      <w:vertAlign w:val="superscript"/>
    </w:rPr>
  </w:style>
  <w:style w:type="character" w:customStyle="1" w:styleId="apple-style-span">
    <w:name w:val="apple-style-span"/>
    <w:rsid w:val="005023E9"/>
  </w:style>
  <w:style w:type="paragraph" w:customStyle="1" w:styleId="tajtip">
    <w:name w:val="tajtip"/>
    <w:basedOn w:val="Normal"/>
    <w:rsid w:val="0000213D"/>
    <w:pPr>
      <w:spacing w:before="100" w:beforeAutospacing="1" w:after="100" w:afterAutospacing="1"/>
    </w:pPr>
    <w:rPr>
      <w:lang w:eastAsia="lt-LT"/>
    </w:rPr>
  </w:style>
  <w:style w:type="paragraph" w:styleId="BodyText">
    <w:name w:val="Body Text"/>
    <w:basedOn w:val="Normal"/>
    <w:link w:val="BodyTextChar"/>
    <w:uiPriority w:val="99"/>
    <w:rsid w:val="007E7A84"/>
    <w:pPr>
      <w:spacing w:after="120"/>
    </w:pPr>
    <w:rPr>
      <w:szCs w:val="20"/>
      <w:lang w:eastAsia="lt-LT"/>
    </w:rPr>
  </w:style>
  <w:style w:type="character" w:customStyle="1" w:styleId="BodyTextChar">
    <w:name w:val="Body Text Char"/>
    <w:link w:val="BodyText"/>
    <w:uiPriority w:val="99"/>
    <w:rsid w:val="007E7A84"/>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5155">
      <w:bodyDiv w:val="1"/>
      <w:marLeft w:val="0"/>
      <w:marRight w:val="0"/>
      <w:marTop w:val="0"/>
      <w:marBottom w:val="0"/>
      <w:divBdr>
        <w:top w:val="none" w:sz="0" w:space="0" w:color="auto"/>
        <w:left w:val="none" w:sz="0" w:space="0" w:color="auto"/>
        <w:bottom w:val="none" w:sz="0" w:space="0" w:color="auto"/>
        <w:right w:val="none" w:sz="0" w:space="0" w:color="auto"/>
      </w:divBdr>
    </w:div>
    <w:div w:id="289283788">
      <w:bodyDiv w:val="1"/>
      <w:marLeft w:val="0"/>
      <w:marRight w:val="0"/>
      <w:marTop w:val="0"/>
      <w:marBottom w:val="0"/>
      <w:divBdr>
        <w:top w:val="none" w:sz="0" w:space="0" w:color="auto"/>
        <w:left w:val="none" w:sz="0" w:space="0" w:color="auto"/>
        <w:bottom w:val="none" w:sz="0" w:space="0" w:color="auto"/>
        <w:right w:val="none" w:sz="0" w:space="0" w:color="auto"/>
      </w:divBdr>
    </w:div>
    <w:div w:id="456334558">
      <w:bodyDiv w:val="1"/>
      <w:marLeft w:val="0"/>
      <w:marRight w:val="0"/>
      <w:marTop w:val="0"/>
      <w:marBottom w:val="0"/>
      <w:divBdr>
        <w:top w:val="none" w:sz="0" w:space="0" w:color="auto"/>
        <w:left w:val="none" w:sz="0" w:space="0" w:color="auto"/>
        <w:bottom w:val="none" w:sz="0" w:space="0" w:color="auto"/>
        <w:right w:val="none" w:sz="0" w:space="0" w:color="auto"/>
      </w:divBdr>
    </w:div>
    <w:div w:id="566888876">
      <w:bodyDiv w:val="1"/>
      <w:marLeft w:val="0"/>
      <w:marRight w:val="0"/>
      <w:marTop w:val="0"/>
      <w:marBottom w:val="0"/>
      <w:divBdr>
        <w:top w:val="none" w:sz="0" w:space="0" w:color="auto"/>
        <w:left w:val="none" w:sz="0" w:space="0" w:color="auto"/>
        <w:bottom w:val="none" w:sz="0" w:space="0" w:color="auto"/>
        <w:right w:val="none" w:sz="0" w:space="0" w:color="auto"/>
      </w:divBdr>
    </w:div>
    <w:div w:id="654063808">
      <w:bodyDiv w:val="1"/>
      <w:marLeft w:val="237"/>
      <w:marRight w:val="237"/>
      <w:marTop w:val="0"/>
      <w:marBottom w:val="0"/>
      <w:divBdr>
        <w:top w:val="none" w:sz="0" w:space="0" w:color="auto"/>
        <w:left w:val="none" w:sz="0" w:space="0" w:color="auto"/>
        <w:bottom w:val="none" w:sz="0" w:space="0" w:color="auto"/>
        <w:right w:val="none" w:sz="0" w:space="0" w:color="auto"/>
      </w:divBdr>
      <w:divsChild>
        <w:div w:id="1051535053">
          <w:marLeft w:val="0"/>
          <w:marRight w:val="0"/>
          <w:marTop w:val="0"/>
          <w:marBottom w:val="0"/>
          <w:divBdr>
            <w:top w:val="none" w:sz="0" w:space="0" w:color="auto"/>
            <w:left w:val="none" w:sz="0" w:space="0" w:color="auto"/>
            <w:bottom w:val="none" w:sz="0" w:space="0" w:color="auto"/>
            <w:right w:val="none" w:sz="0" w:space="0" w:color="auto"/>
          </w:divBdr>
        </w:div>
      </w:divsChild>
    </w:div>
    <w:div w:id="776488978">
      <w:bodyDiv w:val="1"/>
      <w:marLeft w:val="0"/>
      <w:marRight w:val="0"/>
      <w:marTop w:val="0"/>
      <w:marBottom w:val="0"/>
      <w:divBdr>
        <w:top w:val="none" w:sz="0" w:space="0" w:color="auto"/>
        <w:left w:val="none" w:sz="0" w:space="0" w:color="auto"/>
        <w:bottom w:val="none" w:sz="0" w:space="0" w:color="auto"/>
        <w:right w:val="none" w:sz="0" w:space="0" w:color="auto"/>
      </w:divBdr>
    </w:div>
    <w:div w:id="842089223">
      <w:bodyDiv w:val="1"/>
      <w:marLeft w:val="237"/>
      <w:marRight w:val="237"/>
      <w:marTop w:val="0"/>
      <w:marBottom w:val="0"/>
      <w:divBdr>
        <w:top w:val="none" w:sz="0" w:space="0" w:color="auto"/>
        <w:left w:val="none" w:sz="0" w:space="0" w:color="auto"/>
        <w:bottom w:val="none" w:sz="0" w:space="0" w:color="auto"/>
        <w:right w:val="none" w:sz="0" w:space="0" w:color="auto"/>
      </w:divBdr>
      <w:divsChild>
        <w:div w:id="1218394481">
          <w:marLeft w:val="0"/>
          <w:marRight w:val="0"/>
          <w:marTop w:val="0"/>
          <w:marBottom w:val="0"/>
          <w:divBdr>
            <w:top w:val="none" w:sz="0" w:space="0" w:color="auto"/>
            <w:left w:val="none" w:sz="0" w:space="0" w:color="auto"/>
            <w:bottom w:val="none" w:sz="0" w:space="0" w:color="auto"/>
            <w:right w:val="none" w:sz="0" w:space="0" w:color="auto"/>
          </w:divBdr>
        </w:div>
      </w:divsChild>
    </w:div>
    <w:div w:id="853805664">
      <w:bodyDiv w:val="1"/>
      <w:marLeft w:val="0"/>
      <w:marRight w:val="0"/>
      <w:marTop w:val="0"/>
      <w:marBottom w:val="0"/>
      <w:divBdr>
        <w:top w:val="none" w:sz="0" w:space="0" w:color="auto"/>
        <w:left w:val="none" w:sz="0" w:space="0" w:color="auto"/>
        <w:bottom w:val="none" w:sz="0" w:space="0" w:color="auto"/>
        <w:right w:val="none" w:sz="0" w:space="0" w:color="auto"/>
      </w:divBdr>
    </w:div>
    <w:div w:id="888809958">
      <w:bodyDiv w:val="1"/>
      <w:marLeft w:val="0"/>
      <w:marRight w:val="0"/>
      <w:marTop w:val="0"/>
      <w:marBottom w:val="0"/>
      <w:divBdr>
        <w:top w:val="none" w:sz="0" w:space="0" w:color="auto"/>
        <w:left w:val="none" w:sz="0" w:space="0" w:color="auto"/>
        <w:bottom w:val="none" w:sz="0" w:space="0" w:color="auto"/>
        <w:right w:val="none" w:sz="0" w:space="0" w:color="auto"/>
      </w:divBdr>
    </w:div>
    <w:div w:id="937060067">
      <w:bodyDiv w:val="1"/>
      <w:marLeft w:val="0"/>
      <w:marRight w:val="0"/>
      <w:marTop w:val="0"/>
      <w:marBottom w:val="0"/>
      <w:divBdr>
        <w:top w:val="none" w:sz="0" w:space="0" w:color="auto"/>
        <w:left w:val="none" w:sz="0" w:space="0" w:color="auto"/>
        <w:bottom w:val="none" w:sz="0" w:space="0" w:color="auto"/>
        <w:right w:val="none" w:sz="0" w:space="0" w:color="auto"/>
      </w:divBdr>
    </w:div>
    <w:div w:id="1125154748">
      <w:bodyDiv w:val="1"/>
      <w:marLeft w:val="237"/>
      <w:marRight w:val="237"/>
      <w:marTop w:val="0"/>
      <w:marBottom w:val="0"/>
      <w:divBdr>
        <w:top w:val="none" w:sz="0" w:space="0" w:color="auto"/>
        <w:left w:val="none" w:sz="0" w:space="0" w:color="auto"/>
        <w:bottom w:val="none" w:sz="0" w:space="0" w:color="auto"/>
        <w:right w:val="none" w:sz="0" w:space="0" w:color="auto"/>
      </w:divBdr>
      <w:divsChild>
        <w:div w:id="1623921991">
          <w:marLeft w:val="0"/>
          <w:marRight w:val="0"/>
          <w:marTop w:val="0"/>
          <w:marBottom w:val="0"/>
          <w:divBdr>
            <w:top w:val="none" w:sz="0" w:space="0" w:color="auto"/>
            <w:left w:val="none" w:sz="0" w:space="0" w:color="auto"/>
            <w:bottom w:val="none" w:sz="0" w:space="0" w:color="auto"/>
            <w:right w:val="none" w:sz="0" w:space="0" w:color="auto"/>
          </w:divBdr>
        </w:div>
      </w:divsChild>
    </w:div>
    <w:div w:id="1206523125">
      <w:bodyDiv w:val="1"/>
      <w:marLeft w:val="0"/>
      <w:marRight w:val="0"/>
      <w:marTop w:val="0"/>
      <w:marBottom w:val="0"/>
      <w:divBdr>
        <w:top w:val="none" w:sz="0" w:space="0" w:color="auto"/>
        <w:left w:val="none" w:sz="0" w:space="0" w:color="auto"/>
        <w:bottom w:val="none" w:sz="0" w:space="0" w:color="auto"/>
        <w:right w:val="none" w:sz="0" w:space="0" w:color="auto"/>
      </w:divBdr>
    </w:div>
    <w:div w:id="1283077535">
      <w:bodyDiv w:val="1"/>
      <w:marLeft w:val="0"/>
      <w:marRight w:val="0"/>
      <w:marTop w:val="0"/>
      <w:marBottom w:val="0"/>
      <w:divBdr>
        <w:top w:val="none" w:sz="0" w:space="0" w:color="auto"/>
        <w:left w:val="none" w:sz="0" w:space="0" w:color="auto"/>
        <w:bottom w:val="none" w:sz="0" w:space="0" w:color="auto"/>
        <w:right w:val="none" w:sz="0" w:space="0" w:color="auto"/>
      </w:divBdr>
    </w:div>
    <w:div w:id="1590848799">
      <w:bodyDiv w:val="1"/>
      <w:marLeft w:val="0"/>
      <w:marRight w:val="0"/>
      <w:marTop w:val="0"/>
      <w:marBottom w:val="0"/>
      <w:divBdr>
        <w:top w:val="none" w:sz="0" w:space="0" w:color="auto"/>
        <w:left w:val="none" w:sz="0" w:space="0" w:color="auto"/>
        <w:bottom w:val="none" w:sz="0" w:space="0" w:color="auto"/>
        <w:right w:val="none" w:sz="0" w:space="0" w:color="auto"/>
      </w:divBdr>
    </w:div>
    <w:div w:id="1817405988">
      <w:bodyDiv w:val="1"/>
      <w:marLeft w:val="0"/>
      <w:marRight w:val="0"/>
      <w:marTop w:val="0"/>
      <w:marBottom w:val="0"/>
      <w:divBdr>
        <w:top w:val="none" w:sz="0" w:space="0" w:color="auto"/>
        <w:left w:val="none" w:sz="0" w:space="0" w:color="auto"/>
        <w:bottom w:val="none" w:sz="0" w:space="0" w:color="auto"/>
        <w:right w:val="none" w:sz="0" w:space="0" w:color="auto"/>
      </w:divBdr>
    </w:div>
    <w:div w:id="20139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DĖL LIETUVOS RESPUBLIKOS VYRIAUSYBĖS NUTARIMO IR LIETUVOS RESPUBLIKOS NARKOTINIŲ IR PSICHOTROPINIŲ MEDŽIAGŲ PIRMTAKŲ (PREKURSO</vt:lpstr>
    </vt:vector>
  </TitlesOfParts>
  <Company>Farmacijos departamentas prie SAM</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NUTARIMO IR LIETUVOS RESPUBLIKOS NARKOTINIŲ IR PSICHOTROPINIŲ MEDŽIAGŲ PIRMTAKŲ (PREKURSO</dc:title>
  <dc:subject/>
  <dc:creator>Egidijus</dc:creator>
  <cp:keywords/>
  <dc:description/>
  <cp:lastModifiedBy>Vilma</cp:lastModifiedBy>
  <cp:revision>2</cp:revision>
  <cp:lastPrinted>2012-05-15T11:30:00Z</cp:lastPrinted>
  <dcterms:created xsi:type="dcterms:W3CDTF">2021-04-21T06:51:00Z</dcterms:created>
  <dcterms:modified xsi:type="dcterms:W3CDTF">2021-04-21T06:51:00Z</dcterms:modified>
</cp:coreProperties>
</file>