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09" w:rsidRPr="000602B6" w:rsidRDefault="00B53809" w:rsidP="00B53809">
      <w:pPr>
        <w:rPr>
          <w:b/>
          <w:caps/>
        </w:rPr>
      </w:pPr>
      <w:bookmarkStart w:id="0" w:name="_GoBack"/>
      <w:bookmarkEnd w:id="0"/>
      <w:r w:rsidRPr="000602B6">
        <w:rPr>
          <w:b/>
        </w:rPr>
        <w:t>LIETUVOS RESPUBLIKOS VYRIAUSYBĖS 2012 M. GRUODŽIO 12 D. NUTARIMO NR. 1516 „</w:t>
      </w:r>
      <w:r w:rsidRPr="000602B6">
        <w:rPr>
          <w:b/>
          <w:caps/>
        </w:rPr>
        <w:t xml:space="preserve">Dėl </w:t>
      </w:r>
      <w:r w:rsidRPr="000602B6">
        <w:rPr>
          <w:b/>
        </w:rPr>
        <w:t>ŪKIO LĖŠŲ, SKIRIAMŲ IŠ LIETUVOS RESPUBLIKOS ATITINKAMŲ METŲ VALSTYBĖS BIUDŽETO SPECIALIŲ TIKSLINIŲ DOTACIJŲ SAVIVALDYBIŲ BIUDŽETAMS, SKYRIMO SAVIVALDYBIŲ MOKYKLOMS (KLASĖMS</w:t>
      </w:r>
      <w:r>
        <w:rPr>
          <w:b/>
        </w:rPr>
        <w:t xml:space="preserve"> ARBA GRUPĖMS</w:t>
      </w:r>
      <w:r w:rsidRPr="000602B6">
        <w:rPr>
          <w:b/>
        </w:rPr>
        <w:t>), SKIRTOMS ŠALIES (REGIONO) MOKINIAMS, TURINTIEMS SPECIALIŲJŲ UGDYMOSI POREIKIŲ, METODIKOS PATVIRTINIMO</w:t>
      </w:r>
      <w:r w:rsidRPr="000602B6">
        <w:rPr>
          <w:b/>
          <w:caps/>
        </w:rPr>
        <w:t>“ PAKEITIMO</w:t>
      </w:r>
    </w:p>
    <w:p w:rsidR="00F36C0F" w:rsidRPr="00EB583D" w:rsidRDefault="00F36C0F" w:rsidP="00BA72C3">
      <w:pPr>
        <w:ind w:left="426" w:hanging="142"/>
        <w:rPr>
          <w:b/>
        </w:rPr>
      </w:pPr>
      <w:r w:rsidRPr="00EB583D">
        <w:rPr>
          <w:b/>
          <w:caps/>
        </w:rPr>
        <w:t>DERINIMO PAŽYMA</w:t>
      </w:r>
    </w:p>
    <w:p w:rsidR="00F36C0F" w:rsidRPr="00EB583D" w:rsidRDefault="00F36C0F" w:rsidP="00BA72C3">
      <w:pPr>
        <w:ind w:left="426" w:hanging="142"/>
        <w:jc w:val="left"/>
        <w:rPr>
          <w:b/>
          <w:cap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6947"/>
        <w:gridCol w:w="5404"/>
      </w:tblGrid>
      <w:tr w:rsidR="00F36C0F" w:rsidRPr="00EB583D" w:rsidTr="004216F6">
        <w:trPr>
          <w:trHeight w:val="868"/>
          <w:tblHeader/>
        </w:trPr>
        <w:tc>
          <w:tcPr>
            <w:tcW w:w="774" w:type="pct"/>
            <w:vAlign w:val="center"/>
          </w:tcPr>
          <w:p w:rsidR="00F36C0F" w:rsidRPr="00EB583D" w:rsidRDefault="00F36C0F" w:rsidP="00E56D62">
            <w:pPr>
              <w:rPr>
                <w:b/>
              </w:rPr>
            </w:pPr>
            <w:r>
              <w:rPr>
                <w:b/>
                <w:bCs/>
              </w:rPr>
              <w:t>Institucijos pavadinimas</w:t>
            </w:r>
            <w:r w:rsidRPr="00EB583D">
              <w:rPr>
                <w:b/>
                <w:bCs/>
              </w:rPr>
              <w:t>, rašto data ir numeris</w:t>
            </w:r>
          </w:p>
        </w:tc>
        <w:tc>
          <w:tcPr>
            <w:tcW w:w="2377" w:type="pct"/>
            <w:vAlign w:val="center"/>
          </w:tcPr>
          <w:p w:rsidR="00F36C0F" w:rsidRPr="00EB583D" w:rsidRDefault="00F36C0F" w:rsidP="00E56D62">
            <w:pPr>
              <w:rPr>
                <w:b/>
              </w:rPr>
            </w:pPr>
            <w:r w:rsidRPr="00EB583D">
              <w:rPr>
                <w:b/>
                <w:bCs/>
              </w:rPr>
              <w:t>Pastabos ir pasiūlymai</w:t>
            </w:r>
          </w:p>
        </w:tc>
        <w:tc>
          <w:tcPr>
            <w:tcW w:w="1849" w:type="pct"/>
            <w:vAlign w:val="center"/>
          </w:tcPr>
          <w:p w:rsidR="00F36C0F" w:rsidRPr="0049048C" w:rsidRDefault="00F36C0F" w:rsidP="00E56D62">
            <w:pPr>
              <w:rPr>
                <w:b/>
                <w:bCs/>
              </w:rPr>
            </w:pPr>
            <w:r w:rsidRPr="00EB583D">
              <w:rPr>
                <w:b/>
                <w:bCs/>
              </w:rPr>
              <w:t>Žyma apie pastabas ir pasiūlymus, į kuriuos neatsižvelgta</w:t>
            </w:r>
            <w:r>
              <w:rPr>
                <w:b/>
                <w:bCs/>
              </w:rPr>
              <w:t xml:space="preserve"> arba atsižvelgta iš dalies</w:t>
            </w:r>
          </w:p>
        </w:tc>
      </w:tr>
      <w:tr w:rsidR="00F04BBB" w:rsidRPr="00EB583D" w:rsidTr="004216F6">
        <w:trPr>
          <w:trHeight w:val="868"/>
          <w:tblHeader/>
        </w:trPr>
        <w:tc>
          <w:tcPr>
            <w:tcW w:w="774" w:type="pct"/>
          </w:tcPr>
          <w:p w:rsidR="00F04BBB" w:rsidRPr="00037EF9" w:rsidRDefault="00004397" w:rsidP="00F04BBB">
            <w:pPr>
              <w:jc w:val="left"/>
              <w:rPr>
                <w:b/>
              </w:rPr>
            </w:pPr>
            <w:r w:rsidRPr="00037EF9">
              <w:rPr>
                <w:b/>
              </w:rPr>
              <w:t>Teisingumo ministerijos</w:t>
            </w:r>
            <w:r>
              <w:rPr>
                <w:bCs/>
              </w:rPr>
              <w:t xml:space="preserve"> 2020-12-25 raštas Nr. (1.6E)2T-1755</w:t>
            </w:r>
          </w:p>
        </w:tc>
        <w:tc>
          <w:tcPr>
            <w:tcW w:w="2377" w:type="pct"/>
            <w:vAlign w:val="center"/>
          </w:tcPr>
          <w:p w:rsidR="007658DA" w:rsidRPr="007658DA" w:rsidRDefault="00004397" w:rsidP="007658DA">
            <w:pPr>
              <w:suppressAutoHyphens/>
              <w:jc w:val="both"/>
              <w:rPr>
                <w:rFonts w:eastAsia="SimSun"/>
              </w:rPr>
            </w:pPr>
            <w:r>
              <w:rPr>
                <w:rFonts w:eastAsia="SimSun"/>
              </w:rPr>
              <w:t xml:space="preserve">2. </w:t>
            </w:r>
            <w:r w:rsidR="00FD3698">
              <w:rPr>
                <w:rFonts w:eastAsia="SimSun"/>
              </w:rPr>
              <w:t>A</w:t>
            </w:r>
            <w:r w:rsidR="007658DA" w:rsidRPr="007658DA">
              <w:rPr>
                <w:rFonts w:eastAsia="SimSun"/>
              </w:rPr>
              <w:t xml:space="preserve">tkreiptinas dėmesys į tai, kad kalbant apie darbo užmokestį </w:t>
            </w:r>
            <w:r w:rsidR="00FD3698" w:rsidRPr="00F04BBB">
              <w:rPr>
                <w:rFonts w:eastAsia="SimSun"/>
              </w:rPr>
              <w:t>Ūkio lėšų, skiriamų iš Lietuvos Respublikos atitinkamų metų valstybės biudžeto specialių tikslinių dotacijų savivaldybių biudžetams, skyrimo savivaldybių mokykloms (klasėms arba grupėms), skirtoms šalies (regiono) mokiniams, turintiems specialiųjų ugdymosi poreikių, metodiko</w:t>
            </w:r>
            <w:r w:rsidR="00FD3698">
              <w:rPr>
                <w:rFonts w:eastAsia="SimSun"/>
              </w:rPr>
              <w:t>je (toliau – Ūkio m</w:t>
            </w:r>
            <w:r w:rsidR="007658DA" w:rsidRPr="007658DA">
              <w:rPr>
                <w:rFonts w:eastAsia="SimSun"/>
              </w:rPr>
              <w:t>etodik</w:t>
            </w:r>
            <w:r w:rsidR="00FD3698">
              <w:rPr>
                <w:rFonts w:eastAsia="SimSun"/>
              </w:rPr>
              <w:t>a)</w:t>
            </w:r>
            <w:r w:rsidR="007658DA" w:rsidRPr="007658DA">
              <w:rPr>
                <w:rFonts w:eastAsia="SimSun"/>
              </w:rPr>
              <w:t xml:space="preserve"> būtų vartojama konstrukcija  „informacinės ir komunikacinės technologijos“, o kalbant apie prekes ir paslaugas jau atskirai „informacinės technologijos“ ir „ryšiai“, kai tuo tarpu Mokymo lėšų apskaičiavimo, paskirstymo ir panaudojimo tvarkos apraše</w:t>
            </w:r>
            <w:r w:rsidR="00FD3698">
              <w:rPr>
                <w:rFonts w:eastAsia="SimSun"/>
              </w:rPr>
              <w:t xml:space="preserve"> (toliau – Mokymo lėšų aprašas)</w:t>
            </w:r>
            <w:r w:rsidR="007658DA" w:rsidRPr="007658DA">
              <w:rPr>
                <w:rFonts w:eastAsia="SimSun"/>
              </w:rPr>
              <w:t>, kuris šiuo aspektu nekeičiamas, lieka „informacinių ir komunikacinių technologijų diegimas“ apimant tiek prekes, tiek paslaugas, tiek darbo užmokestį. Siūlytina įvertinti, ar vartojamos sąvokos neturėtų būti tikslinamos sistemiškai visuose susijusiuose teisės aktuose.</w:t>
            </w:r>
          </w:p>
          <w:p w:rsidR="00F04BBB" w:rsidRDefault="00F04BBB" w:rsidP="00F04BBB">
            <w:pPr>
              <w:jc w:val="both"/>
              <w:rPr>
                <w:rFonts w:eastAsia="SimSun"/>
              </w:rPr>
            </w:pPr>
          </w:p>
          <w:p w:rsidR="00004397" w:rsidRDefault="00004397" w:rsidP="00F04BBB">
            <w:pPr>
              <w:jc w:val="both"/>
              <w:rPr>
                <w:rFonts w:eastAsia="SimSun"/>
              </w:rPr>
            </w:pPr>
          </w:p>
          <w:p w:rsidR="00004397" w:rsidRDefault="00004397" w:rsidP="00F04BBB">
            <w:pPr>
              <w:jc w:val="both"/>
              <w:rPr>
                <w:rFonts w:eastAsia="SimSun"/>
              </w:rPr>
            </w:pPr>
          </w:p>
          <w:p w:rsidR="00004397" w:rsidRDefault="00004397" w:rsidP="00F04BBB">
            <w:pPr>
              <w:jc w:val="both"/>
              <w:rPr>
                <w:rFonts w:eastAsia="SimSun"/>
              </w:rPr>
            </w:pPr>
          </w:p>
        </w:tc>
        <w:tc>
          <w:tcPr>
            <w:tcW w:w="1849" w:type="pct"/>
          </w:tcPr>
          <w:p w:rsidR="00FD3698" w:rsidRPr="00004397" w:rsidRDefault="004835D1" w:rsidP="004835D1">
            <w:pPr>
              <w:tabs>
                <w:tab w:val="left" w:pos="709"/>
              </w:tabs>
              <w:spacing w:after="20"/>
              <w:jc w:val="both"/>
            </w:pPr>
            <w:r w:rsidRPr="004835D1">
              <w:rPr>
                <w:b/>
                <w:bCs/>
                <w:color w:val="201F1E"/>
                <w:shd w:val="clear" w:color="auto" w:fill="FFFFFF"/>
              </w:rPr>
              <w:t xml:space="preserve">Neatsižvelgta. </w:t>
            </w:r>
            <w:r w:rsidR="00FD3698" w:rsidRPr="00004397">
              <w:rPr>
                <w:color w:val="201F1E"/>
                <w:shd w:val="clear" w:color="auto" w:fill="FFFFFF"/>
              </w:rPr>
              <w:t xml:space="preserve">Ūkio metodikoje ir Mokymo lėšų apraše išlaidų konstrukcijos skiriasi. Ūkio metodikoje siekiama </w:t>
            </w:r>
            <w:r w:rsidR="00E811D0">
              <w:rPr>
                <w:color w:val="201F1E"/>
                <w:shd w:val="clear" w:color="auto" w:fill="FFFFFF"/>
              </w:rPr>
              <w:t>išlaidas</w:t>
            </w:r>
            <w:r w:rsidR="00FD3698" w:rsidRPr="00004397">
              <w:rPr>
                <w:color w:val="201F1E"/>
                <w:shd w:val="clear" w:color="auto" w:fill="FFFFFF"/>
              </w:rPr>
              <w:t xml:space="preserve"> tiksliai apibrėžti kaip </w:t>
            </w:r>
            <w:r w:rsidR="00FD3698" w:rsidRPr="00004397">
              <w:t>Lietuvos Respublikos valstybės ir savivaldybių biudžetų išlaidų klasifikacijoje</w:t>
            </w:r>
            <w:r w:rsidR="00004397">
              <w:t xml:space="preserve"> (toliau – Išlaidų klasifikacija)</w:t>
            </w:r>
            <w:r w:rsidR="00FD3698" w:rsidRPr="00004397">
              <w:t xml:space="preserve">, nes siekiama, kad visos likusios nuo mokymo lėšų išlaidos būtų galimos pagal </w:t>
            </w:r>
            <w:r w:rsidR="00004397">
              <w:t>Išlaidų</w:t>
            </w:r>
            <w:r w:rsidR="00FD3698" w:rsidRPr="00004397">
              <w:t xml:space="preserve"> klasifikaciją, o Mokymo lėšų apraše išlaidos nėra konstruojamos pagal minėtą klasifikaciją, o tik</w:t>
            </w:r>
            <w:r w:rsidR="00004397">
              <w:t xml:space="preserve"> nustatytos</w:t>
            </w:r>
            <w:r w:rsidR="00FD3698" w:rsidRPr="00004397">
              <w:t xml:space="preserve"> konkrečiai ugdymo reikmei (nebūtinai atitinkančiai konkre</w:t>
            </w:r>
            <w:r w:rsidR="00004397">
              <w:t>tų</w:t>
            </w:r>
            <w:r w:rsidR="00FD3698" w:rsidRPr="00004397">
              <w:t xml:space="preserve"> </w:t>
            </w:r>
            <w:r w:rsidR="00004397">
              <w:t>I</w:t>
            </w:r>
            <w:r w:rsidR="00FD3698" w:rsidRPr="00004397">
              <w:t>šlaidų klasifikacij</w:t>
            </w:r>
            <w:r w:rsidR="00004397">
              <w:t>os straipsnio apibrėžimą</w:t>
            </w:r>
            <w:r w:rsidR="00FD3698" w:rsidRPr="00004397">
              <w:t>).</w:t>
            </w:r>
          </w:p>
          <w:p w:rsidR="00FD3698" w:rsidRPr="00004397" w:rsidRDefault="00E811D0" w:rsidP="004835D1">
            <w:pPr>
              <w:tabs>
                <w:tab w:val="left" w:pos="709"/>
              </w:tabs>
              <w:spacing w:after="20"/>
              <w:jc w:val="both"/>
              <w:rPr>
                <w:color w:val="201F1E"/>
                <w:shd w:val="clear" w:color="auto" w:fill="FFFFFF"/>
              </w:rPr>
            </w:pPr>
            <w:r>
              <w:t>N</w:t>
            </w:r>
            <w:r w:rsidR="00004397">
              <w:t>utarimo projekte siūloma palikti</w:t>
            </w:r>
            <w:r w:rsidR="00FD3698" w:rsidRPr="00004397">
              <w:t xml:space="preserve"> </w:t>
            </w:r>
            <w:r w:rsidR="00FD3698" w:rsidRPr="00C83D5E">
              <w:t>išlaid</w:t>
            </w:r>
            <w:r w:rsidR="00004397" w:rsidRPr="00C83D5E">
              <w:t>ų</w:t>
            </w:r>
            <w:r w:rsidR="00FD3698" w:rsidRPr="00C83D5E">
              <w:t xml:space="preserve"> „</w:t>
            </w:r>
            <w:r w:rsidR="00FD3698" w:rsidRPr="00004397">
              <w:rPr>
                <w:i/>
                <w:iCs/>
              </w:rPr>
              <w:t>informacines ir komunikacines technologijas aptarnaujančių darbuotojų darbo užmokesčiui ir socialinio draudimo įmokoms“</w:t>
            </w:r>
            <w:r w:rsidR="00FD3698" w:rsidRPr="00004397">
              <w:t xml:space="preserve"> </w:t>
            </w:r>
            <w:r w:rsidR="00004397">
              <w:t xml:space="preserve">pavadinimą, kuris atitiktų apibrėžtą </w:t>
            </w:r>
            <w:r w:rsidR="00FD3698" w:rsidRPr="00004397">
              <w:t>Mokymo lėšų apraše</w:t>
            </w:r>
            <w:r w:rsidR="00004397" w:rsidRPr="00004397">
              <w:t>, kad ši sąvoka derėtų abiejuose teisės aktuose.</w:t>
            </w:r>
          </w:p>
          <w:p w:rsidR="00F04BBB" w:rsidRPr="00EB583D" w:rsidRDefault="00F04BBB" w:rsidP="00004397">
            <w:pPr>
              <w:tabs>
                <w:tab w:val="left" w:pos="709"/>
              </w:tabs>
              <w:spacing w:after="20"/>
              <w:jc w:val="both"/>
              <w:rPr>
                <w:b/>
                <w:bCs/>
              </w:rPr>
            </w:pPr>
          </w:p>
        </w:tc>
      </w:tr>
    </w:tbl>
    <w:p w:rsidR="000010EC" w:rsidRDefault="000010EC" w:rsidP="001210F9"/>
    <w:p w:rsidR="0056717A" w:rsidRDefault="001210F9" w:rsidP="001210F9">
      <w:r>
        <w:t>_____________________________</w:t>
      </w:r>
    </w:p>
    <w:sectPr w:rsidR="0056717A" w:rsidSect="00004397">
      <w:headerReference w:type="even" r:id="rId8"/>
      <w:headerReference w:type="default" r:id="rId9"/>
      <w:pgSz w:w="16838" w:h="11906" w:orient="landscape" w:code="9"/>
      <w:pgMar w:top="709" w:right="1134" w:bottom="142" w:left="1134" w:header="45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C4" w:rsidRDefault="00893CC4">
      <w:r>
        <w:separator/>
      </w:r>
    </w:p>
  </w:endnote>
  <w:endnote w:type="continuationSeparator" w:id="0">
    <w:p w:rsidR="00893CC4" w:rsidRDefault="0089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C4" w:rsidRDefault="00893CC4">
      <w:r>
        <w:separator/>
      </w:r>
    </w:p>
  </w:footnote>
  <w:footnote w:type="continuationSeparator" w:id="0">
    <w:p w:rsidR="00893CC4" w:rsidRDefault="00893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BE5" w:rsidRDefault="00F36C0F" w:rsidP="0093207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51BE5" w:rsidRDefault="00893CC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12" w:rsidRDefault="00F36C0F">
    <w:pPr>
      <w:pStyle w:val="Antrats"/>
    </w:pPr>
    <w:r>
      <w:fldChar w:fldCharType="begin"/>
    </w:r>
    <w:r>
      <w:instrText>PAGE   \* MERGEFORMAT</w:instrText>
    </w:r>
    <w:r>
      <w:fldChar w:fldCharType="separate"/>
    </w:r>
    <w:r w:rsidR="00004397" w:rsidRPr="00004397">
      <w:rPr>
        <w:noProof/>
        <w:lang w:val="lt-LT"/>
      </w:rPr>
      <w:t>3</w:t>
    </w:r>
    <w:r>
      <w:fldChar w:fldCharType="end"/>
    </w:r>
  </w:p>
  <w:p w:rsidR="00251BE5" w:rsidRDefault="00893C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2441A"/>
    <w:multiLevelType w:val="hybridMultilevel"/>
    <w:tmpl w:val="C870FB1C"/>
    <w:lvl w:ilvl="0" w:tplc="04270017">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D6307D2"/>
    <w:multiLevelType w:val="hybridMultilevel"/>
    <w:tmpl w:val="2814D37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282591"/>
    <w:multiLevelType w:val="hybridMultilevel"/>
    <w:tmpl w:val="92C2BD54"/>
    <w:lvl w:ilvl="0" w:tplc="EFE0F968">
      <w:start w:val="1"/>
      <w:numFmt w:val="decimal"/>
      <w:lvlText w:val="%1."/>
      <w:lvlJc w:val="left"/>
      <w:pPr>
        <w:ind w:left="360" w:hanging="360"/>
      </w:pPr>
      <w:rPr>
        <w:sz w:val="24"/>
        <w:szCs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36EE1173"/>
    <w:multiLevelType w:val="hybridMultilevel"/>
    <w:tmpl w:val="48C88236"/>
    <w:lvl w:ilvl="0" w:tplc="3CDA0056">
      <w:start w:val="1"/>
      <w:numFmt w:val="decimal"/>
      <w:lvlText w:val="%1."/>
      <w:lvlJc w:val="left"/>
      <w:pPr>
        <w:ind w:left="360"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3A8A7AFF"/>
    <w:multiLevelType w:val="hybridMultilevel"/>
    <w:tmpl w:val="FF142C3E"/>
    <w:lvl w:ilvl="0" w:tplc="B576099C">
      <w:start w:val="1"/>
      <w:numFmt w:val="decimal"/>
      <w:lvlText w:val="%1."/>
      <w:lvlJc w:val="left"/>
      <w:pPr>
        <w:ind w:left="1353" w:hanging="360"/>
      </w:pPr>
      <w:rPr>
        <w:rFonts w:ascii="Times New Roman" w:eastAsia="SimSun" w:hAnsi="Times New Roman" w:cs="Times New Roman"/>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E254CF6"/>
    <w:multiLevelType w:val="hybridMultilevel"/>
    <w:tmpl w:val="6D445DCE"/>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6" w15:restartNumberingAfterBreak="0">
    <w:nsid w:val="468340AE"/>
    <w:multiLevelType w:val="hybridMultilevel"/>
    <w:tmpl w:val="810E5370"/>
    <w:lvl w:ilvl="0" w:tplc="39F264AC">
      <w:start w:val="1"/>
      <w:numFmt w:val="decimal"/>
      <w:lvlText w:val="%1."/>
      <w:lvlJc w:val="left"/>
      <w:pPr>
        <w:ind w:left="720" w:hanging="360"/>
      </w:pPr>
      <w:rPr>
        <w:rFonts w:eastAsia="SimSu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2906C5"/>
    <w:multiLevelType w:val="hybridMultilevel"/>
    <w:tmpl w:val="2B84D43A"/>
    <w:lvl w:ilvl="0" w:tplc="E6A878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85E121A"/>
    <w:multiLevelType w:val="hybridMultilevel"/>
    <w:tmpl w:val="48C88236"/>
    <w:lvl w:ilvl="0" w:tplc="3CDA005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9" w15:restartNumberingAfterBreak="0">
    <w:nsid w:val="4AE90EA9"/>
    <w:multiLevelType w:val="hybridMultilevel"/>
    <w:tmpl w:val="AFD6250A"/>
    <w:lvl w:ilvl="0" w:tplc="780A92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E1B35F5"/>
    <w:multiLevelType w:val="multilevel"/>
    <w:tmpl w:val="4E1B35F5"/>
    <w:lvl w:ilvl="0">
      <w:start w:val="1"/>
      <w:numFmt w:val="decimal"/>
      <w:lvlText w:val="%1."/>
      <w:lvlJc w:val="left"/>
      <w:pPr>
        <w:ind w:left="1320" w:hanging="360"/>
      </w:pPr>
      <w:rPr>
        <w:rFonts w:hint="default"/>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11" w15:restartNumberingAfterBreak="0">
    <w:nsid w:val="69D15273"/>
    <w:multiLevelType w:val="hybridMultilevel"/>
    <w:tmpl w:val="CA1C26B8"/>
    <w:lvl w:ilvl="0" w:tplc="ADCAC930">
      <w:start w:val="1"/>
      <w:numFmt w:val="decimal"/>
      <w:lvlText w:val="%1."/>
      <w:lvlJc w:val="left"/>
      <w:pPr>
        <w:ind w:left="1069" w:hanging="36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7D155C81"/>
    <w:multiLevelType w:val="hybridMultilevel"/>
    <w:tmpl w:val="6F826E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0"/>
  </w:num>
  <w:num w:numId="5">
    <w:abstractNumId w:val="7"/>
  </w:num>
  <w:num w:numId="6">
    <w:abstractNumId w:val="1"/>
  </w:num>
  <w:num w:numId="7">
    <w:abstractNumId w:val="12"/>
  </w:num>
  <w:num w:numId="8">
    <w:abstractNumId w:val="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0F"/>
    <w:rsid w:val="000008CB"/>
    <w:rsid w:val="000010EC"/>
    <w:rsid w:val="00004397"/>
    <w:rsid w:val="00037EF9"/>
    <w:rsid w:val="0004389A"/>
    <w:rsid w:val="00062FE0"/>
    <w:rsid w:val="000B5230"/>
    <w:rsid w:val="000F1C50"/>
    <w:rsid w:val="00113A14"/>
    <w:rsid w:val="0011468E"/>
    <w:rsid w:val="001210F9"/>
    <w:rsid w:val="00145193"/>
    <w:rsid w:val="00150B66"/>
    <w:rsid w:val="00154224"/>
    <w:rsid w:val="00174FA0"/>
    <w:rsid w:val="00187212"/>
    <w:rsid w:val="00194F75"/>
    <w:rsid w:val="001B336A"/>
    <w:rsid w:val="001B368E"/>
    <w:rsid w:val="001F47FD"/>
    <w:rsid w:val="0026627F"/>
    <w:rsid w:val="00270819"/>
    <w:rsid w:val="00274279"/>
    <w:rsid w:val="002A2268"/>
    <w:rsid w:val="002A53F4"/>
    <w:rsid w:val="002B6297"/>
    <w:rsid w:val="00317F1D"/>
    <w:rsid w:val="0032236D"/>
    <w:rsid w:val="00327729"/>
    <w:rsid w:val="00331A37"/>
    <w:rsid w:val="003416E6"/>
    <w:rsid w:val="00354643"/>
    <w:rsid w:val="00357802"/>
    <w:rsid w:val="00367D8F"/>
    <w:rsid w:val="0037537C"/>
    <w:rsid w:val="0037584D"/>
    <w:rsid w:val="00384A3A"/>
    <w:rsid w:val="003A3F27"/>
    <w:rsid w:val="003C54FA"/>
    <w:rsid w:val="003C66CE"/>
    <w:rsid w:val="003C6BEC"/>
    <w:rsid w:val="003C7270"/>
    <w:rsid w:val="003E3DC0"/>
    <w:rsid w:val="004216F6"/>
    <w:rsid w:val="00435874"/>
    <w:rsid w:val="0044090C"/>
    <w:rsid w:val="004565B6"/>
    <w:rsid w:val="00466226"/>
    <w:rsid w:val="00471404"/>
    <w:rsid w:val="00477829"/>
    <w:rsid w:val="004835D1"/>
    <w:rsid w:val="004A4647"/>
    <w:rsid w:val="004A6EB7"/>
    <w:rsid w:val="004B4B83"/>
    <w:rsid w:val="004F1C9D"/>
    <w:rsid w:val="004F24F1"/>
    <w:rsid w:val="00546C89"/>
    <w:rsid w:val="00560225"/>
    <w:rsid w:val="0056717A"/>
    <w:rsid w:val="00597038"/>
    <w:rsid w:val="005B0169"/>
    <w:rsid w:val="005B3111"/>
    <w:rsid w:val="005D3356"/>
    <w:rsid w:val="005D6008"/>
    <w:rsid w:val="005D7694"/>
    <w:rsid w:val="005E24D8"/>
    <w:rsid w:val="005E40C4"/>
    <w:rsid w:val="005F6918"/>
    <w:rsid w:val="00632666"/>
    <w:rsid w:val="00635718"/>
    <w:rsid w:val="006622C1"/>
    <w:rsid w:val="006971BA"/>
    <w:rsid w:val="006C02EF"/>
    <w:rsid w:val="006C2A88"/>
    <w:rsid w:val="006C6E4D"/>
    <w:rsid w:val="006D0B2C"/>
    <w:rsid w:val="00713299"/>
    <w:rsid w:val="0073340F"/>
    <w:rsid w:val="00763704"/>
    <w:rsid w:val="007658DA"/>
    <w:rsid w:val="00774FFD"/>
    <w:rsid w:val="007811BD"/>
    <w:rsid w:val="00783A83"/>
    <w:rsid w:val="007C7885"/>
    <w:rsid w:val="00803329"/>
    <w:rsid w:val="00804D0B"/>
    <w:rsid w:val="008314AE"/>
    <w:rsid w:val="008401AD"/>
    <w:rsid w:val="008579BC"/>
    <w:rsid w:val="00860A90"/>
    <w:rsid w:val="00876110"/>
    <w:rsid w:val="00893CC4"/>
    <w:rsid w:val="008D6140"/>
    <w:rsid w:val="008E2FE8"/>
    <w:rsid w:val="008F1D0D"/>
    <w:rsid w:val="00912DA6"/>
    <w:rsid w:val="00950941"/>
    <w:rsid w:val="00952CE5"/>
    <w:rsid w:val="009562AD"/>
    <w:rsid w:val="00973CB1"/>
    <w:rsid w:val="00994198"/>
    <w:rsid w:val="009A0433"/>
    <w:rsid w:val="009B1C94"/>
    <w:rsid w:val="009C4EF5"/>
    <w:rsid w:val="009D2E44"/>
    <w:rsid w:val="009D58CC"/>
    <w:rsid w:val="009D7B02"/>
    <w:rsid w:val="009E3C5D"/>
    <w:rsid w:val="00A07042"/>
    <w:rsid w:val="00A11A2D"/>
    <w:rsid w:val="00A32C4A"/>
    <w:rsid w:val="00A84C78"/>
    <w:rsid w:val="00AC7F9B"/>
    <w:rsid w:val="00AD6C08"/>
    <w:rsid w:val="00B1754F"/>
    <w:rsid w:val="00B20E3D"/>
    <w:rsid w:val="00B353ED"/>
    <w:rsid w:val="00B53809"/>
    <w:rsid w:val="00B53B12"/>
    <w:rsid w:val="00B9278B"/>
    <w:rsid w:val="00B93F65"/>
    <w:rsid w:val="00BA72C3"/>
    <w:rsid w:val="00BE2A4A"/>
    <w:rsid w:val="00BF0B4B"/>
    <w:rsid w:val="00BF2530"/>
    <w:rsid w:val="00C0075A"/>
    <w:rsid w:val="00C072E4"/>
    <w:rsid w:val="00C07C77"/>
    <w:rsid w:val="00C54904"/>
    <w:rsid w:val="00C71B39"/>
    <w:rsid w:val="00C83D5E"/>
    <w:rsid w:val="00C8706A"/>
    <w:rsid w:val="00CA2568"/>
    <w:rsid w:val="00CB7028"/>
    <w:rsid w:val="00CE0550"/>
    <w:rsid w:val="00CE12C5"/>
    <w:rsid w:val="00CF31E1"/>
    <w:rsid w:val="00D01E3A"/>
    <w:rsid w:val="00D1422B"/>
    <w:rsid w:val="00D174E8"/>
    <w:rsid w:val="00D41E5B"/>
    <w:rsid w:val="00D519CF"/>
    <w:rsid w:val="00D77CAA"/>
    <w:rsid w:val="00DC2EF9"/>
    <w:rsid w:val="00DE3C47"/>
    <w:rsid w:val="00DE6A3D"/>
    <w:rsid w:val="00E1293E"/>
    <w:rsid w:val="00E24E08"/>
    <w:rsid w:val="00E34FFD"/>
    <w:rsid w:val="00E40D39"/>
    <w:rsid w:val="00E770C0"/>
    <w:rsid w:val="00E811D0"/>
    <w:rsid w:val="00E9747F"/>
    <w:rsid w:val="00EA2EC2"/>
    <w:rsid w:val="00EB1134"/>
    <w:rsid w:val="00F04BBB"/>
    <w:rsid w:val="00F166CC"/>
    <w:rsid w:val="00F36C0F"/>
    <w:rsid w:val="00F43CB0"/>
    <w:rsid w:val="00F566AB"/>
    <w:rsid w:val="00F7143D"/>
    <w:rsid w:val="00F84917"/>
    <w:rsid w:val="00F96151"/>
    <w:rsid w:val="00F97B63"/>
    <w:rsid w:val="00FB0098"/>
    <w:rsid w:val="00FB2EC0"/>
    <w:rsid w:val="00FD19F2"/>
    <w:rsid w:val="00FD3698"/>
    <w:rsid w:val="00FD519C"/>
    <w:rsid w:val="00FE22C5"/>
    <w:rsid w:val="00FF6C4D"/>
    <w:rsid w:val="00FF7699"/>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BF1257-B9AE-41A7-9470-E4C377DB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6C0F"/>
    <w:pPr>
      <w:spacing w:after="0" w:line="240" w:lineRule="auto"/>
      <w:jc w:val="center"/>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uiPriority w:val="99"/>
    <w:rsid w:val="00F36C0F"/>
    <w:pPr>
      <w:tabs>
        <w:tab w:val="center" w:pos="4819"/>
        <w:tab w:val="right" w:pos="9638"/>
      </w:tabs>
    </w:pPr>
    <w:rPr>
      <w:lang w:val="x-none" w:eastAsia="x-none"/>
    </w:rPr>
  </w:style>
  <w:style w:type="character" w:customStyle="1" w:styleId="AntratsDiagrama">
    <w:name w:val="Antraštės Diagrama"/>
    <w:aliases w:val="Char Diagrama"/>
    <w:basedOn w:val="Numatytasispastraiposriftas"/>
    <w:link w:val="Antrats"/>
    <w:uiPriority w:val="99"/>
    <w:rsid w:val="00F36C0F"/>
    <w:rPr>
      <w:rFonts w:ascii="Times New Roman" w:eastAsia="Times New Roman" w:hAnsi="Times New Roman" w:cs="Times New Roman"/>
      <w:sz w:val="24"/>
      <w:szCs w:val="24"/>
      <w:lang w:val="x-none" w:eastAsia="x-none"/>
    </w:rPr>
  </w:style>
  <w:style w:type="character" w:styleId="Puslapionumeris">
    <w:name w:val="page number"/>
    <w:uiPriority w:val="99"/>
    <w:rsid w:val="00F36C0F"/>
    <w:rPr>
      <w:rFonts w:cs="Times New Roman"/>
    </w:rPr>
  </w:style>
  <w:style w:type="paragraph" w:styleId="Sraopastraipa">
    <w:name w:val="List Paragraph"/>
    <w:basedOn w:val="prastasis"/>
    <w:link w:val="SraopastraipaDiagrama"/>
    <w:uiPriority w:val="34"/>
    <w:qFormat/>
    <w:rsid w:val="00F36C0F"/>
    <w:pPr>
      <w:ind w:left="720"/>
      <w:contextualSpacing/>
      <w:jc w:val="left"/>
    </w:pPr>
    <w:rPr>
      <w:szCs w:val="20"/>
      <w:lang w:eastAsia="en-US"/>
    </w:rPr>
  </w:style>
  <w:style w:type="paragraph" w:styleId="Debesliotekstas">
    <w:name w:val="Balloon Text"/>
    <w:basedOn w:val="prastasis"/>
    <w:link w:val="DebesliotekstasDiagrama"/>
    <w:uiPriority w:val="99"/>
    <w:semiHidden/>
    <w:unhideWhenUsed/>
    <w:rsid w:val="008F1D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D0D"/>
    <w:rPr>
      <w:rFonts w:ascii="Segoe UI" w:eastAsia="Times New Roman" w:hAnsi="Segoe UI" w:cs="Segoe UI"/>
      <w:sz w:val="18"/>
      <w:szCs w:val="18"/>
      <w:lang w:eastAsia="lt-LT"/>
    </w:rPr>
  </w:style>
  <w:style w:type="character" w:customStyle="1" w:styleId="SraopastraipaDiagrama">
    <w:name w:val="Sąrašo pastraipa Diagrama"/>
    <w:link w:val="Sraopastraipa"/>
    <w:uiPriority w:val="34"/>
    <w:qFormat/>
    <w:rsid w:val="0037537C"/>
    <w:rPr>
      <w:rFonts w:ascii="Times New Roman" w:eastAsia="Times New Roman" w:hAnsi="Times New Roman" w:cs="Times New Roman"/>
      <w:sz w:val="24"/>
      <w:szCs w:val="20"/>
    </w:rPr>
  </w:style>
  <w:style w:type="paragraph" w:customStyle="1" w:styleId="doc-ti">
    <w:name w:val="doc-ti"/>
    <w:basedOn w:val="prastasis"/>
    <w:qFormat/>
    <w:rsid w:val="00F04BBB"/>
    <w:pPr>
      <w:spacing w:after="15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040831">
      <w:bodyDiv w:val="1"/>
      <w:marLeft w:val="0"/>
      <w:marRight w:val="0"/>
      <w:marTop w:val="0"/>
      <w:marBottom w:val="0"/>
      <w:divBdr>
        <w:top w:val="none" w:sz="0" w:space="0" w:color="auto"/>
        <w:left w:val="none" w:sz="0" w:space="0" w:color="auto"/>
        <w:bottom w:val="none" w:sz="0" w:space="0" w:color="auto"/>
        <w:right w:val="none" w:sz="0" w:space="0" w:color="auto"/>
      </w:divBdr>
    </w:div>
    <w:div w:id="1024862026">
      <w:bodyDiv w:val="1"/>
      <w:marLeft w:val="0"/>
      <w:marRight w:val="0"/>
      <w:marTop w:val="0"/>
      <w:marBottom w:val="0"/>
      <w:divBdr>
        <w:top w:val="none" w:sz="0" w:space="0" w:color="auto"/>
        <w:left w:val="none" w:sz="0" w:space="0" w:color="auto"/>
        <w:bottom w:val="none" w:sz="0" w:space="0" w:color="auto"/>
        <w:right w:val="none" w:sz="0" w:space="0" w:color="auto"/>
      </w:divBdr>
    </w:div>
    <w:div w:id="1416320575">
      <w:bodyDiv w:val="1"/>
      <w:marLeft w:val="0"/>
      <w:marRight w:val="0"/>
      <w:marTop w:val="0"/>
      <w:marBottom w:val="0"/>
      <w:divBdr>
        <w:top w:val="none" w:sz="0" w:space="0" w:color="auto"/>
        <w:left w:val="none" w:sz="0" w:space="0" w:color="auto"/>
        <w:bottom w:val="none" w:sz="0" w:space="0" w:color="auto"/>
        <w:right w:val="none" w:sz="0" w:space="0" w:color="auto"/>
      </w:divBdr>
    </w:div>
    <w:div w:id="1478037006">
      <w:bodyDiv w:val="1"/>
      <w:marLeft w:val="0"/>
      <w:marRight w:val="0"/>
      <w:marTop w:val="0"/>
      <w:marBottom w:val="0"/>
      <w:divBdr>
        <w:top w:val="none" w:sz="0" w:space="0" w:color="auto"/>
        <w:left w:val="none" w:sz="0" w:space="0" w:color="auto"/>
        <w:bottom w:val="none" w:sz="0" w:space="0" w:color="auto"/>
        <w:right w:val="none" w:sz="0" w:space="0" w:color="auto"/>
      </w:divBdr>
    </w:div>
    <w:div w:id="17498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B3B4D-123D-4D88-B93E-B082829D9B52}">
  <ds:schemaRefs>
    <ds:schemaRef ds:uri="http://schemas.openxmlformats.org/officeDocument/2006/bibliography"/>
  </ds:schemaRefs>
</ds:datastoreItem>
</file>

<file path=customXml/itemProps2.xml><?xml version="1.0" encoding="utf-8"?>
<ds:datastoreItem xmlns:ds="http://schemas.openxmlformats.org/officeDocument/2006/customXml" ds:itemID="{F82BCEB7-57BB-428C-BC5B-E3E06B8DCA44}"/>
</file>

<file path=customXml/itemProps3.xml><?xml version="1.0" encoding="utf-8"?>
<ds:datastoreItem xmlns:ds="http://schemas.openxmlformats.org/officeDocument/2006/customXml" ds:itemID="{439A347E-A52F-41CF-B482-3076C16A8D31}"/>
</file>

<file path=customXml/itemProps4.xml><?xml version="1.0" encoding="utf-8"?>
<ds:datastoreItem xmlns:ds="http://schemas.openxmlformats.org/officeDocument/2006/customXml" ds:itemID="{41B395DB-E851-49BF-B04C-FEC22DC1A1A0}"/>
</file>

<file path=docProps/app.xml><?xml version="1.0" encoding="utf-8"?>
<Properties xmlns="http://schemas.openxmlformats.org/officeDocument/2006/extended-properties" xmlns:vt="http://schemas.openxmlformats.org/officeDocument/2006/docPropsVTypes">
  <Template>Normal</Template>
  <TotalTime>0</TotalTime>
  <Pages>1</Pages>
  <Words>1524</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2c2d1d77-d2fd-4b4d-beb6-deede27ce045</dc:title>
  <dc:subject/>
  <dc:creator>Bužinskienė Danutė</dc:creator>
  <cp:keywords/>
  <dc:description/>
  <cp:lastModifiedBy>Naudžiuvienė Vitalija</cp:lastModifiedBy>
  <cp:revision>2</cp:revision>
  <cp:lastPrinted>2019-08-21T13:17:00Z</cp:lastPrinted>
  <dcterms:created xsi:type="dcterms:W3CDTF">2020-12-18T13:21:00Z</dcterms:created>
  <dcterms:modified xsi:type="dcterms:W3CDTF">2020-12-18T13:21:00Z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