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3F9DD" w14:textId="16FB7519" w:rsidR="00C2468F" w:rsidRDefault="00687653" w:rsidP="00F522CB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  <w:r w:rsidR="00A351AD">
        <w:rPr>
          <w:b/>
          <w:szCs w:val="24"/>
        </w:rPr>
        <w:t xml:space="preserve"> Nr. AV</w:t>
      </w:r>
      <w:r w:rsidR="00270BF9">
        <w:rPr>
          <w:b/>
          <w:szCs w:val="24"/>
        </w:rPr>
        <w:t>-</w:t>
      </w:r>
      <w:r w:rsidR="00614A36">
        <w:rPr>
          <w:b/>
          <w:szCs w:val="24"/>
        </w:rPr>
        <w:t xml:space="preserve"> </w:t>
      </w:r>
    </w:p>
    <w:p w14:paraId="2B30CB82" w14:textId="24787068" w:rsidR="00C2468F" w:rsidRDefault="00687653" w:rsidP="00237620">
      <w:pPr>
        <w:jc w:val="center"/>
        <w:rPr>
          <w:szCs w:val="24"/>
        </w:rPr>
      </w:pPr>
      <w:r>
        <w:rPr>
          <w:b/>
          <w:szCs w:val="24"/>
        </w:rPr>
        <w:t>20</w:t>
      </w:r>
      <w:r w:rsidR="0004208A">
        <w:rPr>
          <w:b/>
          <w:szCs w:val="24"/>
        </w:rPr>
        <w:t>2</w:t>
      </w:r>
      <w:r w:rsidR="0065369D">
        <w:rPr>
          <w:b/>
          <w:szCs w:val="24"/>
        </w:rPr>
        <w:t>1</w:t>
      </w:r>
      <w:r>
        <w:rPr>
          <w:b/>
          <w:szCs w:val="24"/>
        </w:rPr>
        <w:t>-</w:t>
      </w:r>
      <w:r w:rsidR="0065369D">
        <w:rPr>
          <w:b/>
          <w:szCs w:val="24"/>
        </w:rPr>
        <w:t>01</w:t>
      </w:r>
      <w:r w:rsidR="00275264">
        <w:rPr>
          <w:b/>
          <w:szCs w:val="24"/>
        </w:rPr>
        <w:t>-</w:t>
      </w:r>
      <w:r w:rsidR="00237620">
        <w:rPr>
          <w:b/>
          <w:szCs w:val="24"/>
        </w:rPr>
        <w:t>28</w:t>
      </w:r>
    </w:p>
    <w:p w14:paraId="09FC04EF" w14:textId="77777777" w:rsidR="00154700" w:rsidRPr="007C5AF9" w:rsidRDefault="00154700" w:rsidP="00F522CB">
      <w:pPr>
        <w:jc w:val="both"/>
        <w:rPr>
          <w:szCs w:val="24"/>
        </w:rPr>
      </w:pPr>
    </w:p>
    <w:p w14:paraId="2455FBF9" w14:textId="60358284" w:rsidR="00FE4595" w:rsidRPr="00FE4595" w:rsidRDefault="00687653" w:rsidP="00FE4595">
      <w:pPr>
        <w:ind w:firstLine="567"/>
        <w:jc w:val="both"/>
        <w:rPr>
          <w:szCs w:val="24"/>
        </w:rPr>
      </w:pPr>
      <w:r w:rsidRPr="00FE4595">
        <w:rPr>
          <w:szCs w:val="24"/>
        </w:rPr>
        <w:t>Teisės akto projekto pavadinimas:</w:t>
      </w:r>
      <w:r w:rsidR="00270BF9" w:rsidRPr="00FE4595">
        <w:rPr>
          <w:szCs w:val="24"/>
        </w:rPr>
        <w:t xml:space="preserve"> </w:t>
      </w:r>
      <w:bookmarkStart w:id="0" w:name="_Hlk530733092"/>
      <w:r w:rsidR="00212A70" w:rsidRPr="0059794C">
        <w:rPr>
          <w:szCs w:val="24"/>
        </w:rPr>
        <w:t xml:space="preserve">Lietuvos Respublikos Vyriausybės </w:t>
      </w:r>
      <w:r w:rsidR="00212A70">
        <w:rPr>
          <w:szCs w:val="24"/>
        </w:rPr>
        <w:t xml:space="preserve">2020 m. birželio 17 d. </w:t>
      </w:r>
      <w:r w:rsidR="00212A70" w:rsidRPr="0059794C">
        <w:rPr>
          <w:szCs w:val="24"/>
        </w:rPr>
        <w:t>nutarimo</w:t>
      </w:r>
      <w:r w:rsidR="00212A70">
        <w:rPr>
          <w:szCs w:val="24"/>
        </w:rPr>
        <w:t xml:space="preserve"> Nr. 647</w:t>
      </w:r>
      <w:r w:rsidR="00212A70" w:rsidRPr="0059794C">
        <w:t xml:space="preserve"> ,,</w:t>
      </w:r>
      <w:bookmarkStart w:id="1" w:name="_Hlk520900148"/>
      <w:r w:rsidR="00212A70" w:rsidRPr="0059794C">
        <w:t xml:space="preserve">Dėl </w:t>
      </w:r>
      <w:r w:rsidR="00212A70">
        <w:t>P</w:t>
      </w:r>
      <w:r w:rsidR="00212A70" w:rsidRPr="0059794C">
        <w:t>aciento priemokos už kompensuojamuosius vaistinius preparatus ir medicinos pagalbos priemones padengimo</w:t>
      </w:r>
      <w:bookmarkEnd w:id="1"/>
      <w:r w:rsidR="00212A70" w:rsidRPr="0059794C">
        <w:t xml:space="preserve"> tvarkos aprašo patvirtinimo“ </w:t>
      </w:r>
      <w:r w:rsidR="00212A70">
        <w:t xml:space="preserve">pakeitimo </w:t>
      </w:r>
      <w:r w:rsidR="00212A70" w:rsidRPr="0059794C">
        <w:t>projekt</w:t>
      </w:r>
      <w:r w:rsidR="00346F6E">
        <w:t>as</w:t>
      </w:r>
      <w:r w:rsidR="00487CBB" w:rsidRPr="00FE4595">
        <w:rPr>
          <w:szCs w:val="24"/>
        </w:rPr>
        <w:t xml:space="preserve">. </w:t>
      </w:r>
    </w:p>
    <w:bookmarkEnd w:id="0"/>
    <w:p w14:paraId="11B04D50" w14:textId="3C2BE0A0" w:rsidR="00122D9D" w:rsidRPr="00FE4595" w:rsidRDefault="00687653" w:rsidP="00F522CB">
      <w:pPr>
        <w:ind w:firstLine="567"/>
        <w:jc w:val="both"/>
        <w:rPr>
          <w:szCs w:val="24"/>
        </w:rPr>
      </w:pPr>
      <w:r w:rsidRPr="00FE4595">
        <w:rPr>
          <w:szCs w:val="24"/>
        </w:rPr>
        <w:t>Projekt</w:t>
      </w:r>
      <w:r w:rsidR="00E2530F" w:rsidRPr="00FE4595">
        <w:rPr>
          <w:szCs w:val="24"/>
        </w:rPr>
        <w:t>o</w:t>
      </w:r>
      <w:r w:rsidRPr="00FE4595">
        <w:rPr>
          <w:szCs w:val="24"/>
        </w:rPr>
        <w:t xml:space="preserve"> tiesiogini</w:t>
      </w:r>
      <w:r w:rsidR="00BD32BF" w:rsidRPr="00FE4595">
        <w:rPr>
          <w:szCs w:val="24"/>
        </w:rPr>
        <w:t>s</w:t>
      </w:r>
      <w:r w:rsidRPr="00FE4595">
        <w:rPr>
          <w:szCs w:val="24"/>
        </w:rPr>
        <w:t xml:space="preserve"> rengėja</w:t>
      </w:r>
      <w:r w:rsidR="00BD32BF" w:rsidRPr="00FE4595">
        <w:rPr>
          <w:szCs w:val="24"/>
        </w:rPr>
        <w:t>s</w:t>
      </w:r>
      <w:r w:rsidRPr="00FE4595">
        <w:rPr>
          <w:szCs w:val="24"/>
        </w:rPr>
        <w:t xml:space="preserve"> – </w:t>
      </w:r>
      <w:bookmarkStart w:id="2" w:name="_Hlk2864027"/>
      <w:r w:rsidR="00764F80" w:rsidRPr="003A101F">
        <w:t xml:space="preserve">Sveikatos apsaugos ministerijos Farmacijos </w:t>
      </w:r>
      <w:r w:rsidR="00764F80">
        <w:t xml:space="preserve">politikos skyriaus </w:t>
      </w:r>
      <w:r w:rsidR="00764F80">
        <w:rPr>
          <w:spacing w:val="-2"/>
        </w:rPr>
        <w:t>patarėja Vilma Meldžiukaitė, tel. (8 5) 264 8753</w:t>
      </w:r>
      <w:r w:rsidR="003F1C3E">
        <w:rPr>
          <w:spacing w:val="-2"/>
        </w:rPr>
        <w:t>, vilma.meldziukaite@</w:t>
      </w:r>
      <w:r w:rsidR="006B42DB">
        <w:rPr>
          <w:spacing w:val="-2"/>
        </w:rPr>
        <w:t>sam.lt</w:t>
      </w:r>
      <w:r w:rsidR="002865F1" w:rsidRPr="00FE4595">
        <w:rPr>
          <w:szCs w:val="24"/>
        </w:rPr>
        <w:t>.</w:t>
      </w:r>
      <w:r w:rsidR="002865F1" w:rsidRPr="00FE4595">
        <w:rPr>
          <w:color w:val="555555"/>
          <w:szCs w:val="24"/>
        </w:rPr>
        <w:t xml:space="preserve"> </w:t>
      </w:r>
      <w:bookmarkEnd w:id="2"/>
    </w:p>
    <w:p w14:paraId="33929EF9" w14:textId="77777777" w:rsidR="00C2468F" w:rsidRPr="007C5AF9" w:rsidRDefault="00687653" w:rsidP="00F522CB">
      <w:pPr>
        <w:ind w:firstLine="567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E8020C">
        <w:rPr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="00FA245A">
        <w:rPr>
          <w:rStyle w:val="FootnoteReference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  <w:r w:rsidR="00122D9D" w:rsidRPr="0065369D">
        <w:rPr>
          <w:bCs/>
          <w:szCs w:val="24"/>
        </w:rPr>
        <w:t>n</w:t>
      </w:r>
      <w:r w:rsidR="00C73AD4" w:rsidRPr="0065369D">
        <w:rPr>
          <w:bCs/>
          <w:szCs w:val="24"/>
        </w:rPr>
        <w:t>en</w:t>
      </w:r>
      <w:r w:rsidR="00122D9D" w:rsidRPr="0065369D">
        <w:rPr>
          <w:bCs/>
          <w:szCs w:val="24"/>
        </w:rPr>
        <w:t>ustatyt</w:t>
      </w:r>
      <w:r w:rsidR="00E8020C" w:rsidRPr="0065369D">
        <w:rPr>
          <w:bCs/>
          <w:szCs w:val="24"/>
        </w:rPr>
        <w:t>a.</w:t>
      </w:r>
      <w:r w:rsidR="00E8020C">
        <w:rPr>
          <w:b/>
          <w:szCs w:val="24"/>
        </w:rPr>
        <w:t xml:space="preserve"> </w:t>
      </w:r>
    </w:p>
    <w:p w14:paraId="1AE9970B" w14:textId="33F8F374" w:rsidR="00C2468F" w:rsidRPr="00D74733" w:rsidRDefault="00687653" w:rsidP="00F522CB">
      <w:pPr>
        <w:ind w:firstLine="567"/>
        <w:jc w:val="both"/>
        <w:rPr>
          <w:b/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="00FA245A">
        <w:rPr>
          <w:rStyle w:val="FootnoteReference"/>
          <w:szCs w:val="24"/>
        </w:rPr>
        <w:footnoteReference w:id="2"/>
      </w:r>
      <w:r>
        <w:rPr>
          <w:szCs w:val="24"/>
        </w:rPr>
        <w:t>:</w:t>
      </w:r>
      <w:r w:rsidR="00DB23C5">
        <w:rPr>
          <w:szCs w:val="24"/>
        </w:rPr>
        <w:t xml:space="preserve"> </w:t>
      </w:r>
    </w:p>
    <w:p w14:paraId="0E5439A5" w14:textId="77777777" w:rsidR="00C2468F" w:rsidRPr="005128F7" w:rsidRDefault="00C2468F" w:rsidP="00F522CB">
      <w:pPr>
        <w:jc w:val="both"/>
        <w:rPr>
          <w:sz w:val="22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4820"/>
        <w:gridCol w:w="3827"/>
        <w:gridCol w:w="2092"/>
      </w:tblGrid>
      <w:tr w:rsidR="003E7EBE" w14:paraId="4669AC9C" w14:textId="7777777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50342EB4" w14:textId="77777777" w:rsidR="00C2468F" w:rsidRPr="0057484E" w:rsidRDefault="00687653" w:rsidP="00F522CB">
            <w:pPr>
              <w:jc w:val="center"/>
              <w:rPr>
                <w:sz w:val="20"/>
              </w:rPr>
            </w:pPr>
            <w:r w:rsidRPr="0057484E">
              <w:rPr>
                <w:sz w:val="20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F09F55" w14:textId="77777777" w:rsidR="00C2468F" w:rsidRPr="0057484E" w:rsidRDefault="00687653" w:rsidP="00F522CB">
            <w:pPr>
              <w:jc w:val="center"/>
              <w:rPr>
                <w:sz w:val="20"/>
              </w:rPr>
            </w:pPr>
            <w:r w:rsidRPr="0057484E">
              <w:rPr>
                <w:sz w:val="20"/>
              </w:rPr>
              <w:t>Kriterijus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61D67F5" w14:textId="77777777" w:rsidR="00C2468F" w:rsidRPr="0057484E" w:rsidRDefault="00687653" w:rsidP="00F522CB">
            <w:pPr>
              <w:jc w:val="center"/>
              <w:rPr>
                <w:b/>
                <w:sz w:val="20"/>
              </w:rPr>
            </w:pPr>
            <w:r w:rsidRPr="0057484E">
              <w:rPr>
                <w:sz w:val="20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129E105" w14:textId="77777777" w:rsidR="00C2468F" w:rsidRPr="0057484E" w:rsidRDefault="00687653" w:rsidP="00F522CB">
            <w:pPr>
              <w:jc w:val="center"/>
              <w:rPr>
                <w:sz w:val="20"/>
              </w:rPr>
            </w:pPr>
            <w:r w:rsidRPr="0057484E">
              <w:rPr>
                <w:sz w:val="20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EAA4D70" w14:textId="77777777" w:rsidR="00C2468F" w:rsidRPr="0057484E" w:rsidRDefault="00687653" w:rsidP="00F522CB">
            <w:pPr>
              <w:jc w:val="center"/>
              <w:rPr>
                <w:sz w:val="20"/>
              </w:rPr>
            </w:pPr>
            <w:r w:rsidRPr="0057484E">
              <w:rPr>
                <w:sz w:val="20"/>
              </w:rPr>
              <w:t>Išvada dėl teisės akto projekto pakeitimų arba argumentų, kodėl neatsižvelgta į pastabą</w:t>
            </w:r>
          </w:p>
        </w:tc>
      </w:tr>
      <w:tr w:rsidR="003E7EBE" w14:paraId="5A1F0BA5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5F0FBE3A" w14:textId="77777777" w:rsidR="00C2468F" w:rsidRPr="00BB133C" w:rsidRDefault="00C2468F" w:rsidP="00F522C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A01A3F0" w14:textId="77777777" w:rsidR="00C2468F" w:rsidRPr="00BB133C" w:rsidRDefault="00C2468F" w:rsidP="00F522CB">
            <w:pPr>
              <w:rPr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BFB2B78" w14:textId="77777777" w:rsidR="00C2468F" w:rsidRPr="00BB133C" w:rsidRDefault="00687653" w:rsidP="00F522CB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BF690B" w14:textId="77777777" w:rsidR="00C2468F" w:rsidRPr="00BB133C" w:rsidRDefault="00687653" w:rsidP="00F522CB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32DABA8" w14:textId="77777777" w:rsidR="00C2468F" w:rsidRPr="00BB133C" w:rsidRDefault="00687653" w:rsidP="00F522CB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3E7EBE" w14:paraId="7B018D6E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740E9AF2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F5B263B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5A50B2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820" w:type="dxa"/>
            <w:shd w:val="clear" w:color="auto" w:fill="auto"/>
          </w:tcPr>
          <w:p w14:paraId="16D68A11" w14:textId="6C52C8BF" w:rsidR="00154700" w:rsidRPr="007C456E" w:rsidRDefault="00520A5B" w:rsidP="00B12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7B0D98F5" w14:textId="745B662F" w:rsidR="005A407B" w:rsidRPr="00BB133C" w:rsidRDefault="005A407B" w:rsidP="000246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3B1EF0E" w14:textId="70BAAF94" w:rsidR="00C2468F" w:rsidRPr="00BB133C" w:rsidRDefault="00601F6C" w:rsidP="00F522CB">
            <w:pPr>
              <w:rPr>
                <w:sz w:val="22"/>
                <w:szCs w:val="22"/>
              </w:rPr>
            </w:pPr>
            <w:r w:rsidRPr="00B12B55">
              <w:rPr>
                <w:sz w:val="22"/>
                <w:szCs w:val="22"/>
              </w:rPr>
              <w:t>□</w:t>
            </w:r>
            <w:r w:rsidR="00687653" w:rsidRPr="00BB133C">
              <w:rPr>
                <w:sz w:val="22"/>
                <w:szCs w:val="22"/>
              </w:rPr>
              <w:t xml:space="preserve"> tenkina</w:t>
            </w:r>
          </w:p>
          <w:p w14:paraId="6C2CD642" w14:textId="77777777" w:rsidR="00792051" w:rsidRDefault="00B12B55" w:rsidP="00F522CB">
            <w:pPr>
              <w:rPr>
                <w:sz w:val="22"/>
                <w:szCs w:val="22"/>
              </w:rPr>
            </w:pPr>
            <w:r w:rsidRPr="00B12B55">
              <w:rPr>
                <w:sz w:val="22"/>
                <w:szCs w:val="22"/>
              </w:rPr>
              <w:t xml:space="preserve">□ </w:t>
            </w:r>
            <w:r w:rsidR="00687653" w:rsidRPr="00BB133C">
              <w:rPr>
                <w:sz w:val="22"/>
                <w:szCs w:val="22"/>
              </w:rPr>
              <w:t>netenkina</w:t>
            </w:r>
          </w:p>
          <w:p w14:paraId="0F248A94" w14:textId="77777777" w:rsidR="00C73AD4" w:rsidRDefault="00C73AD4" w:rsidP="00811D44">
            <w:pPr>
              <w:rPr>
                <w:sz w:val="22"/>
                <w:szCs w:val="22"/>
              </w:rPr>
            </w:pPr>
          </w:p>
          <w:p w14:paraId="07E51920" w14:textId="44EEA3AC" w:rsidR="00C73AD4" w:rsidRPr="0002468E" w:rsidRDefault="00C73AD4" w:rsidP="00811D44">
            <w:pPr>
              <w:rPr>
                <w:sz w:val="22"/>
                <w:szCs w:val="22"/>
              </w:rPr>
            </w:pPr>
          </w:p>
        </w:tc>
      </w:tr>
      <w:tr w:rsidR="003E7EBE" w14:paraId="3F892448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059BA6A2" w14:textId="77777777" w:rsidR="00C2468F" w:rsidRPr="00BB133C" w:rsidRDefault="00687653" w:rsidP="00F522CB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3F543718" w14:textId="77777777" w:rsidR="00C2468F" w:rsidRPr="00BB133C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nėra </w:t>
            </w:r>
            <w:r w:rsidRPr="00117606">
              <w:rPr>
                <w:sz w:val="22"/>
                <w:szCs w:val="22"/>
              </w:rPr>
              <w:t>spragų</w:t>
            </w:r>
            <w:r w:rsidRPr="00BB133C">
              <w:rPr>
                <w:sz w:val="22"/>
                <w:szCs w:val="22"/>
              </w:rPr>
              <w:t xml:space="preserve"> ar nuostatų, leisiančių </w:t>
            </w:r>
            <w:r w:rsidRPr="00117606">
              <w:rPr>
                <w:sz w:val="22"/>
                <w:szCs w:val="22"/>
              </w:rPr>
              <w:t>dviprasmiškai</w:t>
            </w:r>
            <w:r w:rsidRPr="00BB133C">
              <w:rPr>
                <w:sz w:val="22"/>
                <w:szCs w:val="22"/>
              </w:rPr>
              <w:t xml:space="preserve"> aiškinti ir taikyti teisės aktą</w:t>
            </w:r>
          </w:p>
        </w:tc>
        <w:tc>
          <w:tcPr>
            <w:tcW w:w="4820" w:type="dxa"/>
            <w:shd w:val="clear" w:color="auto" w:fill="auto"/>
          </w:tcPr>
          <w:p w14:paraId="1CD26DEF" w14:textId="77777777" w:rsidR="00154700" w:rsidRPr="00BA300D" w:rsidRDefault="00811D44" w:rsidP="005A0A96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4FD037F9" w14:textId="77777777" w:rsidR="00C2468F" w:rsidRPr="00BB133C" w:rsidRDefault="00C2468F" w:rsidP="003D474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200369C" w14:textId="77777777" w:rsidR="00B12B55" w:rsidRPr="00BB133C" w:rsidRDefault="00FA245A" w:rsidP="00B12B55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5D3BA868" w14:textId="77777777" w:rsidR="00C2468F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  <w:p w14:paraId="54B87E4A" w14:textId="77777777" w:rsidR="00792051" w:rsidRDefault="00792051" w:rsidP="00F522CB">
            <w:pPr>
              <w:keepNext/>
              <w:rPr>
                <w:sz w:val="22"/>
                <w:szCs w:val="22"/>
              </w:rPr>
            </w:pPr>
          </w:p>
          <w:p w14:paraId="44D1CBED" w14:textId="77777777" w:rsidR="00792051" w:rsidRPr="00BB133C" w:rsidRDefault="00792051" w:rsidP="00F522CB">
            <w:pPr>
              <w:keepNext/>
              <w:rPr>
                <w:sz w:val="22"/>
                <w:szCs w:val="22"/>
              </w:rPr>
            </w:pPr>
          </w:p>
        </w:tc>
      </w:tr>
      <w:tr w:rsidR="003E7EBE" w14:paraId="0AB66FF7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0B41A830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70DDFE98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</w:t>
            </w:r>
            <w:r w:rsidRPr="00117606">
              <w:rPr>
                <w:sz w:val="22"/>
                <w:szCs w:val="22"/>
              </w:rPr>
              <w:t>atskirtas</w:t>
            </w:r>
            <w:r w:rsidRPr="00BB133C">
              <w:rPr>
                <w:sz w:val="22"/>
                <w:szCs w:val="22"/>
              </w:rPr>
              <w:t xml:space="preserve"> nuo šių sprendimų teisėtumą ir įgyvendinimą kontroliuojančio (prižiūrinčio) subjekto</w:t>
            </w:r>
            <w:r w:rsidR="0011587D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0F7D0029" w14:textId="77777777" w:rsidR="0011587D" w:rsidRPr="001849CB" w:rsidRDefault="00687653" w:rsidP="00115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497BF0F2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2D75BC4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0AE83E9B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2A0340D1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13F21E4A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A80C244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nustatyti </w:t>
            </w:r>
            <w:r w:rsidRPr="00BB133C">
              <w:rPr>
                <w:sz w:val="22"/>
                <w:szCs w:val="22"/>
              </w:rPr>
              <w:lastRenderedPageBreak/>
              <w:t>subjekto įgaliojimai (teisės) atitinka subjekto atliekamas funkcijas (pareigas)</w:t>
            </w:r>
          </w:p>
        </w:tc>
        <w:tc>
          <w:tcPr>
            <w:tcW w:w="4820" w:type="dxa"/>
            <w:shd w:val="clear" w:color="auto" w:fill="auto"/>
          </w:tcPr>
          <w:p w14:paraId="48A98C2F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2B73CCFA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48B6DDC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44025EFF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3E7EBE" w14:paraId="077682CE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59DA6625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402" w:type="dxa"/>
            <w:shd w:val="clear" w:color="auto" w:fill="auto"/>
          </w:tcPr>
          <w:p w14:paraId="2A8D7993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820" w:type="dxa"/>
            <w:shd w:val="clear" w:color="auto" w:fill="auto"/>
          </w:tcPr>
          <w:p w14:paraId="107DD7F8" w14:textId="0FD7D494" w:rsidR="00C2468F" w:rsidRPr="001849CB" w:rsidRDefault="00400968" w:rsidP="00F52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Pastabų nėra</w:t>
            </w:r>
          </w:p>
        </w:tc>
        <w:tc>
          <w:tcPr>
            <w:tcW w:w="3827" w:type="dxa"/>
            <w:shd w:val="clear" w:color="auto" w:fill="auto"/>
          </w:tcPr>
          <w:p w14:paraId="46D2F738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6630D0A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40F80F7A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5E31929B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6884D740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4B4297DA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820" w:type="dxa"/>
            <w:shd w:val="clear" w:color="auto" w:fill="auto"/>
          </w:tcPr>
          <w:p w14:paraId="54C86BB9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27D976C5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CAE1FE2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1F0A0369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0CD75D26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2ED23EBE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52BDD138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820" w:type="dxa"/>
            <w:shd w:val="clear" w:color="auto" w:fill="auto"/>
          </w:tcPr>
          <w:p w14:paraId="57103526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23D3CA8C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F0E2B3D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2D9D767D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451D1D57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3D1D3613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4B04461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820" w:type="dxa"/>
            <w:shd w:val="clear" w:color="auto" w:fill="auto"/>
          </w:tcPr>
          <w:p w14:paraId="193C1009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303FF818" w14:textId="77777777" w:rsidR="00C2468F" w:rsidRPr="00BB133C" w:rsidRDefault="00C2468F" w:rsidP="00F522CB">
            <w:pPr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11D8DDB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05D7DBEF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586026D8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08FB7152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3136FAAE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253BBF47" w14:textId="77777777" w:rsidR="00C2468F" w:rsidRPr="00BB133C" w:rsidRDefault="00687653" w:rsidP="00F522CB">
            <w:pPr>
              <w:pStyle w:val="ListParagraph1"/>
              <w:ind w:left="33"/>
              <w:contextualSpacing w:val="0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025C703" w14:textId="77777777" w:rsidR="00C2468F" w:rsidRPr="00BB133C" w:rsidRDefault="00687653" w:rsidP="00F522CB">
            <w:pPr>
              <w:pStyle w:val="ListParagraph1"/>
              <w:ind w:left="33"/>
              <w:contextualSpacing w:val="0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445064C1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9.3</w:t>
            </w:r>
            <w:r w:rsidRPr="00BB133C">
              <w:rPr>
                <w:spacing w:val="-4"/>
                <w:sz w:val="22"/>
                <w:szCs w:val="22"/>
              </w:rPr>
              <w:t>. narių skyrimo mechanizmas;</w:t>
            </w:r>
          </w:p>
          <w:p w14:paraId="5B360F76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9.4. narių rotacija ir kadencijų skaičius ir trukmė;</w:t>
            </w:r>
          </w:p>
          <w:p w14:paraId="43FC17CE" w14:textId="77777777" w:rsidR="00C2468F" w:rsidRPr="00BB133C" w:rsidRDefault="00687653" w:rsidP="00F522CB">
            <w:pPr>
              <w:pStyle w:val="ListParagraph1"/>
              <w:ind w:left="0"/>
              <w:contextualSpacing w:val="0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9.5. veiklos pobūdis laiko atžvilgiu;</w:t>
            </w:r>
          </w:p>
          <w:p w14:paraId="392A0FEE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820" w:type="dxa"/>
            <w:shd w:val="clear" w:color="auto" w:fill="auto"/>
          </w:tcPr>
          <w:p w14:paraId="1DB1EBFD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lastRenderedPageBreak/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4DB70A2C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20E1BD8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724EE97C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6077F015" w14:textId="77777777">
        <w:trPr>
          <w:trHeight w:val="445"/>
        </w:trPr>
        <w:tc>
          <w:tcPr>
            <w:tcW w:w="709" w:type="dxa"/>
            <w:shd w:val="clear" w:color="auto" w:fill="auto"/>
          </w:tcPr>
          <w:p w14:paraId="7BBF137E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6C5BBF9B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BB133C">
              <w:rPr>
                <w:sz w:val="22"/>
                <w:szCs w:val="22"/>
                <w:shd w:val="clear" w:color="auto" w:fill="FFFFFF"/>
              </w:rPr>
              <w:t>būtinos,</w:t>
            </w:r>
            <w:r w:rsidRPr="00BB133C">
              <w:rPr>
                <w:sz w:val="22"/>
                <w:szCs w:val="22"/>
              </w:rPr>
              <w:t xml:space="preserve"> nus</w:t>
            </w:r>
            <w:r w:rsidR="0006686B">
              <w:rPr>
                <w:sz w:val="22"/>
                <w:szCs w:val="22"/>
              </w:rPr>
              <w:t>tatyta išsami jų taikymo tvarka.</w:t>
            </w:r>
          </w:p>
        </w:tc>
        <w:tc>
          <w:tcPr>
            <w:tcW w:w="4820" w:type="dxa"/>
            <w:shd w:val="clear" w:color="auto" w:fill="auto"/>
          </w:tcPr>
          <w:p w14:paraId="16D2A0D0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296FF6A6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75602CA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49B5D9F9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256421FD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74425288" w14:textId="77777777" w:rsidR="00C2468F" w:rsidRPr="00BB133C" w:rsidRDefault="00687653" w:rsidP="00F522CB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F6523BE" w14:textId="77777777" w:rsidR="00C2468F" w:rsidRPr="00BB133C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  <w:r w:rsidR="0006686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5618FF12" w14:textId="77777777" w:rsidR="00C2468F" w:rsidRPr="001849CB" w:rsidRDefault="00687653" w:rsidP="00F522CB">
            <w:pPr>
              <w:keepNext/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17FE4795" w14:textId="77777777" w:rsidR="00C2468F" w:rsidRPr="00BB133C" w:rsidRDefault="00C2468F" w:rsidP="00F522C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10CE424" w14:textId="77777777" w:rsidR="00C2468F" w:rsidRPr="00BB133C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3698F7B8" w14:textId="77777777" w:rsidR="00C2468F" w:rsidRPr="00BB133C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693F19AE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0D78C014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6C6D7895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  <w:r w:rsidR="0006686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EB7EA9C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30B02D87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71CF5920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3A9B0C99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5C169943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34C908B8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1F6052E3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motyvuotas terminų sustabdymo ir pratęsimo galimybes</w:t>
            </w:r>
            <w:r w:rsidR="0006686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D589259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59F34FE6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664D1626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3657A9B7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0B3ACE9D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6A0279A0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7C00EA9A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administracinių procedūrų viešinimo tvarką</w:t>
            </w:r>
            <w:r w:rsidR="0006686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A352356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73996ACA" w14:textId="77777777" w:rsidR="00C2468F" w:rsidRPr="00BB133C" w:rsidRDefault="00C2468F" w:rsidP="00F522CB">
            <w:pPr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FA2AB56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7E93E811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453353" w14:paraId="09400599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6A150904" w14:textId="77777777" w:rsidR="00453353" w:rsidRPr="00BB133C" w:rsidRDefault="00453353" w:rsidP="00453353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4407D032" w14:textId="77777777" w:rsidR="00453353" w:rsidRPr="00BB133C" w:rsidRDefault="00453353" w:rsidP="00453353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7ACADDA9" w14:textId="0311DCFD" w:rsidR="00453353" w:rsidRPr="001849CB" w:rsidRDefault="00453353" w:rsidP="00453353">
            <w:pPr>
              <w:rPr>
                <w:sz w:val="22"/>
                <w:szCs w:val="22"/>
              </w:rPr>
            </w:pPr>
            <w:r w:rsidRPr="00C04F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53A691E2" w14:textId="77777777" w:rsidR="00453353" w:rsidRPr="00BB133C" w:rsidRDefault="00453353" w:rsidP="004533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8375DC0" w14:textId="77777777" w:rsidR="00453353" w:rsidRPr="00BB133C" w:rsidRDefault="00453353" w:rsidP="00453353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3F144FA3" w14:textId="77777777" w:rsidR="00453353" w:rsidRPr="00BB133C" w:rsidRDefault="00453353" w:rsidP="00453353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453353" w14:paraId="45BD123D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782368D7" w14:textId="77777777" w:rsidR="00453353" w:rsidRPr="00BB133C" w:rsidRDefault="00453353" w:rsidP="00453353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179EB08" w14:textId="77777777" w:rsidR="00453353" w:rsidRPr="00BB133C" w:rsidRDefault="00453353" w:rsidP="00453353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nustatytos kontrolės (priežiūros) skaidrumo ir </w:t>
            </w:r>
            <w:r w:rsidRPr="00BB133C">
              <w:rPr>
                <w:sz w:val="22"/>
                <w:szCs w:val="22"/>
              </w:rPr>
              <w:lastRenderedPageBreak/>
              <w:t>objektyvumo užtikrinimo priemonės</w:t>
            </w:r>
            <w:r>
              <w:rPr>
                <w:rStyle w:val="FootnoteReference"/>
                <w:sz w:val="22"/>
                <w:szCs w:val="22"/>
              </w:rPr>
              <w:footnoteReference w:id="3"/>
            </w:r>
          </w:p>
        </w:tc>
        <w:tc>
          <w:tcPr>
            <w:tcW w:w="4820" w:type="dxa"/>
            <w:shd w:val="clear" w:color="auto" w:fill="auto"/>
          </w:tcPr>
          <w:p w14:paraId="00AF84D4" w14:textId="5F579705" w:rsidR="00453353" w:rsidRPr="001849CB" w:rsidRDefault="00453353" w:rsidP="00453353">
            <w:pPr>
              <w:rPr>
                <w:sz w:val="22"/>
                <w:szCs w:val="22"/>
              </w:rPr>
            </w:pPr>
            <w:r w:rsidRPr="00C04FCB">
              <w:rPr>
                <w:sz w:val="22"/>
                <w:szCs w:val="22"/>
              </w:rPr>
              <w:lastRenderedPageBreak/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688770E9" w14:textId="77777777" w:rsidR="00453353" w:rsidRPr="00BB133C" w:rsidRDefault="00453353" w:rsidP="004533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F0387D1" w14:textId="77777777" w:rsidR="00453353" w:rsidRPr="00BB133C" w:rsidRDefault="00453353" w:rsidP="00453353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357E34D1" w14:textId="77777777" w:rsidR="00453353" w:rsidRPr="00BB133C" w:rsidRDefault="00453353" w:rsidP="00453353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5FFC46AC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01717F9D" w14:textId="77777777" w:rsidR="00C2468F" w:rsidRPr="00BB133C" w:rsidRDefault="00687653" w:rsidP="00F522CB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7A394827" w14:textId="77777777" w:rsidR="00C2468F" w:rsidRPr="00BB133C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  <w:r w:rsidR="0006686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02920120" w14:textId="77777777" w:rsidR="00C2468F" w:rsidRPr="001849CB" w:rsidRDefault="00687653" w:rsidP="00F522C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Atsakomybė nenumatyta</w:t>
            </w:r>
          </w:p>
        </w:tc>
        <w:tc>
          <w:tcPr>
            <w:tcW w:w="3827" w:type="dxa"/>
            <w:shd w:val="clear" w:color="auto" w:fill="auto"/>
          </w:tcPr>
          <w:p w14:paraId="3641D881" w14:textId="77777777" w:rsidR="00C2468F" w:rsidRPr="00BB133C" w:rsidRDefault="00C2468F" w:rsidP="00F522C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71BA954" w14:textId="77777777" w:rsidR="00C2468F" w:rsidRPr="00BB133C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1B3BCB8B" w14:textId="77777777" w:rsidR="00C2468F" w:rsidRPr="00BB133C" w:rsidRDefault="00687653" w:rsidP="00F522CB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4B6AFA82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6C3010A5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AFB73D2" w14:textId="77777777" w:rsidR="00154700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  <w:r w:rsidR="0006686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B96E5BA" w14:textId="77777777" w:rsidR="00C2468F" w:rsidRPr="001849CB" w:rsidRDefault="00687653" w:rsidP="00F522CB">
            <w:pPr>
              <w:rPr>
                <w:sz w:val="22"/>
                <w:szCs w:val="22"/>
              </w:rPr>
            </w:pPr>
            <w:r w:rsidRPr="001849CB"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827" w:type="dxa"/>
            <w:shd w:val="clear" w:color="auto" w:fill="auto"/>
          </w:tcPr>
          <w:p w14:paraId="16F7F161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0F3E3CA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67769625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3E7EBE" w14:paraId="3E033DF1" w14:textId="77777777">
        <w:trPr>
          <w:trHeight w:val="23"/>
        </w:trPr>
        <w:tc>
          <w:tcPr>
            <w:tcW w:w="709" w:type="dxa"/>
            <w:shd w:val="clear" w:color="auto" w:fill="auto"/>
          </w:tcPr>
          <w:p w14:paraId="62192ABC" w14:textId="77777777" w:rsidR="00C2468F" w:rsidRPr="00BB133C" w:rsidRDefault="00687653" w:rsidP="00F522CB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7A896282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Kiti svarbūs kriterijai</w:t>
            </w:r>
            <w:r w:rsidR="0006686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03950ADE" w14:textId="77777777" w:rsidR="003B369A" w:rsidRPr="001849CB" w:rsidRDefault="003B369A" w:rsidP="005A0A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7CEA105" w14:textId="77777777" w:rsidR="00C36FCE" w:rsidRPr="00BB133C" w:rsidRDefault="00C36FCE" w:rsidP="00F522C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D040367" w14:textId="77777777" w:rsidR="00792051" w:rsidRPr="00BB133C" w:rsidRDefault="00792051" w:rsidP="00F522CB">
            <w:pPr>
              <w:rPr>
                <w:sz w:val="22"/>
                <w:szCs w:val="22"/>
              </w:rPr>
            </w:pPr>
          </w:p>
        </w:tc>
      </w:tr>
    </w:tbl>
    <w:p w14:paraId="1D6C10E2" w14:textId="77777777" w:rsidR="00C2468F" w:rsidRDefault="00C2468F" w:rsidP="00F522CB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14850" w:type="dxa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5186"/>
      </w:tblGrid>
      <w:tr w:rsidR="003E7EBE" w14:paraId="2620DE87" w14:textId="77777777">
        <w:trPr>
          <w:trHeight w:val="23"/>
        </w:trPr>
        <w:tc>
          <w:tcPr>
            <w:tcW w:w="2457" w:type="dxa"/>
            <w:shd w:val="clear" w:color="auto" w:fill="auto"/>
          </w:tcPr>
          <w:p w14:paraId="55D068C5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1A4F2395" w14:textId="22CBEAB3" w:rsidR="00B71F70" w:rsidRPr="00154700" w:rsidRDefault="00B71F70" w:rsidP="00F522CB">
            <w:pPr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434" w:type="dxa"/>
            <w:shd w:val="clear" w:color="auto" w:fill="auto"/>
          </w:tcPr>
          <w:p w14:paraId="6914D6F4" w14:textId="77777777" w:rsidR="00C2468F" w:rsidRPr="00BB133C" w:rsidRDefault="00687653" w:rsidP="00F522CB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auto" w:fill="auto"/>
          </w:tcPr>
          <w:p w14:paraId="63E01209" w14:textId="3F066B2E" w:rsidR="00B71F70" w:rsidRPr="00BB133C" w:rsidRDefault="00B71F70" w:rsidP="00F522CB">
            <w:pPr>
              <w:rPr>
                <w:sz w:val="22"/>
                <w:szCs w:val="22"/>
              </w:rPr>
            </w:pPr>
          </w:p>
        </w:tc>
      </w:tr>
      <w:tr w:rsidR="003E7EBE" w14:paraId="7BBC2832" w14:textId="77777777">
        <w:trPr>
          <w:trHeight w:val="23"/>
        </w:trPr>
        <w:tc>
          <w:tcPr>
            <w:tcW w:w="2457" w:type="dxa"/>
            <w:shd w:val="clear" w:color="auto" w:fill="auto"/>
          </w:tcPr>
          <w:p w14:paraId="5605B32A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33B72F18" w14:textId="4D6FC9AD" w:rsidR="00C2468F" w:rsidRPr="00BB133C" w:rsidRDefault="00C2468F" w:rsidP="00F522CB">
            <w:pPr>
              <w:ind w:left="-11" w:firstLine="11"/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14:paraId="15968795" w14:textId="77777777" w:rsidR="00C2468F" w:rsidRPr="00BB133C" w:rsidRDefault="00C2468F" w:rsidP="00F522CB">
            <w:pPr>
              <w:rPr>
                <w:sz w:val="22"/>
                <w:szCs w:val="22"/>
              </w:rPr>
            </w:pP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auto" w:fill="auto"/>
          </w:tcPr>
          <w:p w14:paraId="4ADC2D21" w14:textId="03F79DDD" w:rsidR="00C2468F" w:rsidRPr="00BB133C" w:rsidRDefault="00C2468F" w:rsidP="00F522CB">
            <w:pPr>
              <w:ind w:left="-11" w:firstLine="11"/>
              <w:rPr>
                <w:sz w:val="22"/>
                <w:szCs w:val="22"/>
              </w:rPr>
            </w:pPr>
          </w:p>
        </w:tc>
      </w:tr>
    </w:tbl>
    <w:p w14:paraId="7C5F04DD" w14:textId="77777777" w:rsidR="00C2468F" w:rsidRDefault="00C2468F" w:rsidP="00F522CB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44A987B" w14:textId="77777777" w:rsidR="002A3A5F" w:rsidRPr="00D119BF" w:rsidRDefault="00687653" w:rsidP="00D119BF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t>––––––––––––––––––––</w:t>
      </w:r>
    </w:p>
    <w:sectPr w:rsidR="002A3A5F" w:rsidRPr="00D119BF" w:rsidSect="0006686B">
      <w:headerReference w:type="even" r:id="rId10"/>
      <w:headerReference w:type="default" r:id="rId11"/>
      <w:pgSz w:w="16838" w:h="11906" w:orient="landscape" w:code="9"/>
      <w:pgMar w:top="899" w:right="1077" w:bottom="719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FD11C" w14:textId="77777777" w:rsidR="00C359E8" w:rsidRDefault="00C359E8">
      <w:r>
        <w:separator/>
      </w:r>
    </w:p>
  </w:endnote>
  <w:endnote w:type="continuationSeparator" w:id="0">
    <w:p w14:paraId="68F38512" w14:textId="77777777" w:rsidR="00C359E8" w:rsidRDefault="00C3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E04F9" w14:textId="77777777" w:rsidR="00C359E8" w:rsidRDefault="00C359E8" w:rsidP="00C2468F">
      <w:r>
        <w:separator/>
      </w:r>
    </w:p>
  </w:footnote>
  <w:footnote w:type="continuationSeparator" w:id="0">
    <w:p w14:paraId="472F1DED" w14:textId="77777777" w:rsidR="00C359E8" w:rsidRDefault="00C359E8" w:rsidP="00C2468F">
      <w:r>
        <w:continuationSeparator/>
      </w:r>
    </w:p>
  </w:footnote>
  <w:footnote w:id="1">
    <w:p w14:paraId="786A4D4D" w14:textId="77777777" w:rsidR="00B46F2B" w:rsidRPr="00A35253" w:rsidRDefault="00FA245A" w:rsidP="00C2468F">
      <w:pPr>
        <w:pStyle w:val="FootnoteText"/>
        <w:jc w:val="both"/>
      </w:pPr>
      <w:r w:rsidRPr="00A35253">
        <w:rPr>
          <w:rStyle w:val="FootnoteReference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21248CFE" w14:textId="77777777" w:rsidR="00B46F2B" w:rsidRPr="00A35253" w:rsidRDefault="00FA245A" w:rsidP="00C2468F">
      <w:pPr>
        <w:pStyle w:val="FootnoteText"/>
        <w:jc w:val="both"/>
      </w:pPr>
      <w:r w:rsidRPr="00A35253">
        <w:rPr>
          <w:rStyle w:val="FootnoteReference"/>
        </w:rPr>
        <w:footnoteRef/>
      </w:r>
      <w:r>
        <w:t xml:space="preserve"> </w:t>
      </w:r>
      <w:r>
        <w:t>Tas pat.</w:t>
      </w:r>
    </w:p>
  </w:footnote>
  <w:footnote w:id="3">
    <w:p w14:paraId="1241B63B" w14:textId="77777777" w:rsidR="00453353" w:rsidRPr="008E4C80" w:rsidRDefault="00453353" w:rsidP="00453353">
      <w:pPr>
        <w:pStyle w:val="FootnoteText"/>
        <w:jc w:val="both"/>
      </w:pPr>
      <w:r w:rsidRPr="008E4C80">
        <w:rPr>
          <w:rStyle w:val="FootnoteReference"/>
        </w:rPr>
        <w:footnoteRef/>
      </w:r>
      <w:r>
        <w:t>Pavyzdžiui,</w:t>
      </w:r>
      <w:r w:rsidRPr="008E4C80">
        <w:t xml:space="preserve"> </w:t>
      </w:r>
      <w:r w:rsidRPr="008E4C80">
        <w:t>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E447B" w14:textId="77777777" w:rsidR="00B46F2B" w:rsidRDefault="00FA245A" w:rsidP="002A3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5E78B" w14:textId="77777777" w:rsidR="00B46F2B" w:rsidRDefault="00B46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CEEB3" w14:textId="77777777" w:rsidR="00B46F2B" w:rsidRDefault="00FA245A" w:rsidP="002A3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9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5E2172" w14:textId="77777777" w:rsidR="00B46F2B" w:rsidRDefault="00B46F2B">
    <w:pPr>
      <w:pStyle w:val="Header"/>
    </w:pPr>
  </w:p>
  <w:p w14:paraId="5735D2C7" w14:textId="77777777" w:rsidR="00B46F2B" w:rsidRDefault="00B46F2B" w:rsidP="002A3A5F">
    <w:pPr>
      <w:pStyle w:val="Header"/>
      <w:jc w:val="center"/>
    </w:pPr>
  </w:p>
  <w:p w14:paraId="46E3F741" w14:textId="77777777" w:rsidR="00B46F2B" w:rsidRDefault="00B46F2B" w:rsidP="002A3A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72CDE"/>
    <w:multiLevelType w:val="hybridMultilevel"/>
    <w:tmpl w:val="FCB8C794"/>
    <w:lvl w:ilvl="0" w:tplc="861C8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42CFDE" w:tentative="1">
      <w:start w:val="1"/>
      <w:numFmt w:val="lowerLetter"/>
      <w:lvlText w:val="%2."/>
      <w:lvlJc w:val="left"/>
      <w:pPr>
        <w:ind w:left="1440" w:hanging="360"/>
      </w:pPr>
    </w:lvl>
    <w:lvl w:ilvl="2" w:tplc="23EA2FAE" w:tentative="1">
      <w:start w:val="1"/>
      <w:numFmt w:val="lowerRoman"/>
      <w:lvlText w:val="%3."/>
      <w:lvlJc w:val="right"/>
      <w:pPr>
        <w:ind w:left="2160" w:hanging="180"/>
      </w:pPr>
    </w:lvl>
    <w:lvl w:ilvl="3" w:tplc="6B287A52" w:tentative="1">
      <w:start w:val="1"/>
      <w:numFmt w:val="decimal"/>
      <w:lvlText w:val="%4."/>
      <w:lvlJc w:val="left"/>
      <w:pPr>
        <w:ind w:left="2880" w:hanging="360"/>
      </w:pPr>
    </w:lvl>
    <w:lvl w:ilvl="4" w:tplc="216C8FB2" w:tentative="1">
      <w:start w:val="1"/>
      <w:numFmt w:val="lowerLetter"/>
      <w:lvlText w:val="%5."/>
      <w:lvlJc w:val="left"/>
      <w:pPr>
        <w:ind w:left="3600" w:hanging="360"/>
      </w:pPr>
    </w:lvl>
    <w:lvl w:ilvl="5" w:tplc="15D4EC1E" w:tentative="1">
      <w:start w:val="1"/>
      <w:numFmt w:val="lowerRoman"/>
      <w:lvlText w:val="%6."/>
      <w:lvlJc w:val="right"/>
      <w:pPr>
        <w:ind w:left="4320" w:hanging="180"/>
      </w:pPr>
    </w:lvl>
    <w:lvl w:ilvl="6" w:tplc="D2EE74CE" w:tentative="1">
      <w:start w:val="1"/>
      <w:numFmt w:val="decimal"/>
      <w:lvlText w:val="%7."/>
      <w:lvlJc w:val="left"/>
      <w:pPr>
        <w:ind w:left="5040" w:hanging="360"/>
      </w:pPr>
    </w:lvl>
    <w:lvl w:ilvl="7" w:tplc="8312E442" w:tentative="1">
      <w:start w:val="1"/>
      <w:numFmt w:val="lowerLetter"/>
      <w:lvlText w:val="%8."/>
      <w:lvlJc w:val="left"/>
      <w:pPr>
        <w:ind w:left="5760" w:hanging="360"/>
      </w:pPr>
    </w:lvl>
    <w:lvl w:ilvl="8" w:tplc="618494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8F"/>
    <w:rsid w:val="0000391D"/>
    <w:rsid w:val="00016492"/>
    <w:rsid w:val="0002468E"/>
    <w:rsid w:val="000365A2"/>
    <w:rsid w:val="0004208A"/>
    <w:rsid w:val="00043840"/>
    <w:rsid w:val="0006686B"/>
    <w:rsid w:val="000815AB"/>
    <w:rsid w:val="0009240A"/>
    <w:rsid w:val="000934EE"/>
    <w:rsid w:val="00094D6B"/>
    <w:rsid w:val="000A0D98"/>
    <w:rsid w:val="000B229C"/>
    <w:rsid w:val="000B41A6"/>
    <w:rsid w:val="000B45D9"/>
    <w:rsid w:val="000C1FBC"/>
    <w:rsid w:val="000D0706"/>
    <w:rsid w:val="000F5FD7"/>
    <w:rsid w:val="000F72A3"/>
    <w:rsid w:val="0010399F"/>
    <w:rsid w:val="0011587D"/>
    <w:rsid w:val="00117606"/>
    <w:rsid w:val="00122D9D"/>
    <w:rsid w:val="00124621"/>
    <w:rsid w:val="00126049"/>
    <w:rsid w:val="00131FB6"/>
    <w:rsid w:val="0013752E"/>
    <w:rsid w:val="00154700"/>
    <w:rsid w:val="001632FD"/>
    <w:rsid w:val="00163B7E"/>
    <w:rsid w:val="00164190"/>
    <w:rsid w:val="00165F49"/>
    <w:rsid w:val="00181FA1"/>
    <w:rsid w:val="00182DB8"/>
    <w:rsid w:val="00183DFE"/>
    <w:rsid w:val="001849CB"/>
    <w:rsid w:val="00185A31"/>
    <w:rsid w:val="0019520F"/>
    <w:rsid w:val="00195DA6"/>
    <w:rsid w:val="001D491A"/>
    <w:rsid w:val="001E0E63"/>
    <w:rsid w:val="001F3568"/>
    <w:rsid w:val="002019FB"/>
    <w:rsid w:val="00212A70"/>
    <w:rsid w:val="00222A22"/>
    <w:rsid w:val="0022650F"/>
    <w:rsid w:val="00237620"/>
    <w:rsid w:val="00237F4E"/>
    <w:rsid w:val="00246305"/>
    <w:rsid w:val="002476B2"/>
    <w:rsid w:val="00260F70"/>
    <w:rsid w:val="00266E73"/>
    <w:rsid w:val="00270BF9"/>
    <w:rsid w:val="00275264"/>
    <w:rsid w:val="0028114A"/>
    <w:rsid w:val="00281610"/>
    <w:rsid w:val="0028517B"/>
    <w:rsid w:val="002865F1"/>
    <w:rsid w:val="002A38ED"/>
    <w:rsid w:val="002A3A5F"/>
    <w:rsid w:val="002C048E"/>
    <w:rsid w:val="002D1C85"/>
    <w:rsid w:val="002E7181"/>
    <w:rsid w:val="00305835"/>
    <w:rsid w:val="0031782F"/>
    <w:rsid w:val="00320429"/>
    <w:rsid w:val="00332C8C"/>
    <w:rsid w:val="003349C5"/>
    <w:rsid w:val="00346F6E"/>
    <w:rsid w:val="0034740A"/>
    <w:rsid w:val="00376B07"/>
    <w:rsid w:val="00390037"/>
    <w:rsid w:val="0039248E"/>
    <w:rsid w:val="003A21CE"/>
    <w:rsid w:val="003A4D94"/>
    <w:rsid w:val="003B369A"/>
    <w:rsid w:val="003C6853"/>
    <w:rsid w:val="003D4747"/>
    <w:rsid w:val="003E39AF"/>
    <w:rsid w:val="003E47D0"/>
    <w:rsid w:val="003E5DAF"/>
    <w:rsid w:val="003E7EBE"/>
    <w:rsid w:val="003F0567"/>
    <w:rsid w:val="003F1C3E"/>
    <w:rsid w:val="00400968"/>
    <w:rsid w:val="00402D5D"/>
    <w:rsid w:val="00433A93"/>
    <w:rsid w:val="00434620"/>
    <w:rsid w:val="00451A6B"/>
    <w:rsid w:val="00453353"/>
    <w:rsid w:val="004548D2"/>
    <w:rsid w:val="00467133"/>
    <w:rsid w:val="004714E5"/>
    <w:rsid w:val="00486C80"/>
    <w:rsid w:val="00486F3E"/>
    <w:rsid w:val="00487CBB"/>
    <w:rsid w:val="004A4B33"/>
    <w:rsid w:val="004C6397"/>
    <w:rsid w:val="004C757D"/>
    <w:rsid w:val="004C7E3B"/>
    <w:rsid w:val="004D36EA"/>
    <w:rsid w:val="004F0617"/>
    <w:rsid w:val="00503F8B"/>
    <w:rsid w:val="005128F7"/>
    <w:rsid w:val="00520A5B"/>
    <w:rsid w:val="00542E75"/>
    <w:rsid w:val="005461D8"/>
    <w:rsid w:val="0057484E"/>
    <w:rsid w:val="00581752"/>
    <w:rsid w:val="00585C16"/>
    <w:rsid w:val="00587FEA"/>
    <w:rsid w:val="005A0A96"/>
    <w:rsid w:val="005A407B"/>
    <w:rsid w:val="005A5081"/>
    <w:rsid w:val="005A50B2"/>
    <w:rsid w:val="005A7BD8"/>
    <w:rsid w:val="005A7E04"/>
    <w:rsid w:val="005B0B04"/>
    <w:rsid w:val="005B3A53"/>
    <w:rsid w:val="005B64E5"/>
    <w:rsid w:val="005C0731"/>
    <w:rsid w:val="005C3757"/>
    <w:rsid w:val="005C74DB"/>
    <w:rsid w:val="005E11AA"/>
    <w:rsid w:val="005E549A"/>
    <w:rsid w:val="005E7EED"/>
    <w:rsid w:val="00601F6C"/>
    <w:rsid w:val="00602885"/>
    <w:rsid w:val="00607461"/>
    <w:rsid w:val="00611CD3"/>
    <w:rsid w:val="00614A36"/>
    <w:rsid w:val="00615BB9"/>
    <w:rsid w:val="006204D8"/>
    <w:rsid w:val="0062780F"/>
    <w:rsid w:val="00636312"/>
    <w:rsid w:val="00640FA2"/>
    <w:rsid w:val="00646417"/>
    <w:rsid w:val="0065369D"/>
    <w:rsid w:val="00654E47"/>
    <w:rsid w:val="00683C05"/>
    <w:rsid w:val="0068614E"/>
    <w:rsid w:val="00687653"/>
    <w:rsid w:val="006950B9"/>
    <w:rsid w:val="006A11E8"/>
    <w:rsid w:val="006B42DB"/>
    <w:rsid w:val="006D0DE3"/>
    <w:rsid w:val="006D0FAE"/>
    <w:rsid w:val="006D1266"/>
    <w:rsid w:val="006D17C1"/>
    <w:rsid w:val="006D5EE3"/>
    <w:rsid w:val="006F2BA8"/>
    <w:rsid w:val="006F4248"/>
    <w:rsid w:val="006F5EB3"/>
    <w:rsid w:val="006F6ECD"/>
    <w:rsid w:val="00753E75"/>
    <w:rsid w:val="00764F80"/>
    <w:rsid w:val="00765832"/>
    <w:rsid w:val="00792051"/>
    <w:rsid w:val="007A41DC"/>
    <w:rsid w:val="007B5529"/>
    <w:rsid w:val="007B7731"/>
    <w:rsid w:val="007B7C73"/>
    <w:rsid w:val="007C456E"/>
    <w:rsid w:val="007C474D"/>
    <w:rsid w:val="007C4CA4"/>
    <w:rsid w:val="007C5AF9"/>
    <w:rsid w:val="007C6B47"/>
    <w:rsid w:val="007E4B2E"/>
    <w:rsid w:val="007E511B"/>
    <w:rsid w:val="008052CE"/>
    <w:rsid w:val="00811D44"/>
    <w:rsid w:val="00837C19"/>
    <w:rsid w:val="00846E3C"/>
    <w:rsid w:val="00866284"/>
    <w:rsid w:val="00873906"/>
    <w:rsid w:val="00892073"/>
    <w:rsid w:val="008922E5"/>
    <w:rsid w:val="008B1D63"/>
    <w:rsid w:val="008B4D4E"/>
    <w:rsid w:val="008C1BFA"/>
    <w:rsid w:val="008D1572"/>
    <w:rsid w:val="008E0B09"/>
    <w:rsid w:val="008E4C80"/>
    <w:rsid w:val="0091019E"/>
    <w:rsid w:val="00920662"/>
    <w:rsid w:val="00924A56"/>
    <w:rsid w:val="0093073D"/>
    <w:rsid w:val="00947CE8"/>
    <w:rsid w:val="0095181C"/>
    <w:rsid w:val="00951B93"/>
    <w:rsid w:val="00952C60"/>
    <w:rsid w:val="00970D35"/>
    <w:rsid w:val="0097234E"/>
    <w:rsid w:val="00991FEA"/>
    <w:rsid w:val="009A4B4B"/>
    <w:rsid w:val="009D397B"/>
    <w:rsid w:val="009D4C27"/>
    <w:rsid w:val="009E419A"/>
    <w:rsid w:val="009F458F"/>
    <w:rsid w:val="009F6DB1"/>
    <w:rsid w:val="00A124DC"/>
    <w:rsid w:val="00A15C0A"/>
    <w:rsid w:val="00A3411D"/>
    <w:rsid w:val="00A34279"/>
    <w:rsid w:val="00A351AD"/>
    <w:rsid w:val="00A35253"/>
    <w:rsid w:val="00A5409A"/>
    <w:rsid w:val="00A73B16"/>
    <w:rsid w:val="00A82C6C"/>
    <w:rsid w:val="00AA08A2"/>
    <w:rsid w:val="00AA14A8"/>
    <w:rsid w:val="00AA250D"/>
    <w:rsid w:val="00AE41B2"/>
    <w:rsid w:val="00B12957"/>
    <w:rsid w:val="00B12B55"/>
    <w:rsid w:val="00B36975"/>
    <w:rsid w:val="00B46F2B"/>
    <w:rsid w:val="00B55F3E"/>
    <w:rsid w:val="00B71F70"/>
    <w:rsid w:val="00B74B98"/>
    <w:rsid w:val="00B75712"/>
    <w:rsid w:val="00B83C66"/>
    <w:rsid w:val="00BA300D"/>
    <w:rsid w:val="00BA3591"/>
    <w:rsid w:val="00BB0518"/>
    <w:rsid w:val="00BB133C"/>
    <w:rsid w:val="00BB69EA"/>
    <w:rsid w:val="00BC1182"/>
    <w:rsid w:val="00BC3EDA"/>
    <w:rsid w:val="00BD32BF"/>
    <w:rsid w:val="00BE3DE9"/>
    <w:rsid w:val="00BF1CBD"/>
    <w:rsid w:val="00C006E4"/>
    <w:rsid w:val="00C13E65"/>
    <w:rsid w:val="00C1578B"/>
    <w:rsid w:val="00C16068"/>
    <w:rsid w:val="00C2468F"/>
    <w:rsid w:val="00C359E8"/>
    <w:rsid w:val="00C36FCE"/>
    <w:rsid w:val="00C46786"/>
    <w:rsid w:val="00C54394"/>
    <w:rsid w:val="00C7267A"/>
    <w:rsid w:val="00C73964"/>
    <w:rsid w:val="00C73AD4"/>
    <w:rsid w:val="00CA12E5"/>
    <w:rsid w:val="00CA1EEA"/>
    <w:rsid w:val="00CA2F56"/>
    <w:rsid w:val="00CC1574"/>
    <w:rsid w:val="00CC354E"/>
    <w:rsid w:val="00CC7BEF"/>
    <w:rsid w:val="00CC7D41"/>
    <w:rsid w:val="00CD6E8B"/>
    <w:rsid w:val="00CF1FC5"/>
    <w:rsid w:val="00CF467E"/>
    <w:rsid w:val="00D0072A"/>
    <w:rsid w:val="00D119BF"/>
    <w:rsid w:val="00D1268F"/>
    <w:rsid w:val="00D12FAD"/>
    <w:rsid w:val="00D16AD2"/>
    <w:rsid w:val="00D33A1A"/>
    <w:rsid w:val="00D34163"/>
    <w:rsid w:val="00D401E5"/>
    <w:rsid w:val="00D405E5"/>
    <w:rsid w:val="00D4262D"/>
    <w:rsid w:val="00D53156"/>
    <w:rsid w:val="00D67FF2"/>
    <w:rsid w:val="00D70429"/>
    <w:rsid w:val="00D74733"/>
    <w:rsid w:val="00D800BA"/>
    <w:rsid w:val="00D97BD2"/>
    <w:rsid w:val="00DB23C5"/>
    <w:rsid w:val="00DC193A"/>
    <w:rsid w:val="00DC72B8"/>
    <w:rsid w:val="00DF0A0F"/>
    <w:rsid w:val="00DF514D"/>
    <w:rsid w:val="00E04375"/>
    <w:rsid w:val="00E05CCF"/>
    <w:rsid w:val="00E07B6A"/>
    <w:rsid w:val="00E2530F"/>
    <w:rsid w:val="00E2756F"/>
    <w:rsid w:val="00E27D5E"/>
    <w:rsid w:val="00E329C0"/>
    <w:rsid w:val="00E51EBB"/>
    <w:rsid w:val="00E569FA"/>
    <w:rsid w:val="00E75539"/>
    <w:rsid w:val="00E8020C"/>
    <w:rsid w:val="00EA622E"/>
    <w:rsid w:val="00EA6639"/>
    <w:rsid w:val="00EB165C"/>
    <w:rsid w:val="00EC64A0"/>
    <w:rsid w:val="00EE0F1B"/>
    <w:rsid w:val="00EF7514"/>
    <w:rsid w:val="00F07546"/>
    <w:rsid w:val="00F1774E"/>
    <w:rsid w:val="00F404D7"/>
    <w:rsid w:val="00F407B9"/>
    <w:rsid w:val="00F520AF"/>
    <w:rsid w:val="00F522CB"/>
    <w:rsid w:val="00F57872"/>
    <w:rsid w:val="00F61355"/>
    <w:rsid w:val="00F80225"/>
    <w:rsid w:val="00F81DE4"/>
    <w:rsid w:val="00F83C37"/>
    <w:rsid w:val="00F90789"/>
    <w:rsid w:val="00F94D21"/>
    <w:rsid w:val="00FA245A"/>
    <w:rsid w:val="00FE4595"/>
    <w:rsid w:val="00FE6F51"/>
    <w:rsid w:val="00FF677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5740"/>
  <w15:docId w15:val="{5C4E5D7F-1B99-4D9F-B323-363A98C8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8F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C2468F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rsid w:val="00C2468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C2468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2468F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rsid w:val="00C2468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C246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C2468F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68F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C2468F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2468F"/>
    <w:rPr>
      <w:vertAlign w:val="superscript"/>
    </w:rPr>
  </w:style>
  <w:style w:type="character" w:styleId="Hyperlink">
    <w:name w:val="Hyperlink"/>
    <w:uiPriority w:val="99"/>
    <w:unhideWhenUsed/>
    <w:rsid w:val="009D4C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604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Char2CharCharCharChar">
    <w:name w:val="Char2 Char Char Char Char"/>
    <w:basedOn w:val="Normal"/>
    <w:rsid w:val="00F520A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Internetosaitas">
    <w:name w:val="Interneto saitas"/>
    <w:rsid w:val="0093073D"/>
    <w:rPr>
      <w:color w:val="00000A"/>
      <w:u w:val="none"/>
    </w:rPr>
  </w:style>
  <w:style w:type="character" w:customStyle="1" w:styleId="Neapdorotaspaminjimas1">
    <w:name w:val="Neapdorotas paminėjimas1"/>
    <w:uiPriority w:val="99"/>
    <w:semiHidden/>
    <w:unhideWhenUsed/>
    <w:rsid w:val="00DB23C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ERP-List Paragraph Diagrama,List L1 Diagrama,List Paragraph11 Diagrama,List Paragraph2 Diagrama,Normal bullet 2 Diagrama,Paragraph Diagrama"/>
    <w:link w:val="Sraopastraipa1"/>
    <w:locked/>
    <w:rsid w:val="009A4B4B"/>
    <w:rPr>
      <w:rFonts w:ascii="Calibri" w:eastAsia="Calibri" w:hAnsi="Calibri"/>
      <w:lang w:eastAsia="lt-LT" w:bidi="ar-SA"/>
    </w:rPr>
  </w:style>
  <w:style w:type="paragraph" w:customStyle="1" w:styleId="Sraopastraipa1">
    <w:name w:val="Sąrašo pastraipa1"/>
    <w:aliases w:val="Bullet EY,ERP-List Paragraph,List L1,List Paragraph11,List Paragraph2,Normal bullet 2,Paragraph"/>
    <w:basedOn w:val="Normal"/>
    <w:link w:val="SraopastraipaDiagrama"/>
    <w:qFormat/>
    <w:rsid w:val="009A4B4B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143A4FF3FDFD4BBC0B8EA6153ABD25" ma:contentTypeVersion="11" ma:contentTypeDescription="Kurkite naują dokumentą." ma:contentTypeScope="" ma:versionID="8aec4783d9cd2962e93073207c81db59">
  <xsd:schema xmlns:xsd="http://www.w3.org/2001/XMLSchema" xmlns:xs="http://www.w3.org/2001/XMLSchema" xmlns:p="http://schemas.microsoft.com/office/2006/metadata/properties" xmlns:ns3="2e1e022f-5dae-490a-81a9-1d4a267c0508" xmlns:ns4="41f5463f-d013-47bb-abba-e679ccacf588" targetNamespace="http://schemas.microsoft.com/office/2006/metadata/properties" ma:root="true" ma:fieldsID="841cee7c3d089b48591d5588e0c835e4" ns3:_="" ns4:_="">
    <xsd:import namespace="2e1e022f-5dae-490a-81a9-1d4a267c0508"/>
    <xsd:import namespace="41f5463f-d013-47bb-abba-e679ccacf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022f-5dae-490a-81a9-1d4a267c0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463f-d013-47bb-abba-e679ccacf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F350C-9243-4291-BBA3-64FB766E0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FE189-3156-4E7F-AFD8-689B6C8CE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EF4B-694E-4899-B3D4-1BEA87720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e022f-5dae-490a-81a9-1d4a267c0508"/>
    <ds:schemaRef ds:uri="41f5463f-d013-47bb-abba-e679ccacf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TEISĖS AKTŲ PROJEKTŲ ANTIKORUPCINIO VERTINIMO PAŽYMA Nr</vt:lpstr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TEISĖS AKTŲ PROJEKTŲ ANTIKORUPCINIO VERTINIMO PAŽYMA Nr</dc:title>
  <dc:creator>Vilma Meldziukaite</dc:creator>
  <cp:lastModifiedBy>Vilma</cp:lastModifiedBy>
  <cp:revision>2</cp:revision>
  <cp:lastPrinted>2019-03-13T19:43:00Z</cp:lastPrinted>
  <dcterms:created xsi:type="dcterms:W3CDTF">2021-01-29T12:50:00Z</dcterms:created>
  <dcterms:modified xsi:type="dcterms:W3CDTF">2021-01-29T12:50:00Z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0x010100FE143A4FF3FDFD4BBC0B8EA6153ABD25</vt:lpwstr>
  </property>
</Properties>
</file>