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D6A55" w14:textId="77777777" w:rsidR="00C16C78" w:rsidRPr="00C16C78" w:rsidRDefault="00C16C78" w:rsidP="00C16C78">
      <w:pPr>
        <w:tabs>
          <w:tab w:val="left" w:pos="7560"/>
        </w:tabs>
        <w:spacing w:after="0" w:line="240" w:lineRule="auto"/>
        <w:jc w:val="center"/>
        <w:rPr>
          <w:rFonts w:ascii="Times New Roman" w:hAnsi="Times New Roman" w:cs="Times New Roman"/>
          <w:b/>
          <w:sz w:val="24"/>
          <w:szCs w:val="24"/>
        </w:rPr>
      </w:pPr>
      <w:proofErr w:type="gramStart"/>
      <w:r w:rsidRPr="00C16C78">
        <w:rPr>
          <w:rFonts w:ascii="Times New Roman" w:hAnsi="Times New Roman" w:cs="Times New Roman"/>
          <w:b/>
          <w:sz w:val="24"/>
          <w:szCs w:val="24"/>
        </w:rPr>
        <w:t>LIETUVOS RESPUBLIKOS VYRIAUSYBĖS</w:t>
      </w:r>
      <w:proofErr w:type="gramEnd"/>
      <w:r w:rsidRPr="00C16C78">
        <w:rPr>
          <w:rFonts w:ascii="Times New Roman" w:hAnsi="Times New Roman" w:cs="Times New Roman"/>
          <w:b/>
          <w:sz w:val="24"/>
          <w:szCs w:val="24"/>
        </w:rPr>
        <w:t xml:space="preserve"> NUTARIMO „DĖL LIETUVOS RESPUBLIKOS VYRIAUSYBĖS 2020 M. LAPKRIČIO 25 D. NUTARIMO NR. 1322 „DĖL PASIRENGIMO ADMINISTRUOTI EUROPOS SĄJUNGOS FONDŲ LĖŠAS“ PAKEITIMO“ PROJEKTO</w:t>
      </w:r>
    </w:p>
    <w:p w14:paraId="129516B3" w14:textId="77777777" w:rsidR="00C16C78" w:rsidRDefault="00C16C78" w:rsidP="00C16C78">
      <w:pPr>
        <w:tabs>
          <w:tab w:val="left" w:pos="7560"/>
        </w:tabs>
        <w:spacing w:after="0" w:line="240" w:lineRule="auto"/>
        <w:jc w:val="center"/>
        <w:rPr>
          <w:rFonts w:ascii="Times New Roman" w:hAnsi="Times New Roman" w:cs="Times New Roman"/>
          <w:b/>
          <w:sz w:val="24"/>
          <w:szCs w:val="24"/>
        </w:rPr>
      </w:pPr>
      <w:r w:rsidRPr="00C16C78">
        <w:rPr>
          <w:rFonts w:ascii="Times New Roman" w:hAnsi="Times New Roman" w:cs="Times New Roman"/>
          <w:b/>
          <w:sz w:val="24"/>
          <w:szCs w:val="24"/>
        </w:rPr>
        <w:t>DERINIMO PAŽYMA</w:t>
      </w:r>
    </w:p>
    <w:p w14:paraId="48AA67F8" w14:textId="77777777" w:rsidR="00F728C9" w:rsidRDefault="00F728C9" w:rsidP="0042662E">
      <w:pPr>
        <w:tabs>
          <w:tab w:val="left" w:pos="7560"/>
        </w:tabs>
        <w:jc w:val="center"/>
        <w:rPr>
          <w:rFonts w:ascii="Times New Roman" w:hAnsi="Times New Roman" w:cs="Times New Roman"/>
          <w:b/>
        </w:rPr>
      </w:pPr>
    </w:p>
    <w:p w14:paraId="0350AF77" w14:textId="77777777" w:rsidR="00105F7A" w:rsidRDefault="00105F7A" w:rsidP="0042662E">
      <w:pPr>
        <w:tabs>
          <w:tab w:val="left" w:pos="7560"/>
        </w:tabs>
        <w:jc w:val="center"/>
        <w:rPr>
          <w:rFonts w:ascii="Times New Roman" w:hAnsi="Times New Roman" w:cs="Times New Roman"/>
          <w:b/>
        </w:rPr>
        <w:sectPr w:rsidR="00105F7A" w:rsidSect="009F5904">
          <w:footnotePr>
            <w:numFmt w:val="chicago"/>
          </w:footnotePr>
          <w:pgSz w:w="16838" w:h="11906" w:orient="landscape"/>
          <w:pgMar w:top="1135" w:right="1701" w:bottom="567" w:left="1134" w:header="567" w:footer="567" w:gutter="0"/>
          <w:cols w:space="1296"/>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
        <w:gridCol w:w="1449"/>
        <w:gridCol w:w="4412"/>
        <w:gridCol w:w="8103"/>
      </w:tblGrid>
      <w:tr w:rsidR="00E72911" w:rsidRPr="000E251D" w14:paraId="35C76FFF" w14:textId="058D6DE0" w:rsidTr="00EB321B">
        <w:trPr>
          <w:trHeight w:val="754"/>
          <w:tblHeader/>
        </w:trPr>
        <w:tc>
          <w:tcPr>
            <w:tcW w:w="452"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655C131C" w14:textId="4C6371A1" w:rsidR="00E72911" w:rsidRPr="00F64DD8" w:rsidRDefault="00E72911" w:rsidP="00F64DD8">
            <w:pPr>
              <w:tabs>
                <w:tab w:val="left" w:pos="7560"/>
              </w:tabs>
              <w:spacing w:line="240" w:lineRule="auto"/>
              <w:jc w:val="center"/>
              <w:rPr>
                <w:rFonts w:ascii="Times New Roman" w:hAnsi="Times New Roman" w:cs="Times New Roman"/>
                <w:b/>
                <w:sz w:val="24"/>
                <w:szCs w:val="24"/>
              </w:rPr>
            </w:pPr>
            <w:r w:rsidRPr="00F64DD8">
              <w:rPr>
                <w:rFonts w:ascii="Times New Roman" w:hAnsi="Times New Roman" w:cs="Times New Roman"/>
                <w:b/>
                <w:sz w:val="24"/>
                <w:szCs w:val="24"/>
              </w:rPr>
              <w:lastRenderedPageBreak/>
              <w:t>Pastabos numeris</w:t>
            </w:r>
          </w:p>
        </w:tc>
        <w:tc>
          <w:tcPr>
            <w:tcW w:w="472" w:type="pct"/>
            <w:tcBorders>
              <w:top w:val="single" w:sz="4" w:space="0" w:color="auto"/>
              <w:left w:val="single" w:sz="4" w:space="0" w:color="auto"/>
              <w:bottom w:val="single" w:sz="4" w:space="0" w:color="auto"/>
              <w:right w:val="single" w:sz="4" w:space="0" w:color="auto"/>
            </w:tcBorders>
            <w:shd w:val="clear" w:color="auto" w:fill="EEECE1"/>
            <w:vAlign w:val="center"/>
          </w:tcPr>
          <w:p w14:paraId="4F8F1693" w14:textId="32D4028F" w:rsidR="00E72911" w:rsidRPr="00F64DD8" w:rsidRDefault="00FF7029" w:rsidP="00FF7029">
            <w:pPr>
              <w:tabs>
                <w:tab w:val="left" w:pos="7560"/>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Įstaiga, pateikusi</w:t>
            </w:r>
            <w:r w:rsidRPr="00F64DD8">
              <w:rPr>
                <w:rFonts w:ascii="Times New Roman" w:hAnsi="Times New Roman" w:cs="Times New Roman"/>
                <w:b/>
                <w:sz w:val="24"/>
                <w:szCs w:val="24"/>
              </w:rPr>
              <w:t xml:space="preserve"> </w:t>
            </w:r>
            <w:r>
              <w:rPr>
                <w:rFonts w:ascii="Times New Roman" w:hAnsi="Times New Roman" w:cs="Times New Roman"/>
                <w:b/>
                <w:sz w:val="24"/>
                <w:szCs w:val="24"/>
              </w:rPr>
              <w:t>p</w:t>
            </w:r>
            <w:r w:rsidR="00E72911" w:rsidRPr="00F64DD8">
              <w:rPr>
                <w:rFonts w:ascii="Times New Roman" w:hAnsi="Times New Roman" w:cs="Times New Roman"/>
                <w:b/>
                <w:sz w:val="24"/>
                <w:szCs w:val="24"/>
              </w:rPr>
              <w:t>astab</w:t>
            </w:r>
            <w:r>
              <w:rPr>
                <w:rFonts w:ascii="Times New Roman" w:hAnsi="Times New Roman" w:cs="Times New Roman"/>
                <w:b/>
                <w:sz w:val="24"/>
                <w:szCs w:val="24"/>
              </w:rPr>
              <w:t>ų</w:t>
            </w:r>
            <w:r w:rsidR="00E72911" w:rsidRPr="00F64DD8">
              <w:rPr>
                <w:rFonts w:ascii="Times New Roman" w:hAnsi="Times New Roman" w:cs="Times New Roman"/>
                <w:b/>
                <w:sz w:val="24"/>
                <w:szCs w:val="24"/>
              </w:rPr>
              <w:t xml:space="preserve"> </w:t>
            </w:r>
            <w:r>
              <w:rPr>
                <w:rFonts w:ascii="Times New Roman" w:hAnsi="Times New Roman" w:cs="Times New Roman"/>
                <w:b/>
                <w:sz w:val="24"/>
                <w:szCs w:val="24"/>
              </w:rPr>
              <w:t>ar pasiūlymų</w:t>
            </w:r>
            <w:r w:rsidR="00E72911" w:rsidRPr="00F64DD8">
              <w:rPr>
                <w:rFonts w:ascii="Times New Roman" w:hAnsi="Times New Roman" w:cs="Times New Roman"/>
                <w:b/>
                <w:sz w:val="24"/>
                <w:szCs w:val="24"/>
              </w:rPr>
              <w:t xml:space="preserve"> </w:t>
            </w:r>
          </w:p>
        </w:tc>
        <w:tc>
          <w:tcPr>
            <w:tcW w:w="1437"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5E6A7997" w14:textId="0A72F20F" w:rsidR="00E72911" w:rsidRPr="00F64DD8" w:rsidRDefault="00E72911" w:rsidP="00F64DD8">
            <w:pPr>
              <w:tabs>
                <w:tab w:val="left" w:pos="7560"/>
              </w:tabs>
              <w:spacing w:line="240" w:lineRule="auto"/>
              <w:jc w:val="center"/>
              <w:rPr>
                <w:rFonts w:ascii="Times New Roman" w:hAnsi="Times New Roman" w:cs="Times New Roman"/>
                <w:b/>
                <w:sz w:val="24"/>
                <w:szCs w:val="24"/>
              </w:rPr>
            </w:pPr>
            <w:r w:rsidRPr="00F64DD8">
              <w:rPr>
                <w:rFonts w:ascii="Times New Roman" w:hAnsi="Times New Roman" w:cs="Times New Roman"/>
                <w:b/>
                <w:sz w:val="24"/>
                <w:szCs w:val="24"/>
              </w:rPr>
              <w:t>Pastab</w:t>
            </w:r>
            <w:r w:rsidR="00FF7029">
              <w:rPr>
                <w:rFonts w:ascii="Times New Roman" w:hAnsi="Times New Roman" w:cs="Times New Roman"/>
                <w:b/>
                <w:sz w:val="24"/>
                <w:szCs w:val="24"/>
              </w:rPr>
              <w:t>os ir pasiūlymai</w:t>
            </w:r>
          </w:p>
        </w:tc>
        <w:tc>
          <w:tcPr>
            <w:tcW w:w="2639" w:type="pct"/>
            <w:tcBorders>
              <w:top w:val="single" w:sz="4" w:space="0" w:color="auto"/>
              <w:left w:val="single" w:sz="4" w:space="0" w:color="auto"/>
              <w:bottom w:val="single" w:sz="4" w:space="0" w:color="auto"/>
              <w:right w:val="single" w:sz="4" w:space="0" w:color="auto"/>
            </w:tcBorders>
            <w:shd w:val="clear" w:color="auto" w:fill="EEECE1"/>
            <w:vAlign w:val="center"/>
          </w:tcPr>
          <w:p w14:paraId="1DBCEA5E" w14:textId="76BCCF36" w:rsidR="00E72911" w:rsidRPr="00F64DD8" w:rsidRDefault="00FF7029" w:rsidP="00F64DD8">
            <w:pPr>
              <w:tabs>
                <w:tab w:val="left" w:pos="7560"/>
              </w:tabs>
              <w:spacing w:line="240" w:lineRule="auto"/>
              <w:jc w:val="center"/>
              <w:rPr>
                <w:rFonts w:ascii="Times New Roman" w:hAnsi="Times New Roman" w:cs="Times New Roman"/>
                <w:b/>
                <w:sz w:val="24"/>
                <w:szCs w:val="24"/>
              </w:rPr>
            </w:pPr>
            <w:r w:rsidRPr="00FF7029">
              <w:rPr>
                <w:rFonts w:ascii="Times New Roman" w:hAnsi="Times New Roman" w:cs="Times New Roman"/>
                <w:b/>
                <w:sz w:val="24"/>
                <w:szCs w:val="24"/>
              </w:rPr>
              <w:t>Argumentai dėl pastabų ir pasiūlymų, į kuriuos neatsižvelgta arba iš dalies atsižvelgta</w:t>
            </w:r>
          </w:p>
        </w:tc>
      </w:tr>
      <w:tr w:rsidR="00E72911" w:rsidRPr="00126601" w14:paraId="02125AFD" w14:textId="77777777" w:rsidTr="00EB321B">
        <w:tc>
          <w:tcPr>
            <w:tcW w:w="452" w:type="pct"/>
            <w:tcBorders>
              <w:top w:val="single" w:sz="4" w:space="0" w:color="auto"/>
              <w:left w:val="single" w:sz="4" w:space="0" w:color="auto"/>
              <w:bottom w:val="single" w:sz="4" w:space="0" w:color="auto"/>
              <w:right w:val="single" w:sz="4" w:space="0" w:color="auto"/>
            </w:tcBorders>
            <w:shd w:val="clear" w:color="auto" w:fill="auto"/>
          </w:tcPr>
          <w:p w14:paraId="6135601E" w14:textId="77777777" w:rsidR="00E72911" w:rsidRPr="00447D9E" w:rsidRDefault="00E72911" w:rsidP="00F64DD8">
            <w:pPr>
              <w:pStyle w:val="Sraopastraipa"/>
              <w:numPr>
                <w:ilvl w:val="0"/>
                <w:numId w:val="1"/>
              </w:numPr>
              <w:spacing w:line="240" w:lineRule="auto"/>
              <w:jc w:val="both"/>
              <w:rPr>
                <w:rFonts w:ascii="Times New Roman" w:hAnsi="Times New Roman" w:cs="Times New Roman"/>
                <w:b/>
                <w:sz w:val="24"/>
                <w:szCs w:val="24"/>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57B53D9B" w14:textId="5A7B9D5D" w:rsidR="00E72911" w:rsidRPr="00447D9E" w:rsidRDefault="00E72911" w:rsidP="00F64DD8">
            <w:pPr>
              <w:spacing w:line="240" w:lineRule="auto"/>
              <w:jc w:val="both"/>
              <w:rPr>
                <w:rFonts w:ascii="Times New Roman" w:hAnsi="Times New Roman" w:cs="Times New Roman"/>
                <w:sz w:val="24"/>
                <w:szCs w:val="24"/>
              </w:rPr>
            </w:pPr>
            <w:r w:rsidRPr="00447D9E">
              <w:rPr>
                <w:rFonts w:ascii="Times New Roman" w:hAnsi="Times New Roman" w:cs="Times New Roman"/>
                <w:sz w:val="24"/>
                <w:szCs w:val="24"/>
              </w:rPr>
              <w:t>Lietuvos Respublikos teisingumo ministerija (toliau – TM)</w:t>
            </w:r>
          </w:p>
        </w:tc>
        <w:tc>
          <w:tcPr>
            <w:tcW w:w="1437" w:type="pct"/>
            <w:tcBorders>
              <w:top w:val="single" w:sz="4" w:space="0" w:color="auto"/>
              <w:left w:val="single" w:sz="4" w:space="0" w:color="auto"/>
              <w:bottom w:val="single" w:sz="4" w:space="0" w:color="auto"/>
              <w:right w:val="single" w:sz="4" w:space="0" w:color="auto"/>
            </w:tcBorders>
            <w:shd w:val="clear" w:color="auto" w:fill="auto"/>
          </w:tcPr>
          <w:p w14:paraId="03E5852A" w14:textId="278B640E" w:rsidR="00E72911" w:rsidRPr="00447D9E" w:rsidRDefault="00E72911" w:rsidP="00B61BB3">
            <w:pPr>
              <w:spacing w:after="0" w:line="240" w:lineRule="auto"/>
              <w:jc w:val="both"/>
              <w:rPr>
                <w:rFonts w:ascii="Times New Roman" w:hAnsi="Times New Roman" w:cs="Times New Roman"/>
                <w:sz w:val="24"/>
                <w:szCs w:val="24"/>
              </w:rPr>
            </w:pPr>
            <w:r w:rsidRPr="00447D9E">
              <w:rPr>
                <w:rFonts w:ascii="Times New Roman" w:hAnsi="Times New Roman" w:cs="Times New Roman"/>
                <w:sz w:val="24"/>
                <w:szCs w:val="24"/>
              </w:rPr>
              <w:t>Lietuvos Respublikos Vyriausybės nutarimo „Dėl Lietuvos Respublikos Vyriausybės 2020 m. lapkričio 25 d. nutarimo Nr. 1322 “Dėl pasirengimo administruoti Europos Sąjungos fondų lėšas</w:t>
            </w:r>
            <w:proofErr w:type="gramStart"/>
            <w:r>
              <w:rPr>
                <w:rFonts w:ascii="Times New Roman" w:hAnsi="Times New Roman" w:cs="Times New Roman"/>
                <w:sz w:val="24"/>
                <w:szCs w:val="24"/>
              </w:rPr>
              <w:t>“ pakeitimo“</w:t>
            </w:r>
            <w:proofErr w:type="gramEnd"/>
            <w:r>
              <w:rPr>
                <w:rFonts w:ascii="Times New Roman" w:hAnsi="Times New Roman" w:cs="Times New Roman"/>
                <w:sz w:val="24"/>
                <w:szCs w:val="24"/>
              </w:rPr>
              <w:t xml:space="preserve"> projektu (toliau </w:t>
            </w:r>
            <w:r w:rsidRPr="00447D9E">
              <w:rPr>
                <w:rFonts w:ascii="Times New Roman" w:hAnsi="Times New Roman" w:cs="Times New Roman"/>
                <w:sz w:val="24"/>
                <w:szCs w:val="24"/>
              </w:rPr>
              <w:t>–</w:t>
            </w:r>
            <w:r>
              <w:rPr>
                <w:rFonts w:ascii="Times New Roman" w:hAnsi="Times New Roman" w:cs="Times New Roman"/>
                <w:sz w:val="24"/>
                <w:szCs w:val="24"/>
              </w:rPr>
              <w:t xml:space="preserve"> </w:t>
            </w:r>
            <w:r w:rsidRPr="00447D9E">
              <w:rPr>
                <w:rFonts w:ascii="Times New Roman" w:hAnsi="Times New Roman" w:cs="Times New Roman"/>
                <w:sz w:val="24"/>
                <w:szCs w:val="24"/>
              </w:rPr>
              <w:t>Nutarimo projekt</w:t>
            </w:r>
            <w:r>
              <w:rPr>
                <w:rFonts w:ascii="Times New Roman" w:hAnsi="Times New Roman" w:cs="Times New Roman"/>
                <w:sz w:val="24"/>
                <w:szCs w:val="24"/>
              </w:rPr>
              <w:t>as)</w:t>
            </w:r>
            <w:r w:rsidRPr="00447D9E">
              <w:rPr>
                <w:rFonts w:ascii="Times New Roman" w:hAnsi="Times New Roman" w:cs="Times New Roman"/>
                <w:sz w:val="24"/>
                <w:szCs w:val="24"/>
              </w:rPr>
              <w:t xml:space="preserve"> viešoji įstaiga Centrinė projektų valdymo agentūra (toliau – </w:t>
            </w:r>
            <w:r w:rsidRPr="00447D9E">
              <w:rPr>
                <w:rFonts w:ascii="Times New Roman" w:eastAsia="Calibri" w:hAnsi="Times New Roman" w:cs="Times New Roman"/>
                <w:sz w:val="24"/>
                <w:szCs w:val="24"/>
                <w:lang w:eastAsia="lt-LT"/>
              </w:rPr>
              <w:t xml:space="preserve">CPVA) būtų paskiriama </w:t>
            </w:r>
            <w:r w:rsidRPr="00447D9E">
              <w:rPr>
                <w:rFonts w:ascii="Times New Roman" w:hAnsi="Times New Roman" w:cs="Times New Roman"/>
                <w:sz w:val="24"/>
                <w:szCs w:val="24"/>
              </w:rPr>
              <w:t>Ekonomikos gaivinimo ir atsparumo didinimo plano „Naujos kartos Lietuva“ (toliau – Planas)</w:t>
            </w:r>
            <w:r w:rsidRPr="00447D9E">
              <w:rPr>
                <w:rFonts w:ascii="Times New Roman" w:eastAsia="Calibri" w:hAnsi="Times New Roman" w:cs="Times New Roman"/>
                <w:sz w:val="24"/>
                <w:szCs w:val="24"/>
                <w:lang w:eastAsia="lt-LT"/>
              </w:rPr>
              <w:t xml:space="preserve"> administruojančiąja institucija. </w:t>
            </w:r>
            <w:r w:rsidRPr="00447D9E">
              <w:rPr>
                <w:rFonts w:ascii="Times New Roman" w:hAnsi="Times New Roman" w:cs="Times New Roman"/>
                <w:sz w:val="24"/>
                <w:szCs w:val="24"/>
              </w:rPr>
              <w:t xml:space="preserve">Vadovaujančiosios, administruojančiosios ir audito institucijų funkcijų, įgyvendinant Ekonomikos gaivinimo ir atsparumo didinimo planą „Naujos kartos Lietuva“, paskirstymo taisyklių projektu (toliau - </w:t>
            </w:r>
            <w:r w:rsidRPr="00447D9E">
              <w:rPr>
                <w:rFonts w:ascii="Times New Roman" w:eastAsia="Calibri" w:hAnsi="Times New Roman" w:cs="Times New Roman"/>
                <w:sz w:val="24"/>
                <w:szCs w:val="24"/>
                <w:lang w:eastAsia="lt-LT"/>
              </w:rPr>
              <w:t>Taisyklių projektas) siūloma CPVA pavesti atlikti tam tikras funkcijas, kurios gali būti siejamos su Lietuvos Respublikos viešojo administravimo įstatymo (toliau – VAĮ) 6 str. 2 ir 4 p. nurodytomis viešojo administravimo sritimis</w:t>
            </w:r>
            <w:r w:rsidR="00B61BB3">
              <w:rPr>
                <w:rFonts w:ascii="Times New Roman" w:eastAsia="Calibri" w:hAnsi="Times New Roman" w:cs="Times New Roman"/>
                <w:sz w:val="24"/>
                <w:szCs w:val="24"/>
                <w:lang w:eastAsia="lt-LT"/>
              </w:rPr>
              <w:t>.</w:t>
            </w:r>
            <w:r w:rsidRPr="00447D9E">
              <w:rPr>
                <w:rFonts w:ascii="Times New Roman" w:eastAsia="Calibri" w:hAnsi="Times New Roman" w:cs="Times New Roman"/>
                <w:sz w:val="24"/>
                <w:szCs w:val="24"/>
                <w:lang w:eastAsia="lt-LT"/>
              </w:rPr>
              <w:t xml:space="preserve"> Atkreiptinas dėmesys, kad pagal VAĮ 5 str. 2 d. 2 p. nuostatas viešosioms įstaigoms, kurių savininkė ar dalininkė yra valstybė ar </w:t>
            </w:r>
            <w:r w:rsidRPr="00447D9E">
              <w:rPr>
                <w:rFonts w:ascii="Times New Roman" w:eastAsia="Calibri" w:hAnsi="Times New Roman" w:cs="Times New Roman"/>
                <w:sz w:val="24"/>
                <w:szCs w:val="24"/>
                <w:lang w:eastAsia="lt-LT"/>
              </w:rPr>
              <w:lastRenderedPageBreak/>
              <w:t xml:space="preserve">savivaldybė &lt;...&gt; gali būti suteikiami įgaliojimai atlikti funkcijas tik VAĮ 6 str. 2 p., 3 p. ir 4 p. nustatytose viešojo administravimo srityse, kai tokie įgaliojimai yra tiesiogiai susiję su viešosios įstaigos ar asociacijos veiklos tikslais </w:t>
            </w:r>
            <w:r w:rsidRPr="00447D9E">
              <w:rPr>
                <w:rFonts w:ascii="Times New Roman" w:eastAsia="Calibri" w:hAnsi="Times New Roman" w:cs="Times New Roman"/>
                <w:i/>
                <w:iCs/>
                <w:sz w:val="24"/>
                <w:szCs w:val="24"/>
                <w:lang w:eastAsia="lt-LT"/>
              </w:rPr>
              <w:t>ir kai nėra valstybės ar savivaldybių institucijų ar įstaigų, kurioms šie įgaliojimai gali būti suteikti</w:t>
            </w:r>
            <w:r w:rsidRPr="00447D9E">
              <w:rPr>
                <w:rFonts w:ascii="Times New Roman" w:eastAsia="Calibri" w:hAnsi="Times New Roman" w:cs="Times New Roman"/>
                <w:iCs/>
                <w:sz w:val="24"/>
                <w:szCs w:val="24"/>
                <w:lang w:eastAsia="lt-LT"/>
              </w:rPr>
              <w:t xml:space="preserve">. Be to, vadovaujantis VAĮ 5 str. 1 d. 2 p. nuostatomis, viešosioms įstaigoms, kurių savininkė ar dalininkė yra valstybė ar savivaldybė viešojo administravimo įgaliojimai gali būti suteikti </w:t>
            </w:r>
            <w:r w:rsidRPr="00447D9E">
              <w:rPr>
                <w:rFonts w:ascii="Times New Roman" w:eastAsia="Calibri" w:hAnsi="Times New Roman" w:cs="Times New Roman"/>
                <w:i/>
                <w:iCs/>
                <w:sz w:val="24"/>
                <w:szCs w:val="24"/>
                <w:lang w:eastAsia="lt-LT"/>
              </w:rPr>
              <w:t>tik įstatymais, tiesiogiai taikomu Europos Sąjungos teisės aktu, ratifikuota Lietuvos Respublikos tarptautine sutartimi, kai tame teisės akte nurodomas konkretus veikiantis ar numatomas steigti viešojo administravimo subjektas</w:t>
            </w:r>
            <w:r w:rsidRPr="00447D9E">
              <w:rPr>
                <w:rFonts w:ascii="Times New Roman" w:eastAsia="Calibri" w:hAnsi="Times New Roman" w:cs="Times New Roman"/>
                <w:iCs/>
                <w:sz w:val="24"/>
                <w:szCs w:val="24"/>
                <w:lang w:eastAsia="lt-LT"/>
              </w:rPr>
              <w:t xml:space="preserve"> (jo pavadinimas, paskirtis, teisinė forma, santykiai su kitais viešojo administravimo subjektais) ir nustatomas baigtinis konkrečių tokiam subjektui suteikiamų viešojo administravimo įgaliojimų sąrašas. Pažymėtina, kad pagal 2020 m. gegužės 28 d. Viešojo administravimo įstatymo Nr. VIII-1234 pakeitimo įstatymo Nr. XIII-2987 2 str. 10 d. Vyriausybė, ministerijos ar savivaldybės institucijos peržiūri &lt;...&gt; </w:t>
            </w:r>
            <w:r w:rsidRPr="00447D9E">
              <w:rPr>
                <w:rFonts w:ascii="Times New Roman" w:eastAsia="Calibri" w:hAnsi="Times New Roman" w:cs="Times New Roman"/>
                <w:i/>
                <w:iCs/>
                <w:sz w:val="24"/>
                <w:szCs w:val="24"/>
                <w:lang w:eastAsia="lt-LT"/>
              </w:rPr>
              <w:t>viešosioms įstaigoms &lt;...&gt;</w:t>
            </w:r>
            <w:r w:rsidRPr="00447D9E">
              <w:rPr>
                <w:rFonts w:ascii="Times New Roman" w:eastAsia="Calibri" w:hAnsi="Times New Roman" w:cs="Times New Roman"/>
                <w:iCs/>
                <w:sz w:val="24"/>
                <w:szCs w:val="24"/>
                <w:lang w:eastAsia="lt-LT"/>
              </w:rPr>
              <w:t xml:space="preserve"> iki šio įstatymo įsigaliojimo suteiktus viešojo administravimo įgaliojimus ir iki 2025 m. sausio 1 d. parengia reikiamų teisės aktų </w:t>
            </w:r>
            <w:r w:rsidRPr="00447D9E">
              <w:rPr>
                <w:rFonts w:ascii="Times New Roman" w:eastAsia="Calibri" w:hAnsi="Times New Roman" w:cs="Times New Roman"/>
                <w:iCs/>
                <w:sz w:val="24"/>
                <w:szCs w:val="24"/>
                <w:lang w:eastAsia="lt-LT"/>
              </w:rPr>
              <w:lastRenderedPageBreak/>
              <w:t xml:space="preserve">pakeitimus, kuriais iki šio įstatymo įsigaliojimo vykdyti viešojo administravimo įgaliojimai būtų </w:t>
            </w:r>
            <w:r w:rsidRPr="00447D9E">
              <w:rPr>
                <w:rFonts w:ascii="Times New Roman" w:eastAsia="Calibri" w:hAnsi="Times New Roman" w:cs="Times New Roman"/>
                <w:i/>
                <w:iCs/>
                <w:sz w:val="24"/>
                <w:szCs w:val="24"/>
                <w:lang w:eastAsia="lt-LT"/>
              </w:rPr>
              <w:t>perduoti laikantis šiame įstatyme nustatytos tvarkos ir reikalavimų</w:t>
            </w:r>
            <w:r w:rsidRPr="00447D9E">
              <w:rPr>
                <w:rFonts w:ascii="Times New Roman" w:eastAsia="Calibri" w:hAnsi="Times New Roman" w:cs="Times New Roman"/>
                <w:sz w:val="24"/>
                <w:szCs w:val="24"/>
                <w:lang w:eastAsia="lt-LT"/>
              </w:rPr>
              <w:t>, o i</w:t>
            </w:r>
            <w:r w:rsidRPr="00447D9E">
              <w:rPr>
                <w:rFonts w:ascii="Times New Roman" w:eastAsia="Calibri" w:hAnsi="Times New Roman" w:cs="Times New Roman"/>
                <w:iCs/>
                <w:sz w:val="24"/>
                <w:szCs w:val="24"/>
                <w:lang w:eastAsia="lt-LT"/>
              </w:rPr>
              <w:t>ki įsigalios viešojo administravimo įgaliojimų perdavimą reglamentuojančių teisės aktų pakeitimai, viešojo administravimo įgaliojimai vykdomi vadovaujantis iki šio įstatymo įsigaliojimo nustatyta tvarka. Kartu pastebėtina, kad pagal VAĮ 1 str. 2 d. nuostatas VAĮ antrojo ir trečiojo skyrių nuostatos viešojo administravimo subjektams, atliekantiems funkcijas pagal kituose įstatymuose, Europos Sąjungos (toliau – ES) teisės aktuose ar Lietuvos Respublikos tarptautinėse sutartyse nustatytą tvarką, taikomos tiek, kiek jų veiklos priimant administracinius sprendimus, teikiant administracines paslaugas, priimant ir nagrinėjat prašymus ar skundus nenustato kiti tokią veiklą reglamentuojantys įstatymai, ES teisės aktai ar Lietuvos Respublikos tarptautinės sutartys. Atsižvelgiant į tai, kas išdėstyta, siūlytina lydimojoje medžiagoje pagrįsti Taisyklių projekto 6.2 p.-6.4 p. įtvirtinimo priežastis ir jų atitiktį minėtoms VAĮ nuostatoms.</w:t>
            </w:r>
          </w:p>
        </w:tc>
        <w:tc>
          <w:tcPr>
            <w:tcW w:w="2639" w:type="pct"/>
            <w:tcBorders>
              <w:top w:val="single" w:sz="4" w:space="0" w:color="auto"/>
              <w:left w:val="single" w:sz="4" w:space="0" w:color="auto"/>
              <w:bottom w:val="single" w:sz="4" w:space="0" w:color="auto"/>
              <w:right w:val="single" w:sz="4" w:space="0" w:color="auto"/>
            </w:tcBorders>
            <w:shd w:val="clear" w:color="auto" w:fill="auto"/>
          </w:tcPr>
          <w:p w14:paraId="753D5B6E" w14:textId="202E0574" w:rsidR="00E72911" w:rsidRPr="00447D9E" w:rsidRDefault="00E72911" w:rsidP="00161D39">
            <w:pPr>
              <w:autoSpaceDE w:val="0"/>
              <w:autoSpaceDN w:val="0"/>
              <w:adjustRightInd w:val="0"/>
              <w:spacing w:after="0" w:line="240" w:lineRule="auto"/>
              <w:jc w:val="both"/>
              <w:rPr>
                <w:rFonts w:ascii="Times New Roman" w:hAnsi="Times New Roman" w:cs="Times New Roman"/>
                <w:sz w:val="24"/>
                <w:szCs w:val="24"/>
              </w:rPr>
            </w:pPr>
            <w:r w:rsidRPr="00447D9E">
              <w:rPr>
                <w:rFonts w:ascii="Times New Roman" w:hAnsi="Times New Roman" w:cs="Times New Roman"/>
                <w:b/>
                <w:sz w:val="24"/>
                <w:szCs w:val="24"/>
              </w:rPr>
              <w:lastRenderedPageBreak/>
              <w:t>Paaiškinimas.</w:t>
            </w:r>
            <w:r w:rsidRPr="00447D9E">
              <w:rPr>
                <w:rFonts w:ascii="Times New Roman" w:hAnsi="Times New Roman" w:cs="Times New Roman"/>
                <w:sz w:val="24"/>
                <w:szCs w:val="24"/>
              </w:rPr>
              <w:t xml:space="preserve"> Strateginio valdymo įstatymo (toliau – SVĮ) 3 str. 17 d. 8 p. nustatyta, kad „</w:t>
            </w:r>
            <w:r w:rsidRPr="00447D9E">
              <w:rPr>
                <w:rFonts w:ascii="Times New Roman" w:hAnsi="Times New Roman" w:cs="Times New Roman"/>
                <w:i/>
                <w:sz w:val="24"/>
                <w:szCs w:val="24"/>
              </w:rPr>
              <w:t xml:space="preserve">biudžetinės įstaigos, nacionalinės plėtros įstaigos ir viešosios įstaigos, atsakingos už metodologinę pagalbą rengiant nacionalines plėtros programas, jas įgyvendinančias pažangos priemones ir projektus, projektų administravimą ir vystymą </w:t>
            </w:r>
            <w:proofErr w:type="gramStart"/>
            <w:r w:rsidRPr="00447D9E">
              <w:rPr>
                <w:rFonts w:ascii="Times New Roman" w:hAnsi="Times New Roman" w:cs="Times New Roman"/>
                <w:i/>
                <w:sz w:val="24"/>
                <w:szCs w:val="24"/>
              </w:rPr>
              <w:t>(</w:t>
            </w:r>
            <w:proofErr w:type="gramEnd"/>
            <w:r w:rsidRPr="00447D9E">
              <w:rPr>
                <w:rFonts w:ascii="Times New Roman" w:hAnsi="Times New Roman" w:cs="Times New Roman"/>
                <w:i/>
                <w:sz w:val="24"/>
                <w:szCs w:val="24"/>
              </w:rPr>
              <w:t>toliau – už projektų administravimą atsakingos įstaigos). Už šiame punkte nurodytų funkcijų atlikimą atsakingų viešųjų įstaigų sąrašą tvirtina Vyriausybė</w:t>
            </w:r>
            <w:r w:rsidRPr="00447D9E">
              <w:rPr>
                <w:rFonts w:ascii="Times New Roman" w:hAnsi="Times New Roman" w:cs="Times New Roman"/>
                <w:sz w:val="24"/>
                <w:szCs w:val="24"/>
              </w:rPr>
              <w:t xml:space="preserve">“. Atitinkamai, šiuo metu galiojančioje SVĮ redakcijoje projektų administravimo funkcijas vykdančias viešąsias įstaigas paskirti yra pavesta Lietuvos Respublikos Vyriausybei (toliau – Vyriausybė). Vadovaujantis VAĮ 5 straipsnio 1 dalies 2 punktu, </w:t>
            </w:r>
            <w:r w:rsidRPr="00447D9E">
              <w:rPr>
                <w:rFonts w:ascii="Times New Roman" w:hAnsi="Times New Roman" w:cs="Times New Roman"/>
                <w:i/>
                <w:iCs/>
                <w:sz w:val="24"/>
                <w:szCs w:val="24"/>
              </w:rPr>
              <w:t xml:space="preserve">viešosioms įstaigoms &lt;...&gt; administravimo įgaliojimai gali būti suteikti tik įstatymais &lt;...&gt;, kai tame teisės akte nurodomas konkretus veikiantis ar numatomas steigti viešojo administravimo subjektas (jo pavadinimas, paskirtis, teisinė forma, santykiai su kitais viešojo administravimo subjektais) ir nustatomas baigtinis konkrečių tokiam subjektui suteikiamų viešojo administravimo įgaliojimų sąrašas. </w:t>
            </w:r>
            <w:r w:rsidRPr="00447D9E">
              <w:rPr>
                <w:rFonts w:ascii="Times New Roman" w:hAnsi="Times New Roman" w:cs="Times New Roman"/>
                <w:sz w:val="24"/>
                <w:szCs w:val="24"/>
              </w:rPr>
              <w:t>SVĮ 3 str. 17 d. 8 p. nustatyta strateginio valdymo sistemos dalyvių forma (įskaitant viešąsias įstaigas), šių subjektų paskirtis strateginio valdymo kontekste, pateiktas baigtinis strateginio valdymo dalyvių funkcijų (įskaitant administravimo funkciją) sąrašas. Taip pat SVĮ 17 str. 5 p. nustatyti santykiai su kitais viešojo administravimo subjektais. SVĮ 3 str. 17 d. 8 p. Vyriausybė įpareigojama patvirtinti konkrečių viešųjų įstaigų, kurios atliktų SVĮ nustatytas funkcijas, sąrašą. Atsižvelgdami į tai, kas išdėstyta, manome, kad SVĮ pateikta VAĮ nurodyta privaloma informacija.</w:t>
            </w:r>
          </w:p>
          <w:p w14:paraId="3409BF86" w14:textId="77777777" w:rsidR="00E72911" w:rsidRPr="00447D9E" w:rsidRDefault="00E72911" w:rsidP="00161D39">
            <w:pPr>
              <w:spacing w:after="0" w:line="240" w:lineRule="auto"/>
              <w:jc w:val="both"/>
              <w:rPr>
                <w:rFonts w:ascii="Times New Roman" w:hAnsi="Times New Roman" w:cs="Times New Roman"/>
                <w:sz w:val="24"/>
                <w:szCs w:val="24"/>
              </w:rPr>
            </w:pPr>
          </w:p>
          <w:p w14:paraId="17325C79" w14:textId="382FEA68" w:rsidR="00E72911" w:rsidRPr="00447D9E" w:rsidRDefault="00E72911" w:rsidP="004209D2">
            <w:pPr>
              <w:spacing w:after="0" w:line="240" w:lineRule="auto"/>
              <w:jc w:val="both"/>
              <w:rPr>
                <w:rFonts w:ascii="Times New Roman" w:hAnsi="Times New Roman" w:cs="Times New Roman"/>
                <w:b/>
                <w:sz w:val="24"/>
                <w:szCs w:val="24"/>
                <w:highlight w:val="green"/>
              </w:rPr>
            </w:pPr>
            <w:r w:rsidRPr="00447D9E">
              <w:rPr>
                <w:rFonts w:ascii="Times New Roman" w:hAnsi="Times New Roman" w:cs="Times New Roman"/>
                <w:sz w:val="24"/>
                <w:szCs w:val="24"/>
              </w:rPr>
              <w:t xml:space="preserve">Siekiant, kad Lietuva gautu ES lėšas būtinoms reformoms įgyvendinti, yra būtina parengti ir su Europos Komisija suderinti Planą, kurio viena iš sudedamųjų dalių yra Plano administravimui skirtos valdymo ir kontrolės sistemos (toliau – VKS) </w:t>
            </w:r>
            <w:r w:rsidRPr="00447D9E">
              <w:rPr>
                <w:rFonts w:ascii="Times New Roman" w:hAnsi="Times New Roman" w:cs="Times New Roman"/>
                <w:sz w:val="24"/>
                <w:szCs w:val="24"/>
              </w:rPr>
              <w:lastRenderedPageBreak/>
              <w:t>aprašymas. Europos Komisija ne kartą ragino šalis nares ES lėšoms, skiriamoms pagal Ekonomikos gaivinimo ir atsparumo didinimo priemonę, administruoti nekurti skirtingų VKS ir naudoti VKS skirtas ES struktūrinių fondų lėšų administravimui. Atsižvelgiant į tai, Plano administravimui skirta VKS kuriama 20</w:t>
            </w:r>
            <w:r w:rsidRPr="00447D9E">
              <w:rPr>
                <w:rFonts w:ascii="Times New Roman" w:hAnsi="Times New Roman" w:cs="Times New Roman"/>
                <w:sz w:val="24"/>
                <w:szCs w:val="24"/>
                <w:shd w:val="clear" w:color="auto" w:fill="FFFFFF"/>
              </w:rPr>
              <w:t>21</w:t>
            </w:r>
            <w:r w:rsidRPr="00447D9E">
              <w:rPr>
                <w:rFonts w:ascii="Times New Roman" w:hAnsi="Times New Roman" w:cs="Times New Roman"/>
                <w:sz w:val="24"/>
                <w:szCs w:val="24"/>
              </w:rPr>
              <w:t xml:space="preserve">–2027 metų Europos Sąjungos fondų investicijų programos (toliau – Investicijų programa) VKS pagrindu, kurioje tarpinės institucijos funkcijas (atitinka administruojančiosios institucijos funkcijas) atlikti Vyriausybės nutarimu pavesta CPVA. Atkreipiame dėmesį, kad, siekiant užtikrinti sėkmingą Plano administravimą, yra labai svarbu užtikrinti, kad Plano administravimą vykdytų reikiamą kompetenciją ir patirtį turintys subjektai, tą patvirtina ir Europos Komisijos pateiktas šalies narės įsivertinimo dėl aprašytos VKS tinkamumo klausimynas </w:t>
            </w:r>
            <w:proofErr w:type="gramStart"/>
            <w:r w:rsidRPr="00447D9E">
              <w:rPr>
                <w:rFonts w:ascii="Times New Roman" w:hAnsi="Times New Roman" w:cs="Times New Roman"/>
                <w:sz w:val="24"/>
                <w:szCs w:val="24"/>
              </w:rPr>
              <w:t>(</w:t>
            </w:r>
            <w:proofErr w:type="gramEnd"/>
            <w:r w:rsidRPr="00447D9E">
              <w:rPr>
                <w:rFonts w:ascii="Times New Roman" w:hAnsi="Times New Roman" w:cs="Times New Roman"/>
                <w:sz w:val="24"/>
                <w:szCs w:val="24"/>
              </w:rPr>
              <w:t xml:space="preserve">angl. </w:t>
            </w:r>
            <w:r w:rsidRPr="00447D9E">
              <w:rPr>
                <w:rFonts w:ascii="Times New Roman" w:hAnsi="Times New Roman" w:cs="Times New Roman"/>
                <w:sz w:val="24"/>
                <w:szCs w:val="24"/>
                <w:lang w:val="en-GB"/>
              </w:rPr>
              <w:t>Annex – Self-</w:t>
            </w:r>
            <w:proofErr w:type="spellStart"/>
            <w:r w:rsidRPr="00447D9E">
              <w:rPr>
                <w:rFonts w:ascii="Times New Roman" w:hAnsi="Times New Roman" w:cs="Times New Roman"/>
                <w:sz w:val="24"/>
                <w:szCs w:val="24"/>
                <w:lang w:val="en-GB"/>
              </w:rPr>
              <w:t>assesment</w:t>
            </w:r>
            <w:proofErr w:type="spellEnd"/>
            <w:r w:rsidRPr="00447D9E">
              <w:rPr>
                <w:rFonts w:ascii="Times New Roman" w:hAnsi="Times New Roman" w:cs="Times New Roman"/>
                <w:sz w:val="24"/>
                <w:szCs w:val="24"/>
                <w:lang w:val="en-GB"/>
              </w:rPr>
              <w:t xml:space="preserve"> checklist for monitoring and control system</w:t>
            </w:r>
            <w:r w:rsidRPr="00447D9E">
              <w:rPr>
                <w:rFonts w:ascii="Times New Roman" w:hAnsi="Times New Roman" w:cs="Times New Roman"/>
                <w:sz w:val="24"/>
                <w:szCs w:val="24"/>
              </w:rPr>
              <w:t>), kuriame siekiant įvertinti, ar šalis narė galės tinkamai įgyvendinti priskirtas Plano administravimo funkcijas turėtų būti pateikta informacija pagrindžianti atitinkamos institucijos administracinius gebėjimus (žmogiškųjų išteklių vykdysiančių atitinkamas funkcijas skaičius, pareigybių profilis, institucijos patirtis ir sukauptos žinios). Atsižvelgiant į tai, Lietuva rengdama Planą ir siekdama, kad ši Plano dalis būtų teigiamai įvertinta Europos Komisijos, teikė informaciją, kad siūlomos institucijos Finansų ministerija, kaip vadovaujančioji institucija, ir CPVA, kaip administruojančioji institucija, yra sukaupusios ilgametę ES ir kitų tarptautinių programų administravimo patirtį ir jau šiuo metu administruoja didelę dalį ES lėšų. Kitaip tariant, tiek Finansų ministerija, tiek CPVA jau vykdo analogiškas funkcijas administruojant kitas ES ir kitas tarptautines programas.</w:t>
            </w:r>
          </w:p>
        </w:tc>
      </w:tr>
      <w:tr w:rsidR="00E72911" w:rsidRPr="00126601" w14:paraId="13598116" w14:textId="77777777" w:rsidTr="00EB321B">
        <w:tc>
          <w:tcPr>
            <w:tcW w:w="452" w:type="pct"/>
            <w:tcBorders>
              <w:top w:val="single" w:sz="4" w:space="0" w:color="auto"/>
              <w:left w:val="single" w:sz="4" w:space="0" w:color="auto"/>
              <w:bottom w:val="single" w:sz="4" w:space="0" w:color="auto"/>
              <w:right w:val="single" w:sz="4" w:space="0" w:color="auto"/>
            </w:tcBorders>
            <w:shd w:val="clear" w:color="auto" w:fill="auto"/>
          </w:tcPr>
          <w:p w14:paraId="4CBD274C" w14:textId="77777777" w:rsidR="00E72911" w:rsidRPr="00447D9E" w:rsidRDefault="00E72911" w:rsidP="005F26E3">
            <w:pPr>
              <w:pStyle w:val="Sraopastraipa"/>
              <w:numPr>
                <w:ilvl w:val="0"/>
                <w:numId w:val="1"/>
              </w:numPr>
              <w:spacing w:after="0" w:line="240" w:lineRule="auto"/>
              <w:jc w:val="both"/>
              <w:rPr>
                <w:rFonts w:ascii="Times New Roman" w:hAnsi="Times New Roman" w:cs="Times New Roman"/>
                <w:b/>
                <w:sz w:val="24"/>
                <w:szCs w:val="24"/>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0F99799C" w14:textId="17D2F368" w:rsidR="00E72911" w:rsidRPr="00447D9E" w:rsidRDefault="00015D83" w:rsidP="005F26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Lietuvos Respublikos ekonomikos ir inovacijų </w:t>
            </w:r>
            <w:r>
              <w:rPr>
                <w:rFonts w:ascii="Times New Roman" w:hAnsi="Times New Roman" w:cs="Times New Roman"/>
                <w:sz w:val="24"/>
                <w:szCs w:val="24"/>
              </w:rPr>
              <w:lastRenderedPageBreak/>
              <w:t xml:space="preserve">ministerija (toliau – </w:t>
            </w:r>
            <w:r w:rsidR="00E72911" w:rsidRPr="00447D9E">
              <w:rPr>
                <w:rFonts w:ascii="Times New Roman" w:hAnsi="Times New Roman" w:cs="Times New Roman"/>
                <w:sz w:val="24"/>
                <w:szCs w:val="24"/>
              </w:rPr>
              <w:t>EIMIN</w:t>
            </w:r>
            <w:r>
              <w:rPr>
                <w:rFonts w:ascii="Times New Roman" w:hAnsi="Times New Roman" w:cs="Times New Roman"/>
                <w:sz w:val="24"/>
                <w:szCs w:val="24"/>
              </w:rPr>
              <w:t>)</w:t>
            </w:r>
          </w:p>
        </w:tc>
        <w:tc>
          <w:tcPr>
            <w:tcW w:w="1437" w:type="pct"/>
            <w:tcBorders>
              <w:top w:val="single" w:sz="4" w:space="0" w:color="auto"/>
              <w:left w:val="single" w:sz="4" w:space="0" w:color="auto"/>
              <w:bottom w:val="single" w:sz="4" w:space="0" w:color="auto"/>
              <w:right w:val="single" w:sz="4" w:space="0" w:color="auto"/>
            </w:tcBorders>
            <w:shd w:val="clear" w:color="auto" w:fill="auto"/>
          </w:tcPr>
          <w:p w14:paraId="292E2F21" w14:textId="20FC3B89" w:rsidR="00E72911" w:rsidRPr="00447D9E" w:rsidRDefault="00E72911" w:rsidP="00D63221">
            <w:pPr>
              <w:autoSpaceDE w:val="0"/>
              <w:autoSpaceDN w:val="0"/>
              <w:adjustRightInd w:val="0"/>
              <w:ind w:left="-57" w:right="-57"/>
              <w:jc w:val="both"/>
              <w:rPr>
                <w:rFonts w:ascii="Times New Roman" w:eastAsia="Calibri" w:hAnsi="Times New Roman" w:cs="Times New Roman"/>
                <w:bCs/>
                <w:sz w:val="24"/>
                <w:szCs w:val="24"/>
              </w:rPr>
            </w:pPr>
            <w:r w:rsidRPr="00447D9E">
              <w:rPr>
                <w:rFonts w:ascii="Times New Roman" w:eastAsia="Calibri" w:hAnsi="Times New Roman" w:cs="Times New Roman"/>
                <w:bCs/>
                <w:sz w:val="24"/>
                <w:szCs w:val="24"/>
              </w:rPr>
              <w:lastRenderedPageBreak/>
              <w:t xml:space="preserve">Siūloma papildyti Taisyklių projekto 4.2 p. ir </w:t>
            </w:r>
            <w:r w:rsidRPr="00447D9E">
              <w:rPr>
                <w:rFonts w:ascii="Times New Roman" w:eastAsia="Calibri" w:hAnsi="Times New Roman" w:cs="Times New Roman"/>
                <w:bCs/>
                <w:sz w:val="24"/>
                <w:szCs w:val="24"/>
                <w:lang w:val="en-US"/>
              </w:rPr>
              <w:t>6.7 p.</w:t>
            </w:r>
            <w:r w:rsidRPr="00447D9E">
              <w:rPr>
                <w:rFonts w:ascii="Times New Roman" w:eastAsia="Calibri" w:hAnsi="Times New Roman" w:cs="Times New Roman"/>
                <w:bCs/>
                <w:sz w:val="24"/>
                <w:szCs w:val="24"/>
              </w:rPr>
              <w:t xml:space="preserve"> ir išvardinti institucijas, atsakingas </w:t>
            </w:r>
            <w:r w:rsidRPr="00447D9E">
              <w:rPr>
                <w:rFonts w:ascii="Times New Roman" w:eastAsia="Calibri" w:hAnsi="Times New Roman" w:cs="Times New Roman"/>
                <w:bCs/>
                <w:sz w:val="24"/>
                <w:szCs w:val="24"/>
              </w:rPr>
              <w:lastRenderedPageBreak/>
              <w:t>už nusikalstamų veiklų tyrimus.</w:t>
            </w:r>
          </w:p>
        </w:tc>
        <w:tc>
          <w:tcPr>
            <w:tcW w:w="2639" w:type="pct"/>
            <w:tcBorders>
              <w:top w:val="single" w:sz="4" w:space="0" w:color="auto"/>
              <w:left w:val="single" w:sz="4" w:space="0" w:color="auto"/>
              <w:bottom w:val="single" w:sz="4" w:space="0" w:color="auto"/>
              <w:right w:val="single" w:sz="4" w:space="0" w:color="auto"/>
            </w:tcBorders>
            <w:shd w:val="clear" w:color="auto" w:fill="auto"/>
          </w:tcPr>
          <w:p w14:paraId="6BD2DC47" w14:textId="297E0C0C" w:rsidR="00E72911" w:rsidRPr="00447D9E" w:rsidRDefault="00E72911" w:rsidP="00C46478">
            <w:pPr>
              <w:spacing w:after="0" w:line="240" w:lineRule="auto"/>
              <w:jc w:val="both"/>
              <w:rPr>
                <w:rFonts w:ascii="Times New Roman" w:hAnsi="Times New Roman" w:cs="Times New Roman"/>
                <w:b/>
                <w:sz w:val="24"/>
                <w:szCs w:val="24"/>
                <w:highlight w:val="yellow"/>
              </w:rPr>
            </w:pPr>
            <w:r w:rsidRPr="00447D9E">
              <w:rPr>
                <w:rFonts w:ascii="Times New Roman" w:hAnsi="Times New Roman" w:cs="Times New Roman"/>
                <w:b/>
                <w:sz w:val="24"/>
                <w:szCs w:val="24"/>
              </w:rPr>
              <w:lastRenderedPageBreak/>
              <w:t xml:space="preserve">Neatsižvelgta. </w:t>
            </w:r>
            <w:r w:rsidRPr="00447D9E">
              <w:rPr>
                <w:rFonts w:ascii="Times New Roman" w:hAnsi="Times New Roman" w:cs="Times New Roman"/>
                <w:sz w:val="24"/>
                <w:szCs w:val="24"/>
              </w:rPr>
              <w:t xml:space="preserve">Tyrimus, kai įtariama vienokio ar kitokio pobūdžio nusikalstama veika, Lietuvoje atlieka įvairios įstaigos, pavyzdžiui, a) Specialiųjų tyrimų tarnyba vadovaudamasi Specialiųjų tyrimų tarnybos įstatymu, vykdo operatyvinę veiklą, kad atskleistų nusikaltimus, kuriais pasireiškia korupcija, ir užkirstų jiems </w:t>
            </w:r>
            <w:r w:rsidRPr="00447D9E">
              <w:rPr>
                <w:rFonts w:ascii="Times New Roman" w:hAnsi="Times New Roman" w:cs="Times New Roman"/>
                <w:sz w:val="24"/>
                <w:szCs w:val="24"/>
              </w:rPr>
              <w:lastRenderedPageBreak/>
              <w:t>kelią; b) Finansinių nusikaltimų tyrimo tarnyba, vadovaudamasi Finansinių nusikaltimų tyrimo tarnybos įstatymu, atskleidžia ir tiria veikas, susijusias su mokesčių apgaulingu ar aplaidžiu tvarkymu, žinomai neteisingų duomenų apie mokesčius, valstybės (savivaldybės) rinkliavas ir kitas įmokas teikimu atsakingoms institucijoms ir įstaigoms, mokesčių, valstybės ataskaitų nepateikimu, ir kitus teisės pažeidimus, susijusius su mokesčiais, valstybės (savivaldybės) rinkliavomis, valstybinio socialinio draudimo ir kitomis įmokomis, taip pat atskleidžia ir tiria veikas susijusias su nusikalstamu būdu įgytų pinigų ar turto legalizavimu, vertybinių popierių neteisėta apyvarta, netikrais pinigais, kitas neteisėtas veiklas, susijusias su finansų sistema; c) Lietuvos kriminalinės policijos biuras, vadovaujantis Lietuvos kriminalinės policijos biuro nuostatais</w:t>
            </w:r>
            <w:r w:rsidRPr="00447D9E">
              <w:rPr>
                <w:rStyle w:val="Puslapioinaosnuoroda"/>
                <w:rFonts w:ascii="Times New Roman" w:hAnsi="Times New Roman" w:cs="Times New Roman"/>
                <w:b/>
                <w:sz w:val="24"/>
                <w:szCs w:val="24"/>
              </w:rPr>
              <w:footnoteReference w:id="1"/>
            </w:r>
            <w:r w:rsidRPr="00447D9E">
              <w:rPr>
                <w:rFonts w:ascii="Times New Roman" w:hAnsi="Times New Roman" w:cs="Times New Roman"/>
                <w:sz w:val="24"/>
                <w:szCs w:val="24"/>
              </w:rPr>
              <w:t xml:space="preserve"> yra specializuota policijos įstaiga, paskirta apsaugoti visuomenės interesus nuo nusikalstamo poveikio užkardant, atskleidžiant ir tiriant nusikalstamas veikas. Lietuvos kriminalinės policijos biuras užkardo, atskleidžia ir tiria nusikalstamas veikas, susijusias su organizuotų nusikalstamų grupių veikla ir nariais, tarpregioninio ar tarptautinio pobūdžio, sunkius ir labai sunkius nusikaltimus, nusikalstamas veikas, sukėlusias platų atgarsį šalyje, padariusias didelę žalą valstybei ar asmenims, kitas nusikalstamas veikas; d) Konkurencijos taryba, vadovaudamasi Konkurencijos įstatymu, tiria ir nagrinėja Konkurencijos įstatymo, Mažmeninės prekybos įmonių nesąžiningų draudimų įstatymo ir kitų įstatymų, kurių laikymosi priežiūrą vykdo Konkurencijos taryba, pažeidimus ir t. t.  Atsižvelgiant į tai, kad įgyvendinant Plano lėšomis finansuojamus projektus, gali būti padarytos įvairaus (skirtingo) pobūdžio nusikalstamos veikos ir įvertinus tai, kad, kaip jau minėta, nusikalstamas veikas tiria ne viena įstaiga, nėra tikslinga Taisyklių projekte atskirai vardinti šias įstaigas. Atitinkamai, pagal Taisyklių projekte esančią nuostatą, administruojančioji institucija ir (ar) vadovaujančioji institucija atsižvelgusi į įtariamos nusikalstamos veikos pobūdį turės prievolę informuoti būtent tą instituciją, kuriai jos veiklą reglamentuojančiais teisės aktais yra priskirta tirti tokio pobūdžio nusikalstamas veikas.</w:t>
            </w:r>
          </w:p>
        </w:tc>
      </w:tr>
      <w:tr w:rsidR="00E72911" w:rsidRPr="00126601" w14:paraId="7C7DAEFC" w14:textId="77777777" w:rsidTr="00EB321B">
        <w:tc>
          <w:tcPr>
            <w:tcW w:w="452" w:type="pct"/>
            <w:tcBorders>
              <w:top w:val="single" w:sz="4" w:space="0" w:color="auto"/>
              <w:left w:val="single" w:sz="4" w:space="0" w:color="auto"/>
              <w:bottom w:val="single" w:sz="4" w:space="0" w:color="auto"/>
              <w:right w:val="single" w:sz="4" w:space="0" w:color="auto"/>
            </w:tcBorders>
            <w:shd w:val="clear" w:color="auto" w:fill="auto"/>
          </w:tcPr>
          <w:p w14:paraId="28567638" w14:textId="77777777" w:rsidR="00E72911" w:rsidRPr="00447D9E" w:rsidRDefault="00E72911" w:rsidP="005F26E3">
            <w:pPr>
              <w:pStyle w:val="Sraopastraipa"/>
              <w:numPr>
                <w:ilvl w:val="0"/>
                <w:numId w:val="1"/>
              </w:numPr>
              <w:spacing w:after="0" w:line="240" w:lineRule="auto"/>
              <w:jc w:val="both"/>
              <w:rPr>
                <w:rFonts w:ascii="Times New Roman" w:hAnsi="Times New Roman" w:cs="Times New Roman"/>
                <w:b/>
                <w:sz w:val="24"/>
                <w:szCs w:val="24"/>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18020A81" w14:textId="39673FA3" w:rsidR="00E72911" w:rsidRPr="00447D9E" w:rsidRDefault="00E72911" w:rsidP="005F26E3">
            <w:pPr>
              <w:spacing w:after="0" w:line="240" w:lineRule="auto"/>
              <w:jc w:val="both"/>
              <w:rPr>
                <w:rFonts w:ascii="Times New Roman" w:hAnsi="Times New Roman" w:cs="Times New Roman"/>
                <w:sz w:val="24"/>
                <w:szCs w:val="24"/>
              </w:rPr>
            </w:pPr>
            <w:r w:rsidRPr="00447D9E">
              <w:rPr>
                <w:rFonts w:ascii="Times New Roman" w:hAnsi="Times New Roman" w:cs="Times New Roman"/>
                <w:sz w:val="24"/>
                <w:szCs w:val="24"/>
              </w:rPr>
              <w:t>EIMIN</w:t>
            </w:r>
          </w:p>
        </w:tc>
        <w:tc>
          <w:tcPr>
            <w:tcW w:w="1437" w:type="pct"/>
            <w:tcBorders>
              <w:top w:val="single" w:sz="4" w:space="0" w:color="auto"/>
              <w:left w:val="single" w:sz="4" w:space="0" w:color="auto"/>
              <w:bottom w:val="single" w:sz="4" w:space="0" w:color="auto"/>
              <w:right w:val="single" w:sz="4" w:space="0" w:color="auto"/>
            </w:tcBorders>
            <w:shd w:val="clear" w:color="auto" w:fill="auto"/>
          </w:tcPr>
          <w:p w14:paraId="0772C295" w14:textId="4EEABB20" w:rsidR="00E72911" w:rsidRPr="00E72911" w:rsidRDefault="00E72911" w:rsidP="00C277FD">
            <w:pPr>
              <w:autoSpaceDE w:val="0"/>
              <w:autoSpaceDN w:val="0"/>
              <w:adjustRightInd w:val="0"/>
              <w:spacing w:line="240" w:lineRule="auto"/>
              <w:ind w:left="-57" w:right="-57"/>
              <w:jc w:val="both"/>
              <w:rPr>
                <w:rFonts w:ascii="Times New Roman" w:hAnsi="Times New Roman" w:cs="Times New Roman"/>
                <w:sz w:val="24"/>
                <w:szCs w:val="24"/>
              </w:rPr>
            </w:pPr>
            <w:r w:rsidRPr="00E72911">
              <w:rPr>
                <w:rFonts w:ascii="Times New Roman" w:hAnsi="Times New Roman" w:cs="Times New Roman"/>
                <w:sz w:val="24"/>
                <w:szCs w:val="24"/>
                <w:lang w:eastAsia="lt-LT"/>
              </w:rPr>
              <w:t xml:space="preserve">Nutarimo ir Taisyklių projektai yra </w:t>
            </w:r>
            <w:r w:rsidRPr="00E72911">
              <w:rPr>
                <w:rFonts w:ascii="Times New Roman" w:hAnsi="Times New Roman" w:cs="Times New Roman"/>
                <w:sz w:val="24"/>
                <w:szCs w:val="24"/>
                <w:lang w:eastAsia="lt-LT"/>
              </w:rPr>
              <w:lastRenderedPageBreak/>
              <w:t xml:space="preserve">neaiškūs, </w:t>
            </w:r>
            <w:r w:rsidRPr="00E72911">
              <w:rPr>
                <w:rFonts w:ascii="Times New Roman" w:hAnsi="Times New Roman" w:cs="Times New Roman"/>
                <w:sz w:val="24"/>
                <w:szCs w:val="24"/>
                <w:shd w:val="clear" w:color="auto" w:fill="FFFFFF"/>
              </w:rPr>
              <w:t xml:space="preserve">neišdiskutuoti, nederantys su galiojančių teisės aktų nuostatomis. Pagal Taisyklių projekte įtvirtinamas sąvokas ir numatomas funkcijas nėra aišku kaip </w:t>
            </w:r>
            <w:r w:rsidRPr="00E72911">
              <w:rPr>
                <w:rFonts w:ascii="Times New Roman" w:hAnsi="Times New Roman" w:cs="Times New Roman"/>
                <w:sz w:val="24"/>
                <w:szCs w:val="24"/>
                <w:lang w:eastAsia="lt-LT"/>
              </w:rPr>
              <w:t xml:space="preserve">įgyvendinant </w:t>
            </w:r>
            <w:r w:rsidRPr="00E72911">
              <w:rPr>
                <w:rFonts w:ascii="Times New Roman" w:hAnsi="Times New Roman" w:cs="Times New Roman"/>
                <w:sz w:val="24"/>
                <w:szCs w:val="24"/>
              </w:rPr>
              <w:t xml:space="preserve">Planą vyks </w:t>
            </w:r>
            <w:r w:rsidRPr="00E72911">
              <w:rPr>
                <w:rFonts w:ascii="Times New Roman" w:hAnsi="Times New Roman" w:cs="Times New Roman"/>
                <w:sz w:val="24"/>
                <w:szCs w:val="24"/>
                <w:shd w:val="clear" w:color="auto" w:fill="FFFFFF"/>
              </w:rPr>
              <w:t>finansinių priemonių įgyvendinimas ir koks bus ir ar bus už jų planavimą ir įgyvendinimą atsakingų institucijų (nacionalinių plėtros įstaigų, už atitinkamas sritis atsakingų ministerijų) vaidmuo.</w:t>
            </w:r>
          </w:p>
        </w:tc>
        <w:tc>
          <w:tcPr>
            <w:tcW w:w="2639" w:type="pct"/>
            <w:tcBorders>
              <w:top w:val="single" w:sz="4" w:space="0" w:color="auto"/>
              <w:left w:val="single" w:sz="4" w:space="0" w:color="auto"/>
              <w:bottom w:val="single" w:sz="4" w:space="0" w:color="auto"/>
              <w:right w:val="single" w:sz="4" w:space="0" w:color="auto"/>
            </w:tcBorders>
            <w:shd w:val="clear" w:color="auto" w:fill="auto"/>
          </w:tcPr>
          <w:p w14:paraId="52CE1F45" w14:textId="1BD6F395" w:rsidR="00E72911" w:rsidRPr="00E72911" w:rsidRDefault="00E72911" w:rsidP="00E72911">
            <w:pPr>
              <w:pStyle w:val="Sraopastraipa"/>
              <w:tabs>
                <w:tab w:val="left" w:pos="165"/>
              </w:tabs>
              <w:spacing w:after="0" w:line="240" w:lineRule="auto"/>
              <w:ind w:left="0"/>
              <w:jc w:val="both"/>
              <w:rPr>
                <w:rFonts w:ascii="Times New Roman" w:hAnsi="Times New Roman" w:cs="Times New Roman"/>
                <w:sz w:val="24"/>
                <w:szCs w:val="24"/>
              </w:rPr>
            </w:pPr>
            <w:r w:rsidRPr="00E72911">
              <w:rPr>
                <w:rFonts w:ascii="Times New Roman" w:hAnsi="Times New Roman" w:cs="Times New Roman"/>
                <w:b/>
                <w:sz w:val="24"/>
                <w:szCs w:val="24"/>
              </w:rPr>
              <w:lastRenderedPageBreak/>
              <w:t xml:space="preserve">Paaiškinimas. </w:t>
            </w:r>
            <w:r w:rsidRPr="00E72911">
              <w:rPr>
                <w:rFonts w:ascii="Times New Roman" w:hAnsi="Times New Roman" w:cs="Times New Roman"/>
                <w:sz w:val="24"/>
                <w:szCs w:val="24"/>
              </w:rPr>
              <w:t xml:space="preserve">Europos Komisija ne kartą ragino šalis nares ES lėšoms, </w:t>
            </w:r>
            <w:r w:rsidRPr="00E72911">
              <w:rPr>
                <w:rFonts w:ascii="Times New Roman" w:hAnsi="Times New Roman" w:cs="Times New Roman"/>
                <w:sz w:val="24"/>
                <w:szCs w:val="24"/>
              </w:rPr>
              <w:lastRenderedPageBreak/>
              <w:t xml:space="preserve">skiriamoms pagal Ekonomikos gaivinimo ir atsparumo didinimo priemonę, administruoti nekurti skirtingų VKS, o naudoti VKS skirtas ES struktūrinių fondų </w:t>
            </w:r>
            <w:r w:rsidRPr="00C34835">
              <w:rPr>
                <w:rFonts w:ascii="Times New Roman" w:hAnsi="Times New Roman" w:cs="Times New Roman"/>
                <w:sz w:val="24"/>
                <w:szCs w:val="24"/>
              </w:rPr>
              <w:t xml:space="preserve">lėšų administravimui. Toks sprendimas ir yra siūlomas, t. y. Plano administravimui naudoti VKS kuriamą Investicijų programos VKS pagrindu. Atitinkamai, tiek Plano, tiek Investicijų programos administravimui bus naudojama viena informacinė sistema, vieningi procesai ir procedūros nustatant išimtis tik tiek, kiek to reikalauja reglamentuose esantys skirtumai. Tokiu būdu bus užtikrintas vieningas projektų, finansuojamų Plano ir Investicijų programos lėšomis, administravimas ir nedidinama administracinė našta dėl skirtingų procesų ir procedūrų tenkanti valstybės institucijoms ir projektų vykdytojams. </w:t>
            </w:r>
            <w:r w:rsidR="009971F9">
              <w:rPr>
                <w:rFonts w:ascii="Times New Roman" w:hAnsi="Times New Roman" w:cs="Times New Roman"/>
                <w:sz w:val="24"/>
                <w:szCs w:val="24"/>
              </w:rPr>
              <w:t>T</w:t>
            </w:r>
            <w:r w:rsidRPr="00C34835">
              <w:rPr>
                <w:rFonts w:ascii="Times New Roman" w:hAnsi="Times New Roman" w:cs="Times New Roman"/>
                <w:sz w:val="24"/>
                <w:szCs w:val="24"/>
              </w:rPr>
              <w:t>oks VKS modelis buvo pristatytas ir išdiskutuotas</w:t>
            </w:r>
            <w:r w:rsidR="009971F9">
              <w:rPr>
                <w:rFonts w:ascii="Times New Roman" w:hAnsi="Times New Roman" w:cs="Times New Roman"/>
                <w:sz w:val="24"/>
                <w:szCs w:val="24"/>
              </w:rPr>
              <w:t xml:space="preserve"> </w:t>
            </w:r>
            <w:r w:rsidRPr="00C34835">
              <w:rPr>
                <w:rFonts w:ascii="Times New Roman" w:hAnsi="Times New Roman" w:cs="Times New Roman"/>
                <w:sz w:val="24"/>
                <w:szCs w:val="24"/>
              </w:rPr>
              <w:t>derinant Investicijų programos administravim</w:t>
            </w:r>
            <w:r w:rsidR="009971F9">
              <w:rPr>
                <w:rFonts w:ascii="Times New Roman" w:hAnsi="Times New Roman" w:cs="Times New Roman"/>
                <w:sz w:val="24"/>
                <w:szCs w:val="24"/>
              </w:rPr>
              <w:t>o</w:t>
            </w:r>
            <w:r w:rsidRPr="00C34835">
              <w:rPr>
                <w:rFonts w:ascii="Times New Roman" w:hAnsi="Times New Roman" w:cs="Times New Roman"/>
                <w:sz w:val="24"/>
                <w:szCs w:val="24"/>
              </w:rPr>
              <w:t xml:space="preserve"> schemą</w:t>
            </w:r>
            <w:r w:rsidR="009971F9">
              <w:rPr>
                <w:rFonts w:ascii="Times New Roman" w:hAnsi="Times New Roman" w:cs="Times New Roman"/>
                <w:sz w:val="24"/>
                <w:szCs w:val="24"/>
              </w:rPr>
              <w:t xml:space="preserve">. Taip pat Nutarimo ir Taisyklių </w:t>
            </w:r>
            <w:r w:rsidR="009971F9" w:rsidRPr="009971F9">
              <w:rPr>
                <w:rFonts w:ascii="Times New Roman" w:hAnsi="Times New Roman" w:cs="Times New Roman"/>
                <w:sz w:val="24"/>
                <w:szCs w:val="24"/>
              </w:rPr>
              <w:t>projekta</w:t>
            </w:r>
            <w:r w:rsidR="009971F9">
              <w:rPr>
                <w:rFonts w:ascii="Times New Roman" w:hAnsi="Times New Roman" w:cs="Times New Roman"/>
                <w:sz w:val="24"/>
                <w:szCs w:val="24"/>
              </w:rPr>
              <w:t>i</w:t>
            </w:r>
            <w:r w:rsidR="009971F9" w:rsidRPr="009971F9">
              <w:rPr>
                <w:rFonts w:ascii="Times New Roman" w:hAnsi="Times New Roman" w:cs="Times New Roman"/>
                <w:sz w:val="24"/>
                <w:szCs w:val="24"/>
              </w:rPr>
              <w:t xml:space="preserve"> š. m. gegužės 24 d. buvo teikt</w:t>
            </w:r>
            <w:r w:rsidR="009971F9">
              <w:rPr>
                <w:rFonts w:ascii="Times New Roman" w:hAnsi="Times New Roman" w:cs="Times New Roman"/>
                <w:sz w:val="24"/>
                <w:szCs w:val="24"/>
              </w:rPr>
              <w:t>i</w:t>
            </w:r>
            <w:r w:rsidR="009971F9" w:rsidRPr="009971F9">
              <w:rPr>
                <w:rFonts w:ascii="Times New Roman" w:hAnsi="Times New Roman" w:cs="Times New Roman"/>
                <w:sz w:val="24"/>
                <w:szCs w:val="24"/>
              </w:rPr>
              <w:t xml:space="preserve"> </w:t>
            </w:r>
            <w:r w:rsidR="009971F9">
              <w:rPr>
                <w:rFonts w:ascii="Times New Roman" w:hAnsi="Times New Roman" w:cs="Times New Roman"/>
                <w:sz w:val="24"/>
                <w:szCs w:val="24"/>
              </w:rPr>
              <w:t xml:space="preserve">ministerijoms </w:t>
            </w:r>
            <w:r w:rsidR="009971F9" w:rsidRPr="009971F9">
              <w:rPr>
                <w:rFonts w:ascii="Times New Roman" w:hAnsi="Times New Roman" w:cs="Times New Roman"/>
                <w:sz w:val="24"/>
                <w:szCs w:val="24"/>
              </w:rPr>
              <w:t>neoficialiam derinimui (taip pat ir EIMIN atstovams), o š. m. birželio 16 d. pristatyt</w:t>
            </w:r>
            <w:r w:rsidR="009971F9">
              <w:rPr>
                <w:rFonts w:ascii="Times New Roman" w:hAnsi="Times New Roman" w:cs="Times New Roman"/>
                <w:sz w:val="24"/>
                <w:szCs w:val="24"/>
              </w:rPr>
              <w:t>i</w:t>
            </w:r>
            <w:r w:rsidR="009971F9" w:rsidRPr="009971F9">
              <w:rPr>
                <w:rFonts w:ascii="Times New Roman" w:hAnsi="Times New Roman" w:cs="Times New Roman"/>
                <w:sz w:val="24"/>
                <w:szCs w:val="24"/>
              </w:rPr>
              <w:t xml:space="preserve"> susitikimo su ministerijomis metu, kuriame dalyvavo </w:t>
            </w:r>
            <w:r w:rsidR="009971F9">
              <w:rPr>
                <w:rFonts w:ascii="Times New Roman" w:hAnsi="Times New Roman" w:cs="Times New Roman"/>
                <w:sz w:val="24"/>
                <w:szCs w:val="24"/>
              </w:rPr>
              <w:t xml:space="preserve">ir </w:t>
            </w:r>
            <w:r w:rsidR="009971F9" w:rsidRPr="009971F9">
              <w:rPr>
                <w:rFonts w:ascii="Times New Roman" w:hAnsi="Times New Roman" w:cs="Times New Roman"/>
                <w:sz w:val="24"/>
                <w:szCs w:val="24"/>
              </w:rPr>
              <w:t>EIMIN atstovai.</w:t>
            </w:r>
            <w:r w:rsidR="009971F9">
              <w:rPr>
                <w:rFonts w:ascii="Times New Roman" w:hAnsi="Times New Roman" w:cs="Times New Roman"/>
                <w:sz w:val="24"/>
                <w:szCs w:val="24"/>
                <w:lang w:val="en-US"/>
              </w:rPr>
              <w:t xml:space="preserve"> </w:t>
            </w:r>
            <w:r w:rsidR="009971F9">
              <w:rPr>
                <w:rFonts w:ascii="Times New Roman" w:hAnsi="Times New Roman" w:cs="Times New Roman"/>
                <w:sz w:val="24"/>
                <w:szCs w:val="24"/>
              </w:rPr>
              <w:t xml:space="preserve">Atkreipiame dėmesį, kad </w:t>
            </w:r>
            <w:r w:rsidRPr="00C34835">
              <w:rPr>
                <w:rFonts w:ascii="Times New Roman" w:hAnsi="Times New Roman" w:cs="Times New Roman"/>
                <w:sz w:val="24"/>
                <w:szCs w:val="24"/>
              </w:rPr>
              <w:t xml:space="preserve">Plano administravimui skirta sistema </w:t>
            </w:r>
            <w:r w:rsidR="009971F9">
              <w:rPr>
                <w:rFonts w:ascii="Times New Roman" w:hAnsi="Times New Roman" w:cs="Times New Roman"/>
                <w:sz w:val="24"/>
                <w:szCs w:val="24"/>
              </w:rPr>
              <w:t xml:space="preserve">taip pat yra </w:t>
            </w:r>
            <w:r w:rsidRPr="00C34835">
              <w:rPr>
                <w:rFonts w:ascii="Times New Roman" w:hAnsi="Times New Roman" w:cs="Times New Roman"/>
                <w:sz w:val="24"/>
                <w:szCs w:val="24"/>
              </w:rPr>
              <w:t>aprašyta ir pačiame Plane</w:t>
            </w:r>
            <w:r w:rsidR="009971F9">
              <w:rPr>
                <w:rFonts w:ascii="Times New Roman" w:hAnsi="Times New Roman" w:cs="Times New Roman"/>
                <w:sz w:val="24"/>
                <w:szCs w:val="24"/>
              </w:rPr>
              <w:t xml:space="preserve"> (įskaitant ir Nutarimo projektu tvirtinamus dalyvius</w:t>
            </w:r>
            <w:proofErr w:type="gramStart"/>
            <w:r w:rsidR="009971F9">
              <w:rPr>
                <w:rFonts w:ascii="Times New Roman" w:hAnsi="Times New Roman" w:cs="Times New Roman"/>
                <w:sz w:val="24"/>
                <w:szCs w:val="24"/>
              </w:rPr>
              <w:t>, bei</w:t>
            </w:r>
            <w:proofErr w:type="gramEnd"/>
            <w:r w:rsidR="009971F9">
              <w:rPr>
                <w:rFonts w:ascii="Times New Roman" w:hAnsi="Times New Roman" w:cs="Times New Roman"/>
                <w:sz w:val="24"/>
                <w:szCs w:val="24"/>
              </w:rPr>
              <w:t xml:space="preserve"> Taisyklių projekte nustatytas funkcijas)</w:t>
            </w:r>
            <w:r w:rsidRPr="00C34835">
              <w:rPr>
                <w:rFonts w:ascii="Times New Roman" w:hAnsi="Times New Roman" w:cs="Times New Roman"/>
                <w:sz w:val="24"/>
                <w:szCs w:val="24"/>
              </w:rPr>
              <w:t>, kuris buvo teiktas</w:t>
            </w:r>
            <w:r w:rsidR="00CC5F26">
              <w:rPr>
                <w:rFonts w:ascii="Times New Roman" w:hAnsi="Times New Roman" w:cs="Times New Roman"/>
                <w:sz w:val="24"/>
                <w:szCs w:val="24"/>
              </w:rPr>
              <w:t xml:space="preserve"> </w:t>
            </w:r>
            <w:r w:rsidRPr="00C34835">
              <w:rPr>
                <w:rFonts w:ascii="Times New Roman" w:hAnsi="Times New Roman" w:cs="Times New Roman"/>
                <w:sz w:val="24"/>
                <w:szCs w:val="24"/>
              </w:rPr>
              <w:t>ministerijoms</w:t>
            </w:r>
            <w:r w:rsidR="001878DB">
              <w:rPr>
                <w:rFonts w:ascii="Times New Roman" w:hAnsi="Times New Roman" w:cs="Times New Roman"/>
                <w:sz w:val="24"/>
                <w:szCs w:val="24"/>
              </w:rPr>
              <w:t>. Planas</w:t>
            </w:r>
            <w:r w:rsidR="00C71C98">
              <w:rPr>
                <w:rFonts w:ascii="Times New Roman" w:hAnsi="Times New Roman" w:cs="Times New Roman"/>
                <w:sz w:val="24"/>
                <w:szCs w:val="24"/>
              </w:rPr>
              <w:t xml:space="preserve"> </w:t>
            </w:r>
            <w:r w:rsidR="001878DB">
              <w:rPr>
                <w:rFonts w:ascii="Times New Roman" w:hAnsi="Times New Roman" w:cs="Times New Roman"/>
                <w:sz w:val="24"/>
                <w:szCs w:val="24"/>
              </w:rPr>
              <w:t>yra</w:t>
            </w:r>
            <w:r w:rsidR="001878DB">
              <w:rPr>
                <w:rFonts w:ascii="Times New Roman" w:hAnsi="Times New Roman" w:cs="Times New Roman"/>
                <w:sz w:val="24"/>
                <w:szCs w:val="24"/>
              </w:rPr>
              <w:t xml:space="preserve"> </w:t>
            </w:r>
            <w:r w:rsidR="00C71C98">
              <w:rPr>
                <w:rFonts w:ascii="Times New Roman" w:hAnsi="Times New Roman" w:cs="Times New Roman"/>
                <w:sz w:val="24"/>
                <w:szCs w:val="24"/>
              </w:rPr>
              <w:t>suderintas (atskirai aptariant ir VKS dalį) su Europos Komisija</w:t>
            </w:r>
            <w:r w:rsidR="00DD6443">
              <w:rPr>
                <w:rFonts w:ascii="Times New Roman" w:hAnsi="Times New Roman" w:cs="Times New Roman"/>
                <w:sz w:val="24"/>
                <w:szCs w:val="24"/>
              </w:rPr>
              <w:t>.</w:t>
            </w:r>
            <w:bookmarkStart w:id="0" w:name="_GoBack"/>
            <w:bookmarkEnd w:id="0"/>
          </w:p>
          <w:p w14:paraId="1C0C1D4A" w14:textId="77777777" w:rsidR="00E72911" w:rsidRPr="00E72911" w:rsidRDefault="00E72911" w:rsidP="00E72911">
            <w:pPr>
              <w:pStyle w:val="Sraopastraipa"/>
              <w:tabs>
                <w:tab w:val="left" w:pos="165"/>
              </w:tabs>
              <w:spacing w:after="0" w:line="240" w:lineRule="auto"/>
              <w:ind w:left="0"/>
              <w:jc w:val="both"/>
              <w:rPr>
                <w:rFonts w:ascii="Times New Roman" w:hAnsi="Times New Roman" w:cs="Times New Roman"/>
                <w:sz w:val="24"/>
                <w:szCs w:val="24"/>
              </w:rPr>
            </w:pPr>
          </w:p>
          <w:p w14:paraId="0338F55E" w14:textId="6D0D4FE3" w:rsidR="00E72911" w:rsidRPr="00E72911" w:rsidRDefault="00E72911" w:rsidP="00843DE8">
            <w:pPr>
              <w:spacing w:after="0" w:line="240" w:lineRule="auto"/>
              <w:jc w:val="both"/>
              <w:rPr>
                <w:rFonts w:ascii="Times New Roman" w:hAnsi="Times New Roman" w:cs="Times New Roman"/>
                <w:sz w:val="24"/>
                <w:szCs w:val="24"/>
              </w:rPr>
            </w:pPr>
            <w:r w:rsidRPr="00E72911">
              <w:rPr>
                <w:rFonts w:ascii="Times New Roman" w:hAnsi="Times New Roman" w:cs="Times New Roman"/>
                <w:sz w:val="24"/>
                <w:szCs w:val="24"/>
              </w:rPr>
              <w:t>Planui įgyvendinti skiriamų ES lėšų administravimui taikomus reikalavimus (įskaitant ir funkcijas, kurias turi atlikti šalis narė) nustato reglamentas (ES) 2021/241</w:t>
            </w:r>
            <w:r w:rsidRPr="00E72911">
              <w:rPr>
                <w:rStyle w:val="Puslapioinaosnuoroda"/>
                <w:rFonts w:ascii="&amp;quot" w:hAnsi="&amp;quot"/>
              </w:rPr>
              <w:footnoteReference w:id="2"/>
            </w:r>
            <w:r w:rsidRPr="00E72911">
              <w:rPr>
                <w:rFonts w:ascii="Times New Roman" w:hAnsi="Times New Roman" w:cs="Times New Roman"/>
                <w:sz w:val="24"/>
                <w:szCs w:val="24"/>
              </w:rPr>
              <w:t>. Taip pat svarbu pažymėti, kad ES lėšos, skirtos Planui įgyvendinti, priskiriamos</w:t>
            </w:r>
            <w:r w:rsidRPr="00E72911">
              <w:rPr>
                <w:rFonts w:ascii="Times New Roman" w:hAnsi="Times New Roman" w:cs="Times New Roman"/>
                <w:bCs/>
                <w:sz w:val="24"/>
                <w:szCs w:val="24"/>
              </w:rPr>
              <w:t xml:space="preserve"> Nacionalinio pažangos plano </w:t>
            </w:r>
            <w:r w:rsidRPr="00E72911">
              <w:rPr>
                <w:rFonts w:ascii="Times New Roman" w:hAnsi="Times New Roman" w:cs="Times New Roman"/>
                <w:sz w:val="24"/>
                <w:szCs w:val="24"/>
              </w:rPr>
              <w:t>pažangos lėšoms, o pagal Planą vykdomos veiklos – pažangos veikloms. Vadovaujantis Strateginio valdymo metodikos</w:t>
            </w:r>
            <w:r w:rsidRPr="00E72911">
              <w:rPr>
                <w:rStyle w:val="Puslapioinaosnuoroda"/>
                <w:rFonts w:ascii="Times New Roman" w:hAnsi="Times New Roman" w:cs="Times New Roman"/>
                <w:sz w:val="24"/>
                <w:szCs w:val="24"/>
              </w:rPr>
              <w:footnoteReference w:id="3"/>
            </w:r>
            <w:r w:rsidRPr="00E72911">
              <w:rPr>
                <w:rFonts w:ascii="Times New Roman" w:hAnsi="Times New Roman" w:cs="Times New Roman"/>
                <w:sz w:val="24"/>
                <w:szCs w:val="24"/>
              </w:rPr>
              <w:t xml:space="preserve"> (toliau – SVM) 110 p. „</w:t>
            </w:r>
            <w:r w:rsidRPr="00E72911">
              <w:rPr>
                <w:rFonts w:ascii="Times New Roman" w:hAnsi="Times New Roman" w:cs="Times New Roman"/>
                <w:i/>
                <w:sz w:val="24"/>
                <w:szCs w:val="24"/>
              </w:rPr>
              <w:t>Visos pažangos veiklos, nepriklausomai nuo finansavimo šaltinio, planuojamos, administruojamos ir įgyvendinamos vadovaujantis Metodika</w:t>
            </w:r>
            <w:r w:rsidRPr="00E72911">
              <w:rPr>
                <w:rFonts w:ascii="Times New Roman" w:hAnsi="Times New Roman" w:cs="Times New Roman"/>
                <w:sz w:val="24"/>
                <w:szCs w:val="24"/>
              </w:rPr>
              <w:t xml:space="preserve">. &lt;...&gt;“. SVM aiškiai apibrėžia, kad pažangos veiklas finansuojant ES ir (ar) kitos tarptautinės paramos lėšomis, konkrečioms </w:t>
            </w:r>
            <w:r w:rsidRPr="00E72911">
              <w:rPr>
                <w:rFonts w:ascii="Times New Roman" w:hAnsi="Times New Roman" w:cs="Times New Roman"/>
                <w:sz w:val="24"/>
                <w:szCs w:val="24"/>
              </w:rPr>
              <w:lastRenderedPageBreak/>
              <w:t xml:space="preserve">funkcijoms atlikti yra paskiriamos vadovaujančioji, administruojančioji ir audito institucijos. Atsižvelgiant į tai, SVM, apibrėždama šiuos subjektus, nustato ir jų atsakomybės ribas, t. y.: </w:t>
            </w:r>
          </w:p>
          <w:p w14:paraId="7FD0DFF7" w14:textId="32BEBA5E" w:rsidR="00E72911" w:rsidRPr="00E72911" w:rsidRDefault="00E72911" w:rsidP="00843DE8">
            <w:pPr>
              <w:pStyle w:val="Sraopastraipa"/>
              <w:numPr>
                <w:ilvl w:val="0"/>
                <w:numId w:val="6"/>
              </w:numPr>
              <w:tabs>
                <w:tab w:val="left" w:pos="309"/>
              </w:tabs>
              <w:spacing w:after="0" w:line="240" w:lineRule="auto"/>
              <w:ind w:left="25" w:hanging="25"/>
              <w:jc w:val="both"/>
              <w:rPr>
                <w:rFonts w:ascii="Times New Roman" w:hAnsi="Times New Roman" w:cs="Times New Roman"/>
                <w:sz w:val="24"/>
                <w:szCs w:val="24"/>
              </w:rPr>
            </w:pPr>
            <w:r w:rsidRPr="00E72911">
              <w:rPr>
                <w:rFonts w:ascii="Times New Roman" w:hAnsi="Times New Roman" w:cs="Times New Roman"/>
                <w:sz w:val="24"/>
                <w:szCs w:val="24"/>
              </w:rPr>
              <w:t>2.1 p. nustatyta, kad administruojančioji institucija</w:t>
            </w:r>
            <w:r w:rsidRPr="00E72911">
              <w:rPr>
                <w:rFonts w:ascii="Times New Roman" w:hAnsi="Times New Roman" w:cs="Times New Roman"/>
                <w:i/>
                <w:sz w:val="24"/>
                <w:szCs w:val="24"/>
              </w:rPr>
              <w:t xml:space="preserve">„&lt;...&gt;vykdo Europos Sąjungos (toliau – ES) ir (ar) tarptautinės paramos projektų ir jų vykdytojų atranką, konsultuoja ir informuoja projektų vykdytojus apie projektų rengimo ir įgyvendinimo reikalavimus, administruoja atrinktų projektų įgyvendinimą, atlieka projektų įgyvendinimo priežiūrą ir </w:t>
            </w:r>
            <w:proofErr w:type="spellStart"/>
            <w:r w:rsidRPr="00E72911">
              <w:rPr>
                <w:rFonts w:ascii="Times New Roman" w:hAnsi="Times New Roman" w:cs="Times New Roman"/>
                <w:i/>
                <w:sz w:val="24"/>
                <w:szCs w:val="24"/>
              </w:rPr>
              <w:t>stebėseną</w:t>
            </w:r>
            <w:proofErr w:type="spellEnd"/>
            <w:r w:rsidRPr="00E72911">
              <w:rPr>
                <w:rFonts w:ascii="Times New Roman" w:hAnsi="Times New Roman" w:cs="Times New Roman"/>
                <w:i/>
                <w:sz w:val="24"/>
                <w:szCs w:val="24"/>
              </w:rPr>
              <w:t>, jų rezultatų vertinimą, organizuoja projektų vykdytojų atsiskaitymą už pasiektus rezultatus ir atlieka kitas funkcijas, nustatytas ES ar tarptautiniuose teisės aktuose, reglamentuojančiuose konkretų ES ir (ar) tarptautinės paramos finansavimo šaltinio programavimo dokumentą, ir jų įgyvendinamuosiuose Lietuvos Respublikos teisės aktuose</w:t>
            </w:r>
            <w:r w:rsidRPr="00E72911">
              <w:rPr>
                <w:rFonts w:ascii="Times New Roman" w:hAnsi="Times New Roman" w:cs="Times New Roman"/>
                <w:sz w:val="24"/>
                <w:szCs w:val="24"/>
              </w:rPr>
              <w:t>“.</w:t>
            </w:r>
          </w:p>
          <w:p w14:paraId="78DCF121" w14:textId="200C14D2" w:rsidR="00E72911" w:rsidRPr="00E72911" w:rsidRDefault="00E72911" w:rsidP="00843DE8">
            <w:pPr>
              <w:pStyle w:val="Sraopastraipa"/>
              <w:numPr>
                <w:ilvl w:val="0"/>
                <w:numId w:val="6"/>
              </w:numPr>
              <w:tabs>
                <w:tab w:val="left" w:pos="309"/>
              </w:tabs>
              <w:spacing w:after="0" w:line="240" w:lineRule="auto"/>
              <w:ind w:left="25" w:firstLine="0"/>
              <w:jc w:val="both"/>
              <w:rPr>
                <w:rFonts w:ascii="Times New Roman" w:hAnsi="Times New Roman" w:cs="Times New Roman"/>
                <w:sz w:val="24"/>
                <w:szCs w:val="24"/>
              </w:rPr>
            </w:pPr>
            <w:r w:rsidRPr="00E72911">
              <w:rPr>
                <w:rFonts w:ascii="Times New Roman" w:hAnsi="Times New Roman" w:cs="Times New Roman"/>
                <w:sz w:val="24"/>
                <w:szCs w:val="24"/>
              </w:rPr>
              <w:t xml:space="preserve">2.2 p. nustatyta, kad audito institucija </w:t>
            </w:r>
            <w:r w:rsidRPr="00E72911">
              <w:rPr>
                <w:rFonts w:ascii="Times New Roman" w:hAnsi="Times New Roman" w:cs="Times New Roman"/>
                <w:i/>
                <w:sz w:val="24"/>
                <w:szCs w:val="24"/>
              </w:rPr>
              <w:t>„&lt;...&gt;atlieka Lietuvos Respublikos ir (arba) tarptautiniuose teisės aktuose, reglamentuojančiuose konkretų ES ir (ar) tarptautinės paramos finansavimo šaltinio programavimo dokumentą, nustatytų reikalavimų laikymosi ir projektų išlaidų tinkamumo finansuoti auditus</w:t>
            </w:r>
            <w:r w:rsidRPr="00E72911">
              <w:rPr>
                <w:rFonts w:ascii="Times New Roman" w:hAnsi="Times New Roman" w:cs="Times New Roman"/>
                <w:sz w:val="24"/>
                <w:szCs w:val="24"/>
              </w:rPr>
              <w:t>“.</w:t>
            </w:r>
          </w:p>
          <w:p w14:paraId="3A2971B2" w14:textId="18E52DDB" w:rsidR="00E72911" w:rsidRPr="00E72911" w:rsidRDefault="00E72911" w:rsidP="00843DE8">
            <w:pPr>
              <w:pStyle w:val="Sraopastraipa"/>
              <w:numPr>
                <w:ilvl w:val="0"/>
                <w:numId w:val="6"/>
              </w:numPr>
              <w:tabs>
                <w:tab w:val="left" w:pos="165"/>
              </w:tabs>
              <w:spacing w:after="0" w:line="240" w:lineRule="auto"/>
              <w:ind w:left="0" w:firstLine="0"/>
              <w:jc w:val="both"/>
              <w:rPr>
                <w:rFonts w:ascii="&amp;quot" w:hAnsi="&amp;quot"/>
              </w:rPr>
            </w:pPr>
            <w:r w:rsidRPr="00E72911">
              <w:rPr>
                <w:rFonts w:ascii="Times New Roman" w:hAnsi="Times New Roman" w:cs="Times New Roman"/>
                <w:sz w:val="24"/>
                <w:szCs w:val="24"/>
              </w:rPr>
              <w:t xml:space="preserve">2.5 p. nustatyta, kad vadovaujančioji institucija </w:t>
            </w:r>
            <w:r w:rsidRPr="00E72911">
              <w:rPr>
                <w:rFonts w:ascii="Times New Roman" w:hAnsi="Times New Roman" w:cs="Times New Roman"/>
                <w:i/>
                <w:sz w:val="24"/>
                <w:szCs w:val="24"/>
              </w:rPr>
              <w:t>„&lt;...&gt; atsakinga už ES ir kitos tarptautinės finansinės paramos lėšų ir (ar) kitų finansavimo šaltinių lėšų administravimą ir konkretaus ES ar kitos tarptautinės paramos finansavimo šaltinio programavimo dokumento įgyvendinimo reikalavimų laikymosi užtikrinimą.</w:t>
            </w:r>
            <w:r w:rsidRPr="00E72911">
              <w:rPr>
                <w:rFonts w:ascii="Times New Roman" w:hAnsi="Times New Roman" w:cs="Times New Roman"/>
                <w:sz w:val="24"/>
                <w:szCs w:val="24"/>
              </w:rPr>
              <w:t>“</w:t>
            </w:r>
          </w:p>
          <w:p w14:paraId="12707B43" w14:textId="45E9BA22" w:rsidR="00E72911" w:rsidRPr="00E72911" w:rsidRDefault="00E72911" w:rsidP="00AE11F6">
            <w:pPr>
              <w:pStyle w:val="Sraopastraipa"/>
              <w:tabs>
                <w:tab w:val="left" w:pos="165"/>
              </w:tabs>
              <w:spacing w:after="0" w:line="240" w:lineRule="auto"/>
              <w:ind w:left="0"/>
              <w:jc w:val="both"/>
              <w:rPr>
                <w:rFonts w:ascii="Times New Roman" w:hAnsi="Times New Roman" w:cs="Times New Roman"/>
                <w:sz w:val="24"/>
                <w:szCs w:val="24"/>
              </w:rPr>
            </w:pPr>
            <w:r w:rsidRPr="00E72911">
              <w:rPr>
                <w:rFonts w:ascii="Times New Roman" w:hAnsi="Times New Roman" w:cs="Times New Roman"/>
                <w:sz w:val="24"/>
                <w:szCs w:val="24"/>
              </w:rPr>
              <w:t>Atsižvelgiant į tai, Nutarimo projektu, įgyvendinant reglamento (ES) 2021/241 nuostatas Finansų ministerijai yra pavedama organizuoti Plano parengimą, derinimą ir pateikimą Europos Komisijai, o kitoms ministerijoms ir įstaigoms dalyvauti Plano rengime, t. y. rengti atitinkamas Plano dalis, taip pat teikti pastabas ir pasiūlymus dėl jo. Vadovaujantis SVM nuostatomis siūloma Finansų ministerija paskirti Plano vadovaujančiąja institucija ir Plano audito institucija, o CPVA – Plano administruojančiąja institucija. Taisyklių projektu šioms institucijoms siūloma paskirstyti funkcijas, atitinkančias reglamente (ES) 2021/241 nustatytas funkcijas ir funkcijas, kurios priskiriamos šių institucijų kompetencijai, atsižvelgiant į SVM nustatytas atsakomybės ribas. Atsižvelgiant į tai, Nutarimo ir Taisyklių projektai yra suderinti su kitais teisės aktais.</w:t>
            </w:r>
          </w:p>
          <w:p w14:paraId="32968FBB" w14:textId="77777777" w:rsidR="00E72911" w:rsidRPr="00E72911" w:rsidRDefault="00E72911" w:rsidP="009F7638">
            <w:pPr>
              <w:pStyle w:val="Sraopastraipa"/>
              <w:tabs>
                <w:tab w:val="left" w:pos="165"/>
              </w:tabs>
              <w:spacing w:after="0" w:line="240" w:lineRule="auto"/>
              <w:ind w:left="0"/>
              <w:jc w:val="both"/>
              <w:rPr>
                <w:rFonts w:ascii="Times New Roman" w:hAnsi="Times New Roman" w:cs="Times New Roman"/>
                <w:sz w:val="24"/>
                <w:szCs w:val="24"/>
              </w:rPr>
            </w:pPr>
          </w:p>
          <w:p w14:paraId="589F90AA" w14:textId="4F67918D" w:rsidR="00E72911" w:rsidRPr="00E72911" w:rsidRDefault="00E72911" w:rsidP="00686C90">
            <w:pPr>
              <w:pStyle w:val="Sraopastraipa"/>
              <w:tabs>
                <w:tab w:val="left" w:pos="165"/>
              </w:tabs>
              <w:spacing w:after="0" w:line="240" w:lineRule="auto"/>
              <w:ind w:left="0"/>
              <w:jc w:val="both"/>
              <w:rPr>
                <w:rFonts w:ascii="Times New Roman" w:hAnsi="Times New Roman" w:cs="Times New Roman"/>
                <w:sz w:val="24"/>
                <w:szCs w:val="24"/>
                <w:lang w:val="en-US"/>
              </w:rPr>
            </w:pPr>
            <w:r w:rsidRPr="00E72911">
              <w:rPr>
                <w:rFonts w:ascii="Times New Roman" w:hAnsi="Times New Roman" w:cs="Times New Roman"/>
                <w:sz w:val="24"/>
                <w:szCs w:val="24"/>
              </w:rPr>
              <w:t xml:space="preserve">Reglamentas (ES) 2021/241 finansinių priemonių planavimui ir administravimui nenustato jokių specialių reikalavimų, įskaitant ir su jų planavimu ir (ar) administravimu susijusių funkcijų. Siekiant, kad finansinių priemonių administravimas būtų kuo paprastesnis planuojama, kad finansinių priemonių atranka ir sutarčių sudarymas vyks analogiškai, kaip finansinių priemonių, finansuojamų valstybės biudžeto lėšomis, atveju. Finansų ministerija rengia finansinių priemonių administravimo tvarką, kurioje bus nustatyta, kad </w:t>
            </w:r>
            <w:proofErr w:type="gramStart"/>
            <w:r w:rsidRPr="00E72911">
              <w:rPr>
                <w:rFonts w:ascii="Times New Roman" w:hAnsi="Times New Roman" w:cs="Times New Roman"/>
                <w:sz w:val="24"/>
                <w:szCs w:val="24"/>
              </w:rPr>
              <w:t>minėti</w:t>
            </w:r>
            <w:proofErr w:type="gramEnd"/>
            <w:r w:rsidRPr="00E72911">
              <w:rPr>
                <w:rFonts w:ascii="Times New Roman" w:hAnsi="Times New Roman" w:cs="Times New Roman"/>
                <w:sz w:val="24"/>
                <w:szCs w:val="24"/>
              </w:rPr>
              <w:t xml:space="preserve"> veiksmai vykdomi vadovaujantis Nacionalinės plėtros įstaigos skatinamojo finansavimo poreikio vertinimo tvarkos aprašu</w:t>
            </w:r>
            <w:r w:rsidRPr="00E72911">
              <w:rPr>
                <w:rStyle w:val="Puslapioinaosnuoroda"/>
                <w:rFonts w:ascii="Times New Roman" w:hAnsi="Times New Roman" w:cs="Times New Roman"/>
                <w:sz w:val="24"/>
                <w:szCs w:val="24"/>
              </w:rPr>
              <w:footnoteReference w:id="4"/>
            </w:r>
            <w:r w:rsidRPr="00E72911">
              <w:rPr>
                <w:rFonts w:ascii="Times New Roman" w:hAnsi="Times New Roman" w:cs="Times New Roman"/>
                <w:sz w:val="24"/>
                <w:szCs w:val="24"/>
              </w:rPr>
              <w:t>. Atsižvelgiant į tai, kad tiek projektų, finansuojamų subsidijų būdu, tiek projektų, finansuojamų per finansines priemones, atveju VKS turi užtikrinti išlaidų atitiktį ES ir nacionaliniams teisės aktams, o nustačius pažeidimus imtis priemonių dėl lėšų susigrąžinimo, šias funkcijas vieningai atliks administruojančioji institucija. Atkreipiame dėmesį, kad nacionalinės plėtros įstaigos administruojant finansines priemones veikia kaip projekto vykdytojai. Pažymime, kad Taisyklių projektas nereglamentuoja projektų vykdytojų atliekamų veiksmų ir jiems taikomų reikalavimų. Šiuos aspektus nustatys nustato projektų administravimo ir finansavimo bei finansinių priemonių administravimo tvarkos.</w:t>
            </w:r>
            <w:r w:rsidRPr="00E72911">
              <w:rPr>
                <w:rFonts w:ascii="&amp;quot" w:hAnsi="&amp;quot"/>
                <w:lang w:val="en-US"/>
              </w:rPr>
              <w:t xml:space="preserve"> </w:t>
            </w:r>
          </w:p>
        </w:tc>
      </w:tr>
      <w:tr w:rsidR="00E72911" w:rsidRPr="00126601" w14:paraId="7861689A" w14:textId="77777777" w:rsidTr="00EB321B">
        <w:tc>
          <w:tcPr>
            <w:tcW w:w="452" w:type="pct"/>
            <w:tcBorders>
              <w:top w:val="single" w:sz="4" w:space="0" w:color="auto"/>
              <w:left w:val="single" w:sz="4" w:space="0" w:color="auto"/>
              <w:bottom w:val="single" w:sz="4" w:space="0" w:color="auto"/>
              <w:right w:val="single" w:sz="4" w:space="0" w:color="auto"/>
            </w:tcBorders>
            <w:shd w:val="clear" w:color="auto" w:fill="auto"/>
          </w:tcPr>
          <w:p w14:paraId="7CAEE298" w14:textId="4CFF0986" w:rsidR="00E72911" w:rsidRPr="00447D9E" w:rsidRDefault="00E72911" w:rsidP="005F26E3">
            <w:pPr>
              <w:pStyle w:val="Sraopastraipa"/>
              <w:numPr>
                <w:ilvl w:val="0"/>
                <w:numId w:val="1"/>
              </w:numPr>
              <w:spacing w:after="0" w:line="240" w:lineRule="auto"/>
              <w:jc w:val="both"/>
              <w:rPr>
                <w:rFonts w:ascii="Times New Roman" w:hAnsi="Times New Roman" w:cs="Times New Roman"/>
                <w:b/>
                <w:sz w:val="24"/>
                <w:szCs w:val="24"/>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5C37D488" w14:textId="108CE8BB" w:rsidR="00E72911" w:rsidRPr="00447D9E" w:rsidRDefault="00E72911" w:rsidP="005F26E3">
            <w:pPr>
              <w:spacing w:after="0" w:line="240" w:lineRule="auto"/>
              <w:jc w:val="both"/>
              <w:rPr>
                <w:rFonts w:ascii="Times New Roman" w:hAnsi="Times New Roman" w:cs="Times New Roman"/>
                <w:sz w:val="24"/>
                <w:szCs w:val="24"/>
              </w:rPr>
            </w:pPr>
            <w:r w:rsidRPr="00447D9E">
              <w:rPr>
                <w:rFonts w:ascii="Times New Roman" w:hAnsi="Times New Roman" w:cs="Times New Roman"/>
                <w:sz w:val="24"/>
                <w:szCs w:val="24"/>
              </w:rPr>
              <w:t>Lietuvos Respublikos žemės ūkio ministerija (toliau – ŽŪM)</w:t>
            </w:r>
          </w:p>
        </w:tc>
        <w:tc>
          <w:tcPr>
            <w:tcW w:w="1437" w:type="pct"/>
            <w:tcBorders>
              <w:top w:val="single" w:sz="4" w:space="0" w:color="auto"/>
              <w:left w:val="single" w:sz="4" w:space="0" w:color="auto"/>
              <w:bottom w:val="single" w:sz="4" w:space="0" w:color="auto"/>
              <w:right w:val="single" w:sz="4" w:space="0" w:color="auto"/>
            </w:tcBorders>
            <w:shd w:val="clear" w:color="auto" w:fill="auto"/>
          </w:tcPr>
          <w:p w14:paraId="093AF9CB" w14:textId="70DD288C" w:rsidR="00E72911" w:rsidRPr="00447D9E" w:rsidRDefault="00E72911" w:rsidP="00DF4087">
            <w:pPr>
              <w:tabs>
                <w:tab w:val="left" w:pos="993"/>
              </w:tabs>
              <w:overflowPunct w:val="0"/>
              <w:autoSpaceDE w:val="0"/>
              <w:autoSpaceDN w:val="0"/>
              <w:adjustRightInd w:val="0"/>
              <w:spacing w:after="0" w:line="240" w:lineRule="auto"/>
              <w:jc w:val="both"/>
              <w:textAlignment w:val="baseline"/>
              <w:rPr>
                <w:rFonts w:ascii="Times New Roman" w:hAnsi="Times New Roman" w:cs="Times New Roman"/>
                <w:bCs/>
                <w:sz w:val="24"/>
                <w:szCs w:val="24"/>
              </w:rPr>
            </w:pPr>
            <w:r w:rsidRPr="00447D9E">
              <w:rPr>
                <w:rFonts w:ascii="Times New Roman" w:hAnsi="Times New Roman" w:cs="Times New Roman"/>
                <w:sz w:val="24"/>
                <w:szCs w:val="24"/>
              </w:rPr>
              <w:t xml:space="preserve">Nutarimo projektu nustatoma, kad CPVA </w:t>
            </w:r>
            <w:r w:rsidRPr="00447D9E">
              <w:rPr>
                <w:rFonts w:ascii="Times New Roman" w:eastAsia="Calibri" w:hAnsi="Times New Roman" w:cs="Times New Roman"/>
                <w:sz w:val="24"/>
                <w:szCs w:val="24"/>
                <w:lang w:eastAsia="lt-LT"/>
              </w:rPr>
              <w:t xml:space="preserve">bus vienintelė Plano </w:t>
            </w:r>
            <w:r w:rsidRPr="00447D9E">
              <w:rPr>
                <w:rFonts w:ascii="Times New Roman" w:hAnsi="Times New Roman" w:cs="Times New Roman"/>
                <w:sz w:val="24"/>
                <w:szCs w:val="24"/>
              </w:rPr>
              <w:t xml:space="preserve">administruojančioji institucija. Atkreipiame dėmesį, kad prie investicijos ,,ŠESD absorbcinių pajėgumų didinimas“ (toliau </w:t>
            </w:r>
            <w:r w:rsidRPr="00447D9E">
              <w:rPr>
                <w:rFonts w:ascii="Times New Roman" w:hAnsi="Times New Roman" w:cs="Times New Roman"/>
                <w:sz w:val="24"/>
                <w:szCs w:val="24"/>
              </w:rPr>
              <w:softHyphen/>
            </w:r>
            <w:r w:rsidRPr="00447D9E">
              <w:rPr>
                <w:rFonts w:ascii="Times New Roman" w:hAnsi="Times New Roman" w:cs="Times New Roman"/>
                <w:sz w:val="24"/>
                <w:szCs w:val="24"/>
              </w:rPr>
              <w:softHyphen/>
              <w:t xml:space="preserve">– investicija), rodiklio įrašyta Nacionalinė mokėjimo agentūra (toliau – NMA), kaip įgyvendinančioji institucija. NMA nurodyta ir kaip administravimui skirtų lėšų gavėja (skaičiuojant investicijos išlaidas, numatyta NMA skirti iki 7 proc. administracinėms </w:t>
            </w:r>
            <w:r w:rsidRPr="00447D9E">
              <w:rPr>
                <w:rFonts w:ascii="Times New Roman" w:hAnsi="Times New Roman" w:cs="Times New Roman"/>
                <w:sz w:val="24"/>
                <w:szCs w:val="24"/>
              </w:rPr>
              <w:lastRenderedPageBreak/>
              <w:t xml:space="preserve">išlaidoms). Rengiant </w:t>
            </w:r>
            <w:r w:rsidRPr="00447D9E">
              <w:rPr>
                <w:rFonts w:ascii="Times New Roman" w:eastAsia="Calibri" w:hAnsi="Times New Roman" w:cs="Times New Roman"/>
                <w:sz w:val="24"/>
                <w:szCs w:val="24"/>
                <w:lang w:eastAsia="lt-LT"/>
              </w:rPr>
              <w:t>Planą, klausta</w:t>
            </w:r>
            <w:r w:rsidRPr="00447D9E">
              <w:rPr>
                <w:rFonts w:ascii="Times New Roman" w:hAnsi="Times New Roman" w:cs="Times New Roman"/>
                <w:sz w:val="24"/>
                <w:szCs w:val="24"/>
              </w:rPr>
              <w:t xml:space="preserve"> Finansų ministerijos, ar administravimo išlaidas numatyti nuo bendrosios investicijos sumos, ar tai bus iš 15 proc., skirtų </w:t>
            </w:r>
            <w:r w:rsidRPr="00447D9E">
              <w:rPr>
                <w:rFonts w:ascii="Times New Roman" w:eastAsia="Calibri" w:hAnsi="Times New Roman" w:cs="Times New Roman"/>
                <w:sz w:val="24"/>
                <w:szCs w:val="24"/>
                <w:lang w:eastAsia="lt-LT"/>
              </w:rPr>
              <w:t xml:space="preserve">Planui administruoti. Gautas FM atsakymas – reikėtų šiek tiek labiau detalizuoti, kad tai tiesiog personalo ir kitos išlaidos projektui administruoti, kurių poreikio, projektui pasibaigus, nebebus. Pastebėjimų, kad NMA negali būti administruojanti institucija, negavome. Atsižvelgdami į tai, šiuo metu rengiame administravimo taisykles ir dokumentus, reikalingus notifikuoti valstybės pagalbą. Pažymime, kad per Nutarimo projekto rengimo eigą </w:t>
            </w:r>
            <w:r w:rsidRPr="00447D9E">
              <w:rPr>
                <w:rFonts w:ascii="Times New Roman" w:hAnsi="Times New Roman" w:cs="Times New Roman"/>
                <w:sz w:val="24"/>
                <w:szCs w:val="24"/>
              </w:rPr>
              <w:t xml:space="preserve">ŽŪM nebuvo informuota apie šio teisės akto turinį bei nedalyvavo, kai buvo inicijuotas neoficialus derinimas.  Kyla abejonių, ar CPVA pajėgs sutikrinti paramos gavėjų tinkamumą, ar yra pasiruošusi ir geba suadministruoti 1 000 ir daugiau projektų. Pažymime, kad planuojami nedideli projektai (bendras planuojamas atkurti pelkių (durpžemių) plotas 8 000 ha). Be to, pastebime, kad šioje schemoje dalyvaus ir savivaldybės, kurios, pagal numatomą administravimo schemą, teiks projektų sąmatas. Plane numatoma, jog atlikus investiciją, pareiškėjai vykdys tęstinius įsipareigojimus už atkurtų pelkių priežiūrą, gaudami kompensacines išmokas naujuoju programiniu laikotarpiu pagal Lietuvos </w:t>
            </w:r>
            <w:r w:rsidRPr="00447D9E">
              <w:rPr>
                <w:rFonts w:ascii="Times New Roman" w:hAnsi="Times New Roman" w:cs="Times New Roman"/>
                <w:sz w:val="24"/>
                <w:szCs w:val="24"/>
              </w:rPr>
              <w:lastRenderedPageBreak/>
              <w:t>žemės ūkio ir kaimo plėtros 2023</w:t>
            </w:r>
            <w:r w:rsidRPr="00447D9E">
              <w:rPr>
                <w:rFonts w:ascii="Times New Roman" w:hAnsi="Times New Roman" w:cs="Times New Roman"/>
                <w:i/>
                <w:iCs/>
                <w:sz w:val="24"/>
                <w:szCs w:val="24"/>
              </w:rPr>
              <w:t>–</w:t>
            </w:r>
            <w:r w:rsidRPr="00447D9E">
              <w:rPr>
                <w:rFonts w:ascii="Times New Roman" w:hAnsi="Times New Roman" w:cs="Times New Roman"/>
                <w:sz w:val="24"/>
                <w:szCs w:val="24"/>
              </w:rPr>
              <w:t xml:space="preserve">2027 m. strateginiame plane numatytą priemonę. Trūksta informacijos, kokiu būdu ir kaip vyktų sklandus informacijos perdavimas iš CPVA į NMA. Taip pat atkreipiame dėmesį į ŽŪM pasirengimą dėl valstybės pagalbos priemonių taikymo. Yra patvirtintos </w:t>
            </w:r>
            <w:r w:rsidRPr="00447D9E">
              <w:rPr>
                <w:rFonts w:ascii="Times New Roman" w:hAnsi="Times New Roman" w:cs="Times New Roman"/>
                <w:sz w:val="24"/>
                <w:szCs w:val="24"/>
                <w:lang w:eastAsia="lt-LT"/>
              </w:rPr>
              <w:t>Valstybės pagalbos žemės ūkiui, maisto ūkiui, žuvininkystei ir kaimo plėtrai ir kitų iš valstybės biudžeto lėšų finansuojamų priemonių bendrosios administravimo taisyklės</w:t>
            </w:r>
            <w:r w:rsidRPr="00447D9E">
              <w:rPr>
                <w:rStyle w:val="Puslapioinaosnuoroda"/>
                <w:rFonts w:ascii="Times New Roman" w:hAnsi="Times New Roman" w:cs="Times New Roman"/>
                <w:sz w:val="24"/>
                <w:szCs w:val="24"/>
                <w:lang w:eastAsia="lt-LT"/>
              </w:rPr>
              <w:footnoteReference w:id="5"/>
            </w:r>
            <w:r w:rsidRPr="00447D9E">
              <w:rPr>
                <w:rFonts w:ascii="Times New Roman" w:hAnsi="Times New Roman" w:cs="Times New Roman"/>
                <w:sz w:val="24"/>
                <w:szCs w:val="24"/>
                <w:lang w:eastAsia="lt-LT"/>
              </w:rPr>
              <w:t>, kurios taikomos rengiant visų ŽŪM vykdomų valstybės pagalbos priemonių įgyvendinimo taisykles, taip pat Grąžintinų lėšų, susidariusių įgyvendinant valstybės pagalbos žemės ūkiui, maisto ūkiui, žuvininkystei ir kaimo plėtrai ir kitas iš valstybės biudžeto lėšų finansuojamas priemones, administravimo taisyklės</w:t>
            </w:r>
            <w:r w:rsidRPr="00447D9E">
              <w:rPr>
                <w:rStyle w:val="Puslapioinaosnuoroda"/>
                <w:rFonts w:ascii="Times New Roman" w:hAnsi="Times New Roman" w:cs="Times New Roman"/>
                <w:sz w:val="24"/>
                <w:szCs w:val="24"/>
                <w:lang w:eastAsia="lt-LT"/>
              </w:rPr>
              <w:footnoteReference w:id="6"/>
            </w:r>
            <w:r w:rsidRPr="00447D9E">
              <w:rPr>
                <w:rFonts w:ascii="Times New Roman" w:hAnsi="Times New Roman" w:cs="Times New Roman"/>
                <w:sz w:val="24"/>
                <w:szCs w:val="24"/>
                <w:lang w:eastAsia="lt-LT"/>
              </w:rPr>
              <w:t>, kuriose nustatytos privalomų grąžinti lėšų susigrąžinimo procedūros, grąžintinų lėšų įskaitymo galimybė, kai skolininkui skiriama parama pagal kitas NMA administruojamas priemones, ir kt.</w:t>
            </w:r>
            <w:r w:rsidRPr="00447D9E">
              <w:rPr>
                <w:rFonts w:ascii="Times New Roman" w:hAnsi="Times New Roman" w:cs="Times New Roman"/>
                <w:sz w:val="24"/>
                <w:szCs w:val="24"/>
              </w:rPr>
              <w:t xml:space="preserve">          Remdamiesi pirmiau išdėstytais argumentais, manome, kad reikalinga </w:t>
            </w:r>
            <w:r w:rsidRPr="00447D9E">
              <w:rPr>
                <w:rFonts w:ascii="Times New Roman" w:hAnsi="Times New Roman" w:cs="Times New Roman"/>
                <w:sz w:val="24"/>
                <w:szCs w:val="24"/>
              </w:rPr>
              <w:lastRenderedPageBreak/>
              <w:t>detalesnė informacija apie kitų institucijų bei šakinių ministerijų atsakomybes, santykius su vadovaujančiąja ir administruojančiąja institucija, todėl siūlytume NMA paskirti administruojančiąja institucija arba ŽŪM traktuoti kaip skėtinį projektą, kurio vykdytoja būtų NMA</w:t>
            </w:r>
            <w:r w:rsidRPr="00447D9E">
              <w:rPr>
                <w:rFonts w:ascii="Times New Roman" w:hAnsi="Times New Roman" w:cs="Times New Roman"/>
                <w:bCs/>
                <w:sz w:val="24"/>
                <w:szCs w:val="24"/>
              </w:rPr>
              <w:t>.</w:t>
            </w:r>
          </w:p>
          <w:p w14:paraId="33690159" w14:textId="77777777" w:rsidR="00E72911" w:rsidRPr="00447D9E" w:rsidRDefault="00E72911" w:rsidP="00506EA3">
            <w:pPr>
              <w:spacing w:after="0" w:line="240" w:lineRule="auto"/>
              <w:jc w:val="both"/>
              <w:rPr>
                <w:rFonts w:ascii="Times New Roman" w:hAnsi="Times New Roman" w:cs="Times New Roman"/>
                <w:sz w:val="24"/>
                <w:szCs w:val="24"/>
              </w:rPr>
            </w:pPr>
          </w:p>
        </w:tc>
        <w:tc>
          <w:tcPr>
            <w:tcW w:w="2639" w:type="pct"/>
            <w:tcBorders>
              <w:top w:val="single" w:sz="4" w:space="0" w:color="auto"/>
              <w:left w:val="single" w:sz="4" w:space="0" w:color="auto"/>
              <w:bottom w:val="single" w:sz="4" w:space="0" w:color="auto"/>
              <w:right w:val="single" w:sz="4" w:space="0" w:color="auto"/>
            </w:tcBorders>
            <w:shd w:val="clear" w:color="auto" w:fill="auto"/>
          </w:tcPr>
          <w:p w14:paraId="207E7E64" w14:textId="6C5D72D1" w:rsidR="00E72911" w:rsidRPr="00447D9E" w:rsidRDefault="00E72911" w:rsidP="00C76E23">
            <w:pPr>
              <w:spacing w:after="0" w:line="240" w:lineRule="auto"/>
              <w:jc w:val="both"/>
              <w:rPr>
                <w:rFonts w:ascii="Times New Roman" w:hAnsi="Times New Roman" w:cs="Times New Roman"/>
                <w:sz w:val="24"/>
                <w:szCs w:val="24"/>
              </w:rPr>
            </w:pPr>
            <w:r w:rsidRPr="00447D9E">
              <w:rPr>
                <w:rFonts w:ascii="Times New Roman" w:hAnsi="Times New Roman" w:cs="Times New Roman"/>
                <w:b/>
                <w:sz w:val="24"/>
                <w:szCs w:val="24"/>
              </w:rPr>
              <w:lastRenderedPageBreak/>
              <w:t>Paaiškinimas.</w:t>
            </w:r>
            <w:r w:rsidRPr="00447D9E">
              <w:rPr>
                <w:rFonts w:ascii="Times New Roman" w:hAnsi="Times New Roman" w:cs="Times New Roman"/>
                <w:sz w:val="24"/>
                <w:szCs w:val="24"/>
              </w:rPr>
              <w:t xml:space="preserve"> </w:t>
            </w:r>
            <w:r w:rsidRPr="00447D9E">
              <w:rPr>
                <w:rFonts w:ascii="Times New Roman" w:hAnsi="Times New Roman" w:cs="Times New Roman"/>
                <w:b/>
                <w:sz w:val="24"/>
                <w:szCs w:val="24"/>
              </w:rPr>
              <w:t>Dėl ministerijų atsakomybės</w:t>
            </w:r>
            <w:r w:rsidRPr="00447D9E">
              <w:rPr>
                <w:rFonts w:ascii="Times New Roman" w:hAnsi="Times New Roman" w:cs="Times New Roman"/>
                <w:sz w:val="24"/>
                <w:szCs w:val="24"/>
              </w:rPr>
              <w:t>. Kaip jau buvo nurodyta, ES lėšos, skirtos Planui įgyvendinti, priskiriamos</w:t>
            </w:r>
            <w:r w:rsidRPr="00447D9E">
              <w:rPr>
                <w:rFonts w:ascii="Times New Roman" w:hAnsi="Times New Roman" w:cs="Times New Roman"/>
                <w:bCs/>
                <w:sz w:val="24"/>
                <w:szCs w:val="24"/>
              </w:rPr>
              <w:t xml:space="preserve"> Nacionalinio pažangos plano </w:t>
            </w:r>
            <w:r w:rsidRPr="00447D9E">
              <w:rPr>
                <w:rFonts w:ascii="Times New Roman" w:hAnsi="Times New Roman" w:cs="Times New Roman"/>
                <w:sz w:val="24"/>
                <w:szCs w:val="24"/>
              </w:rPr>
              <w:t>pažangos lėšoms, o pagal Planą vykdomos veiklos – pažangos veikloms. Vadovaujantis SVM 110 p. „</w:t>
            </w:r>
            <w:r w:rsidRPr="00447D9E">
              <w:rPr>
                <w:rFonts w:ascii="Times New Roman" w:hAnsi="Times New Roman" w:cs="Times New Roman"/>
                <w:i/>
                <w:sz w:val="24"/>
                <w:szCs w:val="24"/>
              </w:rPr>
              <w:t>Visos pažangos veiklos, nepriklausomai nuo finansavimo šaltinio, planuojamos, administruojamos ir įgyvendinamos vadovaujantis Metodika</w:t>
            </w:r>
            <w:r w:rsidRPr="00447D9E">
              <w:rPr>
                <w:rFonts w:ascii="Times New Roman" w:hAnsi="Times New Roman" w:cs="Times New Roman"/>
                <w:sz w:val="24"/>
                <w:szCs w:val="24"/>
              </w:rPr>
              <w:t xml:space="preserve">. &lt;...&gt;“. Atsižvelgiant į tai, ministerijų atsakomybės planuojant pažangos veiklas, nustatant jų finansavimo sąlygas, stebint įgyvendinimą ir pan. yra apibrėžtos SVM. Pavyzdžiui, ministerijos, rengdamos nacionalines plėtros programas ir nacionalinių plėtros programų pažangos priemonių aprašymus, </w:t>
            </w:r>
            <w:r w:rsidRPr="00447D9E">
              <w:rPr>
                <w:rFonts w:ascii="Times New Roman" w:hAnsi="Times New Roman" w:cs="Times New Roman"/>
                <w:bCs/>
                <w:sz w:val="24"/>
                <w:szCs w:val="24"/>
              </w:rPr>
              <w:t xml:space="preserve">atlieka sprendžiamos problemos analizę ir pateikia išvadas, nurodo priežastis, kurios turi būti šalinamos sprendžiamos problemos ir priemones, kuriomis bus sprendžiama </w:t>
            </w:r>
            <w:r w:rsidRPr="00447D9E">
              <w:rPr>
                <w:rFonts w:ascii="Times New Roman" w:hAnsi="Times New Roman" w:cs="Times New Roman"/>
                <w:bCs/>
                <w:sz w:val="24"/>
                <w:szCs w:val="24"/>
              </w:rPr>
              <w:lastRenderedPageBreak/>
              <w:t xml:space="preserve">problema (69.1.5 p.); nurodo būtinas sąlygas, nuo kurių priklauso efektyvus pažangos priemonės įgyvendinimas </w:t>
            </w:r>
            <w:proofErr w:type="gramStart"/>
            <w:r w:rsidRPr="00447D9E">
              <w:rPr>
                <w:rFonts w:ascii="Times New Roman" w:hAnsi="Times New Roman" w:cs="Times New Roman"/>
                <w:bCs/>
                <w:sz w:val="24"/>
                <w:szCs w:val="24"/>
              </w:rPr>
              <w:t>(</w:t>
            </w:r>
            <w:proofErr w:type="gramEnd"/>
            <w:r w:rsidRPr="00447D9E">
              <w:rPr>
                <w:rFonts w:ascii="Times New Roman" w:hAnsi="Times New Roman" w:cs="Times New Roman"/>
                <w:bCs/>
                <w:sz w:val="24"/>
                <w:szCs w:val="24"/>
              </w:rPr>
              <w:t>69.3.1 p.); nurodo rezultato rodiklius bei jų pradinę  ir planuojamą galutinę reikšmę (69.3.2 p.); nustato siekiamą pažangos priemonės poveikį, tikslinę grupę, laukiamą pokytį, įgyvendinimo teritoriją ir erdvinius apribojimus, detalizuoja pažangos priemonės poreikį (</w:t>
            </w:r>
            <w:r w:rsidRPr="00447D9E">
              <w:rPr>
                <w:rFonts w:ascii="Times New Roman" w:hAnsi="Times New Roman" w:cs="Times New Roman"/>
                <w:bCs/>
                <w:sz w:val="24"/>
                <w:szCs w:val="24"/>
                <w:lang w:val="en-US"/>
              </w:rPr>
              <w:t>81.1 p.)</w:t>
            </w:r>
            <w:r w:rsidRPr="00447D9E">
              <w:rPr>
                <w:rFonts w:ascii="Times New Roman" w:hAnsi="Times New Roman" w:cs="Times New Roman"/>
                <w:bCs/>
                <w:sz w:val="24"/>
                <w:szCs w:val="24"/>
              </w:rPr>
              <w:t>; atlieka pažangos priemonės įgyvendinimo alternatyvų, siekiant norimo poveikio, analizę ir pasirenka įgyvendinti geriausią alternatyvą (81.2 p.);</w:t>
            </w:r>
            <w:r w:rsidRPr="00447D9E">
              <w:rPr>
                <w:rFonts w:ascii="Times New Roman" w:hAnsi="Times New Roman" w:cs="Times New Roman"/>
                <w:bCs/>
                <w:sz w:val="24"/>
                <w:szCs w:val="24"/>
              </w:rPr>
              <w:tab/>
              <w:t>nustato galimus projektų vykdytojus arba pareiškėjus, kai projektai atrenkami konkurso būdu, projektų atrankos būdus, finansavimo formą, apimtį ir finansavimo šaltinius, įgyvendinimo pradžią ir pabaigą, galimybę prisidėti prie horizontaliųjų principų įgyvendinimo, valstybės pagalbos teikimą (81.3 p.); nustato pažangos priemonės finansavimo apimtis, detalizuoja reikalingas lėšas pagal finansavimo šaltinius (</w:t>
            </w:r>
            <w:r w:rsidRPr="00447D9E">
              <w:rPr>
                <w:rFonts w:ascii="Times New Roman" w:hAnsi="Times New Roman" w:cs="Times New Roman"/>
                <w:bCs/>
                <w:sz w:val="24"/>
                <w:szCs w:val="24"/>
                <w:lang w:val="en-US"/>
              </w:rPr>
              <w:t xml:space="preserve">81.5 p.); </w:t>
            </w:r>
            <w:r w:rsidRPr="00447D9E">
              <w:rPr>
                <w:rFonts w:ascii="Times New Roman" w:hAnsi="Times New Roman" w:cs="Times New Roman"/>
                <w:bCs/>
                <w:sz w:val="24"/>
                <w:szCs w:val="24"/>
              </w:rPr>
              <w:t>pažangos priemonės veikloms ar projektų grupei nustato specialiuosius ir prioritetinius projektų atrankos kriterijus (81.6 p.);</w:t>
            </w:r>
            <w:r w:rsidRPr="00447D9E">
              <w:rPr>
                <w:rFonts w:ascii="Times New Roman" w:hAnsi="Times New Roman" w:cs="Times New Roman"/>
                <w:bCs/>
                <w:sz w:val="24"/>
                <w:szCs w:val="24"/>
              </w:rPr>
              <w:tab/>
              <w:t xml:space="preserve">numato galimus pažangos priemonės projektų vykdytojus (81.7 p.) ir t. t. Taip pat SVM apibrėžta vadovaujančiosios institucijos atsakomybė: SVM  </w:t>
            </w:r>
            <w:r w:rsidRPr="00447D9E">
              <w:rPr>
                <w:rFonts w:ascii="Times New Roman" w:hAnsi="Times New Roman" w:cs="Times New Roman"/>
                <w:sz w:val="24"/>
                <w:szCs w:val="24"/>
              </w:rPr>
              <w:t xml:space="preserve">2.5 p. nustatyta, kad vadovaujančioji institucija </w:t>
            </w:r>
            <w:r w:rsidRPr="00447D9E">
              <w:rPr>
                <w:rFonts w:ascii="Times New Roman" w:hAnsi="Times New Roman" w:cs="Times New Roman"/>
                <w:i/>
                <w:sz w:val="24"/>
                <w:szCs w:val="24"/>
              </w:rPr>
              <w:t>„&lt;...&gt; atsakinga už ES ir kitos tarptautinės finansinės paramos lėšų ir (ar) kitų finansavimo šaltinių lėšų administravimą ir konkretaus ES ar kitos tarptautinės paramos finansavimo šaltinio programavimo dokumento įgyvendinimo reikalavimų laikymosi užtikrinimą.</w:t>
            </w:r>
            <w:r w:rsidRPr="00447D9E">
              <w:rPr>
                <w:rFonts w:ascii="Times New Roman" w:hAnsi="Times New Roman" w:cs="Times New Roman"/>
                <w:sz w:val="24"/>
                <w:szCs w:val="24"/>
              </w:rPr>
              <w:t xml:space="preserve">“ Atitinkamai, ministerijų ir vadovaujančiosios institucijos atsakomybės sritys yra nustatytos ir atskirtos SVM, pagal kurią ministerijos yra atsakingos už investicijų planavimą, finansavimo sąlygų (įskaitant ir valstybės pagalbos schemų nustatymą), atrankos kriterijų nustatymą, konkrečių pažangos veiklų įgyvendinimo </w:t>
            </w:r>
            <w:proofErr w:type="spellStart"/>
            <w:r w:rsidRPr="00447D9E">
              <w:rPr>
                <w:rFonts w:ascii="Times New Roman" w:hAnsi="Times New Roman" w:cs="Times New Roman"/>
                <w:sz w:val="24"/>
                <w:szCs w:val="24"/>
              </w:rPr>
              <w:t>stebėseną</w:t>
            </w:r>
            <w:proofErr w:type="spellEnd"/>
            <w:r w:rsidRPr="00447D9E">
              <w:rPr>
                <w:rFonts w:ascii="Times New Roman" w:hAnsi="Times New Roman" w:cs="Times New Roman"/>
                <w:sz w:val="24"/>
                <w:szCs w:val="24"/>
              </w:rPr>
              <w:t xml:space="preserve"> ir pan., o vadovaujančioji instituciją už projektų administravimo tvarkų parengimą, administruojančiosios institucijos vykdomų funkcijų priežiūrą, Plano įgyvendinimo koordinavimą ir atsiskaitymą Europos Komisijai.</w:t>
            </w:r>
          </w:p>
          <w:p w14:paraId="151923CF" w14:textId="3559724A" w:rsidR="00E72911" w:rsidRPr="00447D9E" w:rsidRDefault="00E72911" w:rsidP="00567EC9">
            <w:pPr>
              <w:spacing w:after="0" w:line="240" w:lineRule="auto"/>
              <w:jc w:val="both"/>
              <w:rPr>
                <w:rFonts w:ascii="Times New Roman" w:hAnsi="Times New Roman" w:cs="Times New Roman"/>
                <w:sz w:val="24"/>
                <w:szCs w:val="24"/>
              </w:rPr>
            </w:pPr>
            <w:r w:rsidRPr="00447D9E">
              <w:rPr>
                <w:rFonts w:ascii="Times New Roman" w:hAnsi="Times New Roman" w:cs="Times New Roman"/>
                <w:b/>
                <w:sz w:val="24"/>
                <w:szCs w:val="24"/>
              </w:rPr>
              <w:t>Dėl Plano administravimo tvarkų</w:t>
            </w:r>
            <w:r w:rsidRPr="00447D9E">
              <w:rPr>
                <w:rFonts w:ascii="Times New Roman" w:hAnsi="Times New Roman" w:cs="Times New Roman"/>
                <w:sz w:val="24"/>
                <w:szCs w:val="24"/>
              </w:rPr>
              <w:t xml:space="preserve">. </w:t>
            </w:r>
            <w:r w:rsidR="00180040" w:rsidRPr="00F44A56">
              <w:rPr>
                <w:rFonts w:ascii="Times New Roman" w:hAnsi="Times New Roman" w:cs="Times New Roman"/>
                <w:color w:val="000000"/>
                <w:sz w:val="24"/>
                <w:szCs w:val="24"/>
              </w:rPr>
              <w:t xml:space="preserve">SVM </w:t>
            </w:r>
            <w:r w:rsidR="00180040">
              <w:rPr>
                <w:rFonts w:ascii="Times New Roman" w:hAnsi="Times New Roman" w:cs="Times New Roman"/>
                <w:color w:val="000000"/>
                <w:sz w:val="24"/>
                <w:szCs w:val="24"/>
              </w:rPr>
              <w:t>110 p. nustatyta, kad</w:t>
            </w:r>
            <w:r w:rsidR="00180040" w:rsidRPr="00F44A56">
              <w:rPr>
                <w:rFonts w:ascii="Times New Roman" w:hAnsi="Times New Roman" w:cs="Times New Roman"/>
                <w:color w:val="000000"/>
                <w:sz w:val="24"/>
                <w:szCs w:val="24"/>
              </w:rPr>
              <w:t xml:space="preserve"> „&lt;...&gt;</w:t>
            </w:r>
            <w:r w:rsidR="00180040" w:rsidRPr="00F44A56">
              <w:rPr>
                <w:rFonts w:ascii="Times New Roman" w:hAnsi="Times New Roman" w:cs="Times New Roman"/>
                <w:i/>
                <w:color w:val="000000"/>
                <w:sz w:val="24"/>
                <w:szCs w:val="24"/>
                <w:shd w:val="clear" w:color="auto" w:fill="FFFFFF"/>
              </w:rPr>
              <w:t>Pažangos veikloms įgyvendinti skirtų projektų įgyvendinimo reikalavimus valstybės biudžeto lėšomis finansuojamiems projektams detalizuoja Portfelio valdytojas, o kitų finansavimo šaltinių lėšomis finansuojamiems projektams – vadovaujančiosios institucijos &lt;...&gt;</w:t>
            </w:r>
            <w:r w:rsidR="00180040" w:rsidRPr="00F44A56">
              <w:rPr>
                <w:rFonts w:ascii="Times New Roman" w:hAnsi="Times New Roman" w:cs="Times New Roman"/>
                <w:color w:val="000000"/>
                <w:sz w:val="24"/>
                <w:szCs w:val="24"/>
                <w:shd w:val="clear" w:color="auto" w:fill="FFFFFF"/>
              </w:rPr>
              <w:t>“</w:t>
            </w:r>
            <w:r w:rsidR="00180040">
              <w:rPr>
                <w:rFonts w:ascii="Times New Roman" w:hAnsi="Times New Roman" w:cs="Times New Roman"/>
                <w:color w:val="000000"/>
                <w:sz w:val="24"/>
                <w:szCs w:val="24"/>
                <w:shd w:val="clear" w:color="auto" w:fill="FFFFFF"/>
              </w:rPr>
              <w:t>. SVM 117 p. nustatyta, kad „&lt;...&gt;</w:t>
            </w:r>
            <w:r w:rsidR="00180040" w:rsidRPr="007B3258">
              <w:rPr>
                <w:rFonts w:ascii="Times New Roman" w:hAnsi="Times New Roman" w:cs="Times New Roman"/>
                <w:i/>
                <w:color w:val="000000"/>
                <w:sz w:val="24"/>
                <w:szCs w:val="24"/>
              </w:rPr>
              <w:t xml:space="preserve">Projektai administruojami vadovaujantis Portfelio valdytojo arba vadovaujančiosios </w:t>
            </w:r>
            <w:r w:rsidR="00180040" w:rsidRPr="007B3258">
              <w:rPr>
                <w:rFonts w:ascii="Times New Roman" w:hAnsi="Times New Roman" w:cs="Times New Roman"/>
                <w:i/>
                <w:color w:val="000000"/>
                <w:sz w:val="24"/>
                <w:szCs w:val="24"/>
              </w:rPr>
              <w:lastRenderedPageBreak/>
              <w:t>institucijos (kai projektas finansuojamas iš ES ar kitos tarptautinės paramos finansavimo šaltinių) nustatyta projektų administravimo tvarka</w:t>
            </w:r>
            <w:r w:rsidR="00180040">
              <w:rPr>
                <w:color w:val="000000"/>
              </w:rPr>
              <w:t>“.</w:t>
            </w:r>
            <w:r w:rsidR="00180040" w:rsidRPr="00F44A56">
              <w:rPr>
                <w:rFonts w:ascii="Times New Roman" w:hAnsi="Times New Roman" w:cs="Times New Roman"/>
                <w:color w:val="000000"/>
                <w:sz w:val="24"/>
                <w:szCs w:val="24"/>
                <w:shd w:val="clear" w:color="auto" w:fill="FFFFFF"/>
              </w:rPr>
              <w:t xml:space="preserve"> Atsižvelgiant į tai, projektų, finansuojamų Plano lėšomis, administravimo ir finansavimo tvarkos parengimas yra vadovaujančiosios institucijos atsakomybė. </w:t>
            </w:r>
            <w:r w:rsidR="00180040">
              <w:rPr>
                <w:rFonts w:ascii="Times New Roman" w:hAnsi="Times New Roman" w:cs="Times New Roman"/>
                <w:color w:val="000000"/>
                <w:sz w:val="24"/>
                <w:szCs w:val="24"/>
              </w:rPr>
              <w:t>Informuojame, kad šiuo metu Finansų ministerija rengia k</w:t>
            </w:r>
            <w:r w:rsidR="00180040" w:rsidRPr="00F44A56">
              <w:rPr>
                <w:rFonts w:ascii="Times New Roman" w:hAnsi="Times New Roman" w:cs="Times New Roman"/>
                <w:color w:val="000000"/>
                <w:sz w:val="24"/>
                <w:szCs w:val="24"/>
              </w:rPr>
              <w:t>onkurso būdu atrenkamų projektų ir jungtinių projektų administravimo tvark</w:t>
            </w:r>
            <w:r w:rsidR="00180040">
              <w:rPr>
                <w:rFonts w:ascii="Times New Roman" w:hAnsi="Times New Roman" w:cs="Times New Roman"/>
                <w:color w:val="000000"/>
                <w:sz w:val="24"/>
                <w:szCs w:val="24"/>
              </w:rPr>
              <w:t>ą</w:t>
            </w:r>
            <w:r w:rsidR="00180040" w:rsidRPr="00F44A56">
              <w:rPr>
                <w:rFonts w:ascii="Times New Roman" w:hAnsi="Times New Roman" w:cs="Times New Roman"/>
                <w:color w:val="000000"/>
                <w:sz w:val="24"/>
                <w:szCs w:val="24"/>
              </w:rPr>
              <w:t>. Parengus minėtos administravimo tvarko</w:t>
            </w:r>
            <w:r w:rsidR="00180040">
              <w:rPr>
                <w:rFonts w:ascii="Times New Roman" w:hAnsi="Times New Roman" w:cs="Times New Roman"/>
                <w:color w:val="000000"/>
                <w:sz w:val="24"/>
                <w:szCs w:val="24"/>
              </w:rPr>
              <w:t>s projektą, jis bus derinamas</w:t>
            </w:r>
            <w:r w:rsidR="00180040" w:rsidRPr="00F44A56">
              <w:rPr>
                <w:rFonts w:ascii="Times New Roman" w:hAnsi="Times New Roman" w:cs="Times New Roman"/>
                <w:color w:val="000000"/>
                <w:sz w:val="24"/>
                <w:szCs w:val="24"/>
              </w:rPr>
              <w:t xml:space="preserve"> su ŽŪM, tuo pačiu įvertinant šiuo metu jau egzistuojančias tvarkas.</w:t>
            </w:r>
          </w:p>
          <w:p w14:paraId="5CBA4266" w14:textId="30ECE9BE" w:rsidR="00E72911" w:rsidRPr="00447D9E" w:rsidRDefault="00E72911" w:rsidP="00567EC9">
            <w:pPr>
              <w:spacing w:after="0" w:line="240" w:lineRule="auto"/>
              <w:jc w:val="both"/>
              <w:rPr>
                <w:rFonts w:ascii="Times New Roman" w:hAnsi="Times New Roman" w:cs="Times New Roman"/>
                <w:sz w:val="24"/>
                <w:szCs w:val="24"/>
              </w:rPr>
            </w:pPr>
            <w:r w:rsidRPr="00447D9E">
              <w:rPr>
                <w:rFonts w:ascii="Times New Roman" w:hAnsi="Times New Roman" w:cs="Times New Roman"/>
                <w:b/>
                <w:sz w:val="24"/>
                <w:szCs w:val="24"/>
              </w:rPr>
              <w:t>Dėl administruojančiosios institucijos</w:t>
            </w:r>
            <w:r w:rsidRPr="00447D9E">
              <w:rPr>
                <w:rFonts w:ascii="Times New Roman" w:hAnsi="Times New Roman" w:cs="Times New Roman"/>
                <w:sz w:val="24"/>
                <w:szCs w:val="24"/>
              </w:rPr>
              <w:t xml:space="preserve">. Europos Komisija ne kartą ragino šalis nares ES lėšoms, skiriamoms pagal Ekonomikos gaivinimo ir atsparumo didinimo priemonę, administruoti nekurti skirtingų VKS ir naudoti VKS skirtas ES struktūrinių fondų lėšų administravimui. Tai ne tik padėtų valstybėms narėm nedidinti administracinės naštos dėl atskirų sistemų, procesų ir procedūrų kūrimo, tačiau ir užtikrintų, kad Plano administravimui skirtos VKS bus patikimos, atsižvelgiant į tai, kad joms taikomi griežti reikalavimai, taip pat į tai, kad jos, prieš deklaruojant patirtas išlaidas Europos Komisijai, yra detaliai įvertinamos audito institucijos ir akredituojamos, bei nuolat audituojamas tolesnis jų veikimas. Atsižvelgiant į tai, Plano administravimui skirta VKS kuriama Investicijų programos VKS pagrindu, kurioje tarpinės institucijos funkcijas (atitinka administruojančiosios institucijos funkcijas) atlikti Vyriausybės nutarimu yra pavesta CPVA. Investicijų programai ir Planui administruoti yra kuriama viena VKS: tie patys VKS dalyviai, bendra informacinė sistema, bendra projektų administravimo ir finansavimo tvarka, vieningi procesai ir procedūros, juose nustatant išimtis ir skirtumus tik tiek, kiek to reikalauja reglamentuose įtvirtinti skirtumai. Tokiu būdu mažinama institucijoms tenkanti administracinė našta ir efektyviai naudojami valstybės finansai. Didinti VKS institucijų skaičių į ją įtraukiant NMA būtų netikslinga ir neefektyvu, tai iš esmės reikštų, kad NMA </w:t>
            </w:r>
            <w:r w:rsidRPr="00447D9E">
              <w:rPr>
                <w:rFonts w:ascii="Times New Roman" w:hAnsi="Times New Roman" w:cs="Times New Roman"/>
                <w:sz w:val="24"/>
                <w:szCs w:val="24"/>
              </w:rPr>
              <w:lastRenderedPageBreak/>
              <w:t>vienos priemonės administravimui turėtų susikurti visas procedūras (projektų įgyvendinimo planų vertinimo, mokėjimo prašymų tikrinimo, pažeidimų administravimo procedūras ir pan.). Šios procedūros, NMA žmogiškieji ištekliai ir priskirtos funkcijos turėtų būti detaliai įvertintos Finansų ministerijos, kaip vadovaujančiosios institucijos, kas reikštų, kad vertinamų dokumentų ir audituojamų aspektų apimtys išauga du kartus ir ženkliai padidina tiek administracinę naštą, tiek šiems patikrinimams įgyvendinti reikalingus finansinius išteklius. Taip pat plečiant Plano VKS turėtų būti keičiamas Planas, papildant jį ir detaliai pagrindžiant NMA administracinius gebėjimus, planuojamus žmogiškuosius išteklius ir pan.. bei pakartotinai derinamas su Europos Komisija. Tai reikštų, kad Plano patvirtinimas ir pagal Planą Lietuvą turinčios pasiekti investicijos nusikeltų vėlesniam laikui ir vėluotų prasidėti Plane numatytų reformų įgyvendinimas.</w:t>
            </w:r>
          </w:p>
          <w:p w14:paraId="5E6589B9" w14:textId="49A634E1" w:rsidR="00E72911" w:rsidRPr="00447D9E" w:rsidRDefault="00E72911" w:rsidP="00D63E76">
            <w:pPr>
              <w:spacing w:after="0" w:line="240" w:lineRule="auto"/>
              <w:ind w:firstLine="23"/>
              <w:jc w:val="both"/>
              <w:rPr>
                <w:rFonts w:ascii="Times New Roman" w:eastAsia="Calibri" w:hAnsi="Times New Roman" w:cs="Times New Roman"/>
                <w:sz w:val="24"/>
                <w:szCs w:val="24"/>
              </w:rPr>
            </w:pPr>
            <w:r w:rsidRPr="00447D9E">
              <w:rPr>
                <w:rFonts w:ascii="Times New Roman" w:hAnsi="Times New Roman" w:cs="Times New Roman"/>
                <w:b/>
                <w:sz w:val="24"/>
                <w:szCs w:val="24"/>
              </w:rPr>
              <w:t xml:space="preserve">Dėl jungtinių projektų.  </w:t>
            </w:r>
            <w:r w:rsidRPr="00447D9E">
              <w:rPr>
                <w:rFonts w:ascii="Times New Roman" w:hAnsi="Times New Roman" w:cs="Times New Roman"/>
                <w:sz w:val="24"/>
                <w:szCs w:val="24"/>
              </w:rPr>
              <w:t xml:space="preserve">SVM </w:t>
            </w:r>
            <w:r w:rsidRPr="00447D9E">
              <w:rPr>
                <w:rFonts w:ascii="Times New Roman" w:eastAsia="Times New Roman" w:hAnsi="Times New Roman" w:cs="Times New Roman"/>
                <w:sz w:val="24"/>
                <w:szCs w:val="24"/>
                <w:lang w:eastAsia="lt-LT"/>
              </w:rPr>
              <w:t>111 p. nustatyta, kad projektai, pagal įgyvendinimo būda yra priskiriami: a) pavieniams projektams, už kurių išvystymą, įgyvendinimą ir rezultatų pasiekimą atsako vieno projekto vykdytojas ir b)</w:t>
            </w:r>
            <w:bookmarkStart w:id="1" w:name="part_8733c649fdf64fe98e76db109e13b13e"/>
            <w:bookmarkEnd w:id="1"/>
            <w:r w:rsidRPr="00447D9E">
              <w:rPr>
                <w:rFonts w:ascii="Times New Roman" w:eastAsia="Times New Roman" w:hAnsi="Times New Roman" w:cs="Times New Roman"/>
                <w:sz w:val="24"/>
                <w:szCs w:val="24"/>
                <w:lang w:eastAsia="lt-LT"/>
              </w:rPr>
              <w:t xml:space="preserve"> jungtiniams projektams – projekto vystytojo konkurso būdu atrinkta ir administruojama grupė projektų, kuriais siekiama atskiruose projektuose numatytų tikslų ir juos jungiančio projekto tikslų, arba projekto vykdytojo ir organizacijų partnerių grupės projektas, kurie siekia tame pačiame projekte numatyto tikslo, apimančio visą Lietuvos Respublikos teritoriją. Taip pat Plane nustatyta, kad </w:t>
            </w:r>
            <w:r w:rsidRPr="00447D9E">
              <w:rPr>
                <w:rFonts w:ascii="Times New Roman" w:eastAsia="Calibri" w:hAnsi="Times New Roman" w:cs="Times New Roman"/>
                <w:sz w:val="24"/>
                <w:szCs w:val="24"/>
              </w:rPr>
              <w:t xml:space="preserve">Plano įgyvendinimas bus vykdomas atrenkant ir įgyvendinant konkrečius projektus. Šie projektai galės būti: a) individualūs projektai, kuriuose numatyti tikslai ir uždaviniai geriausiai pasiekiami vykdant pavienius projektus  ir b) projektų grupės, kuriose tikslai ir uždaviniai geriausiai pasiekiami įgyvendinant grupę projektų. Atsižvelgiant į tai, visos pažangos veiklos, skirtos Planui įgyvendinti (įskaitant ir ŽŪM) gali būti įgyvendinamos tiek vykdant pavienius projektus, tiek jungtinius projektus. Vadovaujantis SVM, pati ministerija rengdama nacionalinės plėtros programos pažangos priemonės aprašymą turėtų identifikuoti ir nustatyti kokiu būdu projektus įgyvendinti būtų tikslingiausia. Pažymime, kad Finansų ministerija taip pat konsultavosi su Europos Komisija dėl Plano veiklų, kurioms taikomi valstybės pagalbos reikalavimai, ir gavo Europos Komisijos neformalų atsakymą, kad, Europos </w:t>
            </w:r>
            <w:r w:rsidRPr="00447D9E">
              <w:rPr>
                <w:rFonts w:ascii="Times New Roman" w:eastAsia="Calibri" w:hAnsi="Times New Roman" w:cs="Times New Roman"/>
                <w:sz w:val="24"/>
                <w:szCs w:val="24"/>
              </w:rPr>
              <w:lastRenderedPageBreak/>
              <w:t xml:space="preserve">Komisijos vertinimu, pažangos veiklos, kurioms taikomi valstybės pagalbos reikalavimai, taip pat gali būti įgyvendinami ir jungtinių projektų būdu. Atsižvelgiant į tai, Finansų ministerijos vertinimu, ŽŪM gali nustatyti, kad investicija bus įgyvendinama kaip jungtinis projektas, o jo vykdytoju pasirinkti NMA. NMA patiriamoms jungtinio projekto įgyvendinimo išlaidoms padengti, pavyzdžiui, NMA vykdant jungtinio projekto </w:t>
            </w:r>
            <w:proofErr w:type="spellStart"/>
            <w:r w:rsidRPr="00447D9E">
              <w:rPr>
                <w:rFonts w:ascii="Times New Roman" w:eastAsia="Calibri" w:hAnsi="Times New Roman" w:cs="Times New Roman"/>
                <w:sz w:val="24"/>
                <w:szCs w:val="24"/>
              </w:rPr>
              <w:t>projekto</w:t>
            </w:r>
            <w:proofErr w:type="spellEnd"/>
            <w:r w:rsidRPr="00447D9E">
              <w:rPr>
                <w:rFonts w:ascii="Times New Roman" w:eastAsia="Calibri" w:hAnsi="Times New Roman" w:cs="Times New Roman"/>
                <w:sz w:val="24"/>
                <w:szCs w:val="24"/>
              </w:rPr>
              <w:t xml:space="preserve"> vykdytojų atranką, sudarant sutartis su jungtinio projekto </w:t>
            </w:r>
            <w:proofErr w:type="spellStart"/>
            <w:r w:rsidRPr="00447D9E">
              <w:rPr>
                <w:rFonts w:ascii="Times New Roman" w:eastAsia="Calibri" w:hAnsi="Times New Roman" w:cs="Times New Roman"/>
                <w:sz w:val="24"/>
                <w:szCs w:val="24"/>
              </w:rPr>
              <w:t>projekto</w:t>
            </w:r>
            <w:proofErr w:type="spellEnd"/>
            <w:r w:rsidRPr="00447D9E">
              <w:rPr>
                <w:rFonts w:ascii="Times New Roman" w:eastAsia="Calibri" w:hAnsi="Times New Roman" w:cs="Times New Roman"/>
                <w:sz w:val="24"/>
                <w:szCs w:val="24"/>
              </w:rPr>
              <w:t xml:space="preserve"> vykdytojais ir pan., būtų skiriami 7 proc. jungtinio projekto biudžeto</w:t>
            </w:r>
            <w:r w:rsidRPr="00447D9E">
              <w:rPr>
                <w:rFonts w:ascii="Times New Roman" w:eastAsia="Calibri" w:hAnsi="Times New Roman" w:cs="Times New Roman"/>
                <w:sz w:val="24"/>
                <w:szCs w:val="24"/>
                <w:lang w:val="en-US"/>
              </w:rPr>
              <w:t>.</w:t>
            </w:r>
            <w:r w:rsidR="00D63E76">
              <w:rPr>
                <w:rFonts w:ascii="Times New Roman" w:eastAsia="Calibri" w:hAnsi="Times New Roman" w:cs="Times New Roman"/>
                <w:sz w:val="24"/>
                <w:szCs w:val="24"/>
                <w:lang w:val="en-US"/>
              </w:rPr>
              <w:t xml:space="preserve"> </w:t>
            </w:r>
            <w:r w:rsidRPr="00447D9E">
              <w:rPr>
                <w:rFonts w:ascii="Times New Roman" w:eastAsia="Calibri" w:hAnsi="Times New Roman" w:cs="Times New Roman"/>
                <w:sz w:val="24"/>
                <w:szCs w:val="24"/>
              </w:rPr>
              <w:t>Pažymime, kad tuo atveju, jeigu NMA jos funkcijoms atlikti yra reikalinga gauti informacija iš CPVA, tai galėtų būti daroma sudarant bendradarbiavimo susitarimą dėl informacijos suteikimo.</w:t>
            </w:r>
          </w:p>
        </w:tc>
      </w:tr>
      <w:tr w:rsidR="00E72911" w:rsidRPr="00126601" w14:paraId="30ED1FC7" w14:textId="77777777" w:rsidTr="00EB321B">
        <w:tc>
          <w:tcPr>
            <w:tcW w:w="452" w:type="pct"/>
            <w:tcBorders>
              <w:top w:val="single" w:sz="4" w:space="0" w:color="auto"/>
              <w:left w:val="single" w:sz="4" w:space="0" w:color="auto"/>
              <w:bottom w:val="single" w:sz="4" w:space="0" w:color="auto"/>
              <w:right w:val="single" w:sz="4" w:space="0" w:color="auto"/>
            </w:tcBorders>
            <w:shd w:val="clear" w:color="auto" w:fill="auto"/>
          </w:tcPr>
          <w:p w14:paraId="665E2094" w14:textId="77777777" w:rsidR="00E72911" w:rsidRPr="00447D9E" w:rsidRDefault="00E72911" w:rsidP="005F26E3">
            <w:pPr>
              <w:pStyle w:val="Sraopastraipa"/>
              <w:numPr>
                <w:ilvl w:val="0"/>
                <w:numId w:val="1"/>
              </w:numPr>
              <w:spacing w:after="0" w:line="240" w:lineRule="auto"/>
              <w:jc w:val="both"/>
              <w:rPr>
                <w:rFonts w:ascii="Times New Roman" w:hAnsi="Times New Roman" w:cs="Times New Roman"/>
                <w:b/>
                <w:sz w:val="24"/>
                <w:szCs w:val="24"/>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4414A8BB" w14:textId="512F6183" w:rsidR="00E72911" w:rsidRPr="00447D9E" w:rsidRDefault="00E72911" w:rsidP="005F26E3">
            <w:pPr>
              <w:spacing w:after="0" w:line="240" w:lineRule="auto"/>
              <w:jc w:val="both"/>
              <w:rPr>
                <w:rFonts w:ascii="Times New Roman" w:hAnsi="Times New Roman" w:cs="Times New Roman"/>
                <w:sz w:val="24"/>
                <w:szCs w:val="24"/>
              </w:rPr>
            </w:pPr>
            <w:r w:rsidRPr="00447D9E">
              <w:rPr>
                <w:rFonts w:ascii="Times New Roman" w:hAnsi="Times New Roman" w:cs="Times New Roman"/>
                <w:sz w:val="24"/>
                <w:szCs w:val="24"/>
              </w:rPr>
              <w:t>Lietuvos Respublikos Vyriausybės kanceliarija</w:t>
            </w:r>
          </w:p>
        </w:tc>
        <w:tc>
          <w:tcPr>
            <w:tcW w:w="1437" w:type="pct"/>
            <w:tcBorders>
              <w:top w:val="single" w:sz="4" w:space="0" w:color="auto"/>
              <w:left w:val="single" w:sz="4" w:space="0" w:color="auto"/>
              <w:bottom w:val="single" w:sz="4" w:space="0" w:color="auto"/>
              <w:right w:val="single" w:sz="4" w:space="0" w:color="auto"/>
            </w:tcBorders>
            <w:shd w:val="clear" w:color="auto" w:fill="auto"/>
          </w:tcPr>
          <w:p w14:paraId="138EC8F0" w14:textId="57850073" w:rsidR="00E72911" w:rsidRPr="00447D9E" w:rsidRDefault="00E72911" w:rsidP="006D7345">
            <w:pPr>
              <w:spacing w:after="0" w:line="240" w:lineRule="auto"/>
              <w:jc w:val="both"/>
              <w:rPr>
                <w:rFonts w:ascii="Times New Roman" w:hAnsi="Times New Roman" w:cs="Times New Roman"/>
                <w:bCs/>
                <w:sz w:val="24"/>
                <w:szCs w:val="24"/>
              </w:rPr>
            </w:pPr>
            <w:r w:rsidRPr="00447D9E">
              <w:rPr>
                <w:rFonts w:ascii="Times New Roman" w:hAnsi="Times New Roman" w:cs="Times New Roman"/>
                <w:sz w:val="24"/>
                <w:szCs w:val="24"/>
              </w:rPr>
              <w:t>Pastebime, kad Taisyklių projekte Finansų ministerijai nėra nustatyta funkcijų ar pareigos informaciją apie Plano įgyvendinimą teikti Vyriausybei. Atsižvelgdami į tai</w:t>
            </w:r>
            <w:proofErr w:type="gramStart"/>
            <w:r w:rsidRPr="00447D9E">
              <w:rPr>
                <w:rFonts w:ascii="Times New Roman" w:hAnsi="Times New Roman" w:cs="Times New Roman"/>
                <w:sz w:val="24"/>
                <w:szCs w:val="24"/>
              </w:rPr>
              <w:t>, bei</w:t>
            </w:r>
            <w:proofErr w:type="gramEnd"/>
            <w:r w:rsidRPr="00447D9E">
              <w:rPr>
                <w:rFonts w:ascii="Times New Roman" w:hAnsi="Times New Roman" w:cs="Times New Roman"/>
                <w:sz w:val="24"/>
                <w:szCs w:val="24"/>
              </w:rPr>
              <w:t xml:space="preserve"> įvertinę susiformavusią ir pasiteisinusią praktiką dėl ES fondų lėšomis finansuojamų programų pažangos ir (ar) kitų su jų įgyvendinimu susijusių klausimų svarstymo Vyriausybės formate, siūlytume apsvarstyti galimybę Taisyklių projekte nustatyti informacijos apie pažangą, pasiektą įgyvendinant Planą, teikimo Vyriausybei tvarką ir terminus.</w:t>
            </w:r>
          </w:p>
        </w:tc>
        <w:tc>
          <w:tcPr>
            <w:tcW w:w="2639" w:type="pct"/>
            <w:tcBorders>
              <w:top w:val="single" w:sz="4" w:space="0" w:color="auto"/>
              <w:left w:val="single" w:sz="4" w:space="0" w:color="auto"/>
              <w:bottom w:val="single" w:sz="4" w:space="0" w:color="auto"/>
              <w:right w:val="single" w:sz="4" w:space="0" w:color="auto"/>
            </w:tcBorders>
            <w:shd w:val="clear" w:color="auto" w:fill="auto"/>
          </w:tcPr>
          <w:p w14:paraId="67BF4CAB" w14:textId="6A4E96A4" w:rsidR="00E72911" w:rsidRPr="00447D9E" w:rsidRDefault="00430AD4" w:rsidP="00C34835">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Atsižvelgta iš dalies</w:t>
            </w:r>
            <w:r w:rsidR="00E72911" w:rsidRPr="00447D9E">
              <w:rPr>
                <w:rFonts w:ascii="Times New Roman" w:hAnsi="Times New Roman" w:cs="Times New Roman"/>
                <w:b/>
                <w:sz w:val="24"/>
                <w:szCs w:val="24"/>
              </w:rPr>
              <w:t xml:space="preserve">. </w:t>
            </w:r>
            <w:r w:rsidRPr="00C34835">
              <w:rPr>
                <w:rFonts w:ascii="Times New Roman" w:hAnsi="Times New Roman" w:cs="Times New Roman"/>
                <w:sz w:val="24"/>
                <w:szCs w:val="24"/>
              </w:rPr>
              <w:t xml:space="preserve">Taisyklių projekte vadovaujančiosios institucijos funkcijos papildytos nurodant, kad </w:t>
            </w:r>
            <w:r w:rsidR="00114E39">
              <w:rPr>
                <w:rFonts w:ascii="Times New Roman" w:hAnsi="Times New Roman" w:cs="Times New Roman"/>
                <w:sz w:val="24"/>
                <w:szCs w:val="24"/>
              </w:rPr>
              <w:t xml:space="preserve">vadovaujančioji institucija </w:t>
            </w:r>
            <w:r w:rsidRPr="00C34835">
              <w:rPr>
                <w:rFonts w:ascii="Times New Roman" w:hAnsi="Times New Roman" w:cs="Times New Roman"/>
                <w:sz w:val="24"/>
                <w:szCs w:val="24"/>
              </w:rPr>
              <w:t xml:space="preserve">apie </w:t>
            </w:r>
            <w:r w:rsidR="00114E39">
              <w:rPr>
                <w:rFonts w:ascii="Times New Roman" w:hAnsi="Times New Roman" w:cs="Times New Roman"/>
                <w:sz w:val="24"/>
                <w:szCs w:val="24"/>
              </w:rPr>
              <w:t xml:space="preserve">ES lėšų panaudojimo spartą ir </w:t>
            </w:r>
            <w:r w:rsidR="00114E39" w:rsidRPr="00C34835">
              <w:rPr>
                <w:rFonts w:ascii="Times New Roman" w:hAnsi="Times New Roman" w:cs="Times New Roman"/>
                <w:sz w:val="24"/>
                <w:szCs w:val="24"/>
              </w:rPr>
              <w:t>Plan</w:t>
            </w:r>
            <w:r w:rsidR="00114E39">
              <w:rPr>
                <w:rFonts w:ascii="Times New Roman" w:hAnsi="Times New Roman" w:cs="Times New Roman"/>
                <w:sz w:val="24"/>
                <w:szCs w:val="24"/>
              </w:rPr>
              <w:t>e nustatytų rezultatų pasiekimą</w:t>
            </w:r>
            <w:r w:rsidRPr="00C34835">
              <w:rPr>
                <w:rFonts w:ascii="Times New Roman" w:hAnsi="Times New Roman" w:cs="Times New Roman"/>
                <w:sz w:val="24"/>
                <w:szCs w:val="24"/>
              </w:rPr>
              <w:t xml:space="preserve"> </w:t>
            </w:r>
            <w:r w:rsidR="00114E39">
              <w:rPr>
                <w:rFonts w:ascii="Times New Roman" w:hAnsi="Times New Roman" w:cs="Times New Roman"/>
                <w:sz w:val="24"/>
                <w:szCs w:val="24"/>
              </w:rPr>
              <w:t xml:space="preserve">informuoja Vyriausybę. </w:t>
            </w:r>
            <w:r w:rsidR="00FB341C">
              <w:rPr>
                <w:rFonts w:ascii="Times New Roman" w:hAnsi="Times New Roman" w:cs="Times New Roman"/>
                <w:sz w:val="24"/>
                <w:szCs w:val="24"/>
              </w:rPr>
              <w:t>Taisyklių projektu yra nustatomos atitinkamų institucijų funkcijos, tačiau nėra nustatoma jų vykdymo tvarka (procesas), terminai ir formos. Šie aspektai bus nustatyti Plano administravimo tvarkoje, kuri</w:t>
            </w:r>
            <w:r w:rsidR="00341D57">
              <w:rPr>
                <w:rFonts w:ascii="Times New Roman" w:hAnsi="Times New Roman" w:cs="Times New Roman"/>
                <w:sz w:val="24"/>
                <w:szCs w:val="24"/>
              </w:rPr>
              <w:t>,</w:t>
            </w:r>
            <w:r w:rsidR="00FB341C">
              <w:rPr>
                <w:rFonts w:ascii="Times New Roman" w:hAnsi="Times New Roman" w:cs="Times New Roman"/>
                <w:sz w:val="24"/>
                <w:szCs w:val="24"/>
              </w:rPr>
              <w:t xml:space="preserve"> ją parengus</w:t>
            </w:r>
            <w:r w:rsidR="00341D57">
              <w:rPr>
                <w:rFonts w:ascii="Times New Roman" w:hAnsi="Times New Roman" w:cs="Times New Roman"/>
                <w:sz w:val="24"/>
                <w:szCs w:val="24"/>
              </w:rPr>
              <w:t>,</w:t>
            </w:r>
            <w:r w:rsidR="00FB341C">
              <w:rPr>
                <w:rFonts w:ascii="Times New Roman" w:hAnsi="Times New Roman" w:cs="Times New Roman"/>
                <w:sz w:val="24"/>
                <w:szCs w:val="24"/>
              </w:rPr>
              <w:t xml:space="preserve"> bus derinama su suinteresuotais subjektais. Taip pat pažymime, kad, v</w:t>
            </w:r>
            <w:r w:rsidR="00E72911" w:rsidRPr="00447D9E">
              <w:rPr>
                <w:rFonts w:ascii="Times New Roman" w:hAnsi="Times New Roman" w:cs="Times New Roman"/>
                <w:sz w:val="24"/>
                <w:szCs w:val="24"/>
              </w:rPr>
              <w:t>adovaujantis SVM 228 p.</w:t>
            </w:r>
            <w:r w:rsidR="00FB341C">
              <w:rPr>
                <w:rFonts w:ascii="Times New Roman" w:hAnsi="Times New Roman" w:cs="Times New Roman"/>
                <w:sz w:val="24"/>
                <w:szCs w:val="24"/>
              </w:rPr>
              <w:t>,</w:t>
            </w:r>
            <w:r w:rsidR="00E72911" w:rsidRPr="00447D9E">
              <w:rPr>
                <w:rFonts w:ascii="Times New Roman" w:hAnsi="Times New Roman" w:cs="Times New Roman"/>
                <w:sz w:val="24"/>
                <w:szCs w:val="24"/>
              </w:rPr>
              <w:t xml:space="preserve"> Finansų ministerija du kartus per metus Vyriausybės kanceliarijai teiks informaciją apie visų nacionalinių plėtros programų įgyvendinimo pažangą (toliau – Pažangos ataskaitos). Atsižvelgiant į tai, kad Plano veiklos patenka į ministerijų rengiamas nacionalines plėtros programas, informacija apie Plano įgyvendinimo pažangą Vyriausybės kanceliarijai bus teikiama kartu su Pažangos ataskaitomis, esant poreikiui Plano įgyvendinimas Pažangos ataskaitose galės būti aptariamas detaliau ar reikiamas pjūviais. Vertinant ES struktūrinių fondų lėšų administravimo patirtį, kai ataskaitos teikiamos kas ketvirtį, bei į tai, kad per ketvirtį įgyvendinime reikšmingų pokyčių nevyksta, manome, kad Plano pažangai stebėti pakaktų dviejų Pažangos ataskaitų per metus. Plano įgyvendinime iškilus probleminiams klausimams ar atsiradus aspektams, kuriuos reikėtų skubiai aptarti, Finansų ministerija apie juos informuos Vyriausybės kanceliariją atskiru raštu ar kitais įprastais būdais.</w:t>
            </w:r>
          </w:p>
        </w:tc>
      </w:tr>
    </w:tbl>
    <w:p w14:paraId="032B3AFE" w14:textId="04EDD74B" w:rsidR="002B0DA4" w:rsidRDefault="002B0DA4"/>
    <w:sectPr w:rsidR="002B0DA4" w:rsidSect="00185E6D">
      <w:type w:val="continuous"/>
      <w:pgSz w:w="16838" w:h="11906" w:orient="landscape"/>
      <w:pgMar w:top="851" w:right="851" w:bottom="567" w:left="85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FA860" w14:textId="77777777" w:rsidR="009218A4" w:rsidRDefault="009218A4" w:rsidP="00702816">
      <w:pPr>
        <w:spacing w:after="0" w:line="240" w:lineRule="auto"/>
      </w:pPr>
      <w:r>
        <w:separator/>
      </w:r>
    </w:p>
  </w:endnote>
  <w:endnote w:type="continuationSeparator" w:id="0">
    <w:p w14:paraId="027B5D12" w14:textId="77777777" w:rsidR="009218A4" w:rsidRDefault="009218A4" w:rsidP="0070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E983E" w14:textId="77777777" w:rsidR="009218A4" w:rsidRDefault="009218A4" w:rsidP="00702816">
      <w:pPr>
        <w:spacing w:after="0" w:line="240" w:lineRule="auto"/>
      </w:pPr>
      <w:r>
        <w:separator/>
      </w:r>
    </w:p>
  </w:footnote>
  <w:footnote w:type="continuationSeparator" w:id="0">
    <w:p w14:paraId="48B33D31" w14:textId="77777777" w:rsidR="009218A4" w:rsidRDefault="009218A4" w:rsidP="00702816">
      <w:pPr>
        <w:spacing w:after="0" w:line="240" w:lineRule="auto"/>
      </w:pPr>
      <w:r>
        <w:continuationSeparator/>
      </w:r>
    </w:p>
  </w:footnote>
  <w:footnote w:id="1">
    <w:p w14:paraId="06D4D314" w14:textId="04CBB053" w:rsidR="00E72911" w:rsidRPr="00C43125" w:rsidRDefault="00E72911" w:rsidP="00BF4295">
      <w:pPr>
        <w:pStyle w:val="Puslapioinaostekstas"/>
        <w:ind w:right="-173"/>
        <w:jc w:val="both"/>
        <w:rPr>
          <w:lang w:val="en-US"/>
        </w:rPr>
      </w:pPr>
      <w:r>
        <w:rPr>
          <w:rStyle w:val="Puslapioinaosnuoroda"/>
        </w:rPr>
        <w:footnoteRef/>
      </w:r>
      <w:r>
        <w:t xml:space="preserve"> </w:t>
      </w:r>
      <w:r w:rsidRPr="00C43125">
        <w:rPr>
          <w:rFonts w:ascii="Times New Roman" w:hAnsi="Times New Roman" w:cs="Times New Roman"/>
        </w:rPr>
        <w:t>Lietuvos kriminalinės policijos biuro nuostatai patvirtinti Lietuvos policijos generalinio komisaro 2007 m. rugpjūčio 3 d. įsakymu Nr. 5-V</w:t>
      </w:r>
      <w:proofErr w:type="gramStart"/>
      <w:r w:rsidRPr="00C43125">
        <w:rPr>
          <w:rFonts w:ascii="Times New Roman" w:hAnsi="Times New Roman" w:cs="Times New Roman"/>
        </w:rPr>
        <w:t>-</w:t>
      </w:r>
      <w:proofErr w:type="gramEnd"/>
      <w:r w:rsidRPr="00C43125">
        <w:rPr>
          <w:rFonts w:ascii="Times New Roman" w:hAnsi="Times New Roman" w:cs="Times New Roman"/>
        </w:rPr>
        <w:t>522 “Dėl kriminalinės policijos biuro nuostatų ir struktūros schemos patvirtinimo”.</w:t>
      </w:r>
    </w:p>
  </w:footnote>
  <w:footnote w:id="2">
    <w:p w14:paraId="380DFEFD" w14:textId="057714C8" w:rsidR="00E72911" w:rsidRDefault="00E72911" w:rsidP="00A603A6">
      <w:pPr>
        <w:pStyle w:val="Puslapioinaostekstas"/>
        <w:ind w:right="-173"/>
        <w:jc w:val="both"/>
      </w:pPr>
      <w:r>
        <w:rPr>
          <w:rStyle w:val="Puslapioinaosnuoroda"/>
        </w:rPr>
        <w:footnoteRef/>
      </w:r>
      <w:r>
        <w:t xml:space="preserve"> </w:t>
      </w:r>
      <w:r w:rsidRPr="00A03A1C">
        <w:rPr>
          <w:rFonts w:ascii="Times New Roman" w:eastAsia="Calibri" w:hAnsi="Times New Roman" w:cs="Times New Roman"/>
          <w:lang w:eastAsia="lt-LT"/>
        </w:rPr>
        <w:t xml:space="preserve">2021 m. vasario 12 d. </w:t>
      </w:r>
      <w:r w:rsidRPr="00A03A1C">
        <w:rPr>
          <w:rFonts w:ascii="Times New Roman" w:hAnsi="Times New Roman" w:cs="Times New Roman"/>
        </w:rPr>
        <w:t>Europos Parlamento ir Tarybos reglamentas (ES) 2021/241, kuriuo nustatoma ekonomikos gaivinimo ir atsparumo didinimo priemonę.</w:t>
      </w:r>
    </w:p>
  </w:footnote>
  <w:footnote w:id="3">
    <w:p w14:paraId="76AED5CC" w14:textId="77777777" w:rsidR="00E72911" w:rsidRPr="00712CD5" w:rsidRDefault="00E72911" w:rsidP="00A603A6">
      <w:pPr>
        <w:pStyle w:val="Puslapioinaostekstas"/>
        <w:ind w:right="-173"/>
        <w:jc w:val="both"/>
        <w:rPr>
          <w:rFonts w:ascii="Times New Roman" w:hAnsi="Times New Roman" w:cs="Times New Roman"/>
        </w:rPr>
      </w:pPr>
      <w:r w:rsidRPr="00712CD5">
        <w:rPr>
          <w:rStyle w:val="Puslapioinaosnuoroda"/>
          <w:rFonts w:ascii="Times New Roman" w:hAnsi="Times New Roman" w:cs="Times New Roman"/>
        </w:rPr>
        <w:footnoteRef/>
      </w:r>
      <w:r w:rsidRPr="00712CD5">
        <w:rPr>
          <w:rFonts w:ascii="Times New Roman" w:hAnsi="Times New Roman" w:cs="Times New Roman"/>
        </w:rPr>
        <w:t xml:space="preserve"> Strateginio valdymo metodika patvirtinta Lietuvos Respublikos Vyriausybės 2021 m. balandžio 28 d. nutarimu Nr. 292 “Dėl Lietuvos Respublikos strateginio valdymo įstatymo, Lietuvos Respublikos regioninės plėtros įstatymo 4 straipsnio 3 ir 5 dal</w:t>
      </w:r>
      <w:r>
        <w:rPr>
          <w:rFonts w:ascii="Times New Roman" w:hAnsi="Times New Roman" w:cs="Times New Roman"/>
        </w:rPr>
        <w:t xml:space="preserve">ių, 7 straipsnio 1 </w:t>
      </w:r>
      <w:proofErr w:type="gramStart"/>
      <w:r>
        <w:rPr>
          <w:rFonts w:ascii="Times New Roman" w:hAnsi="Times New Roman" w:cs="Times New Roman"/>
        </w:rPr>
        <w:t>ir 4 dalių ir</w:t>
      </w:r>
      <w:r w:rsidRPr="00712CD5">
        <w:rPr>
          <w:rFonts w:ascii="Times New Roman" w:hAnsi="Times New Roman" w:cs="Times New Roman"/>
        </w:rPr>
        <w:t xml:space="preserve"> Lietuvos Respublikos biudžeto sandaros įstatymo 14</w:t>
      </w:r>
      <w:r w:rsidRPr="00712CD5">
        <w:rPr>
          <w:rFonts w:ascii="Times New Roman" w:hAnsi="Times New Roman" w:cs="Times New Roman"/>
          <w:vertAlign w:val="superscript"/>
        </w:rPr>
        <w:t>1</w:t>
      </w:r>
      <w:r w:rsidRPr="00712CD5">
        <w:rPr>
          <w:rFonts w:ascii="Times New Roman" w:hAnsi="Times New Roman" w:cs="Times New Roman"/>
        </w:rPr>
        <w:t>straipsnio 3 dalies įgyvendinimo</w:t>
      </w:r>
      <w:proofErr w:type="gramEnd"/>
      <w:r w:rsidRPr="00712CD5">
        <w:rPr>
          <w:rFonts w:ascii="Times New Roman" w:hAnsi="Times New Roman" w:cs="Times New Roman"/>
        </w:rPr>
        <w:t>.</w:t>
      </w:r>
    </w:p>
  </w:footnote>
  <w:footnote w:id="4">
    <w:p w14:paraId="71656EB9" w14:textId="1453AFF8" w:rsidR="00E72911" w:rsidRPr="009F7638" w:rsidRDefault="00E72911" w:rsidP="00CE092A">
      <w:pPr>
        <w:pStyle w:val="Puslapioinaostekstas"/>
        <w:ind w:right="-173"/>
        <w:jc w:val="both"/>
      </w:pPr>
      <w:r>
        <w:rPr>
          <w:rStyle w:val="Puslapioinaosnuoroda"/>
        </w:rPr>
        <w:footnoteRef/>
      </w:r>
      <w:r>
        <w:t xml:space="preserve"> </w:t>
      </w:r>
      <w:r w:rsidRPr="009F7638">
        <w:rPr>
          <w:rFonts w:ascii="Times New Roman" w:hAnsi="Times New Roman" w:cs="Times New Roman"/>
          <w:color w:val="000000"/>
        </w:rPr>
        <w:t>Nacionalinės plėtros įstaigos skatinamojo finansavimo poreikio vertinimo tvarkos aprašas patvirtintas Lietuvos Respublikos Vyriausybės 2018 m. rugsėjo 12 d. nutarimu “ Dėl Lietuvos Respublikos nacionalinių plėtros įstaigų įstatymo ir Lietuvos Respublikos inovacijų skatinimo fondo įstatymo įgyvendinimo.</w:t>
      </w:r>
    </w:p>
  </w:footnote>
  <w:footnote w:id="5">
    <w:p w14:paraId="5DEA99FF" w14:textId="5D86209D" w:rsidR="00E72911" w:rsidRDefault="00E72911" w:rsidP="00E910EB">
      <w:pPr>
        <w:pStyle w:val="Puslapioinaostekstas"/>
        <w:ind w:right="-173"/>
        <w:jc w:val="both"/>
      </w:pPr>
      <w:r>
        <w:rPr>
          <w:rStyle w:val="Puslapioinaosnuoroda"/>
        </w:rPr>
        <w:footnoteRef/>
      </w:r>
      <w:r>
        <w:t xml:space="preserve"> </w:t>
      </w:r>
      <w:r w:rsidRPr="008020CA">
        <w:rPr>
          <w:rFonts w:ascii="Times New Roman" w:hAnsi="Times New Roman" w:cs="Times New Roman"/>
          <w:lang w:eastAsia="lt-LT"/>
        </w:rPr>
        <w:t>Valstybės pagalbos žemės ūkiui, maisto ūkiui, žuvininkystei ir kaimo plėtrai ir kitų iš valstybės biudžeto lėšų finansuojamų priemonių bendrosios administravimo taisyklės, patvirtintos Lietuvos Respublikos žemės ūkio ministro 2010 m. lapkričio 8 d. įsakymu Nr. 3D-979 „Dėl Valstybės pagalbos žemės ūkiui, maisto ūkiui, žuvininkystei ir kaimo plėtrai ir kitų iš nacionalinių lėšų finansuojamų priemonių bendrųjų administravimo taisyklių patvirtinimo“.</w:t>
      </w:r>
    </w:p>
  </w:footnote>
  <w:footnote w:id="6">
    <w:p w14:paraId="7D06A5D4" w14:textId="00DF198F" w:rsidR="00E72911" w:rsidRPr="008020CA" w:rsidRDefault="00E72911" w:rsidP="00E910EB">
      <w:pPr>
        <w:pStyle w:val="Puslapioinaostekstas"/>
        <w:ind w:right="-173"/>
        <w:jc w:val="both"/>
        <w:rPr>
          <w:lang w:val="en-US"/>
        </w:rPr>
      </w:pPr>
      <w:r>
        <w:rPr>
          <w:rStyle w:val="Puslapioinaosnuoroda"/>
        </w:rPr>
        <w:footnoteRef/>
      </w:r>
      <w:r>
        <w:t xml:space="preserve"> </w:t>
      </w:r>
      <w:r w:rsidRPr="00757762">
        <w:rPr>
          <w:rFonts w:ascii="Times New Roman" w:hAnsi="Times New Roman" w:cs="Times New Roman"/>
          <w:lang w:eastAsia="lt-LT"/>
        </w:rPr>
        <w:t>Lietuvos Respublikos žemės ūkio ministro 2011 m. spalio 13 d. įsakymas Nr. 3D-750 „Dėl Grąžintinų lėšų, susidariusių įgyvendinant valstybės pagalbos žemės ūkiui, maisto ūkiui, žuvininkystei ir kaimo plėtrai ir kitas iš valstybės biudžeto lėšų finansuojamas priemones, administravimo taisyklių patvirtinimo“.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A36F8"/>
    <w:multiLevelType w:val="hybridMultilevel"/>
    <w:tmpl w:val="35B236A0"/>
    <w:lvl w:ilvl="0" w:tplc="430CAC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4A5D267B"/>
    <w:multiLevelType w:val="hybridMultilevel"/>
    <w:tmpl w:val="2F727834"/>
    <w:lvl w:ilvl="0" w:tplc="14C2969A">
      <w:start w:val="1"/>
      <w:numFmt w:val="bullet"/>
      <w:lvlText w:val="-"/>
      <w:lvlJc w:val="left"/>
      <w:pPr>
        <w:ind w:left="720" w:hanging="360"/>
      </w:pPr>
      <w:rPr>
        <w:rFonts w:ascii="Times New Roman" w:eastAsiaTheme="minorHAnsi" w:hAnsi="Times New Roman" w:cs="Times New Roman" w:hint="default"/>
        <w:color w:val="auto"/>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4FE54F7B"/>
    <w:multiLevelType w:val="multilevel"/>
    <w:tmpl w:val="DB828A7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571A4B38"/>
    <w:multiLevelType w:val="multilevel"/>
    <w:tmpl w:val="51827D9C"/>
    <w:lvl w:ilvl="0">
      <w:start w:val="1"/>
      <w:numFmt w:val="decimal"/>
      <w:lvlText w:val="%1."/>
      <w:lvlJc w:val="left"/>
      <w:pPr>
        <w:ind w:left="1353" w:hanging="360"/>
      </w:pPr>
      <w:rPr>
        <w:rFonts w:hint="default"/>
      </w:rPr>
    </w:lvl>
    <w:lvl w:ilvl="1">
      <w:start w:val="1"/>
      <w:numFmt w:val="decimal"/>
      <w:isLgl/>
      <w:suff w:val="space"/>
      <w:lvlText w:val="%1.%2."/>
      <w:lvlJc w:val="left"/>
      <w:pPr>
        <w:ind w:left="2062" w:hanging="360"/>
      </w:pPr>
      <w:rPr>
        <w:rFonts w:hint="default"/>
        <w:color w:val="auto"/>
      </w:rPr>
    </w:lvl>
    <w:lvl w:ilvl="2">
      <w:start w:val="1"/>
      <w:numFmt w:val="decimal"/>
      <w:isLgl/>
      <w:lvlText w:val="%1.%2.%3."/>
      <w:lvlJc w:val="left"/>
      <w:pPr>
        <w:ind w:left="1713" w:hanging="720"/>
      </w:pPr>
      <w:rPr>
        <w:rFonts w:hint="default"/>
        <w:i w:val="0"/>
        <w:iCs w:val="0"/>
        <w:strike w:val="0"/>
      </w:rPr>
    </w:lvl>
    <w:lvl w:ilvl="3">
      <w:start w:val="1"/>
      <w:numFmt w:val="decimal"/>
      <w:isLgl/>
      <w:suff w:val="space"/>
      <w:lvlText w:val="%1.%2.%3.%4."/>
      <w:lvlJc w:val="left"/>
      <w:pPr>
        <w:ind w:left="2564" w:hanging="720"/>
      </w:pPr>
      <w:rPr>
        <w:rFonts w:hint="default"/>
      </w:rPr>
    </w:lvl>
    <w:lvl w:ilvl="4">
      <w:start w:val="1"/>
      <w:numFmt w:val="decimal"/>
      <w:isLgl/>
      <w:lvlText w:val="%1.%2.%3.%4.%5."/>
      <w:lvlJc w:val="left"/>
      <w:pPr>
        <w:ind w:left="3731" w:hanging="1080"/>
      </w:pPr>
      <w:rPr>
        <w:rFonts w:hint="default"/>
      </w:rPr>
    </w:lvl>
    <w:lvl w:ilvl="5">
      <w:start w:val="1"/>
      <w:numFmt w:val="decimal"/>
      <w:isLgl/>
      <w:lvlText w:val="%1.%2.%3.%4.%5.%6."/>
      <w:lvlJc w:val="left"/>
      <w:pPr>
        <w:ind w:left="4091" w:hanging="1080"/>
      </w:pPr>
      <w:rPr>
        <w:rFonts w:hint="default"/>
      </w:rPr>
    </w:lvl>
    <w:lvl w:ilvl="6">
      <w:start w:val="1"/>
      <w:numFmt w:val="decimal"/>
      <w:isLgl/>
      <w:lvlText w:val="%1.%2.%3.%4.%5.%6.%7."/>
      <w:lvlJc w:val="left"/>
      <w:pPr>
        <w:ind w:left="4811" w:hanging="1440"/>
      </w:pPr>
      <w:rPr>
        <w:rFonts w:hint="default"/>
      </w:rPr>
    </w:lvl>
    <w:lvl w:ilvl="7">
      <w:start w:val="1"/>
      <w:numFmt w:val="decimal"/>
      <w:isLgl/>
      <w:lvlText w:val="%1.%2.%3.%4.%5.%6.%7.%8."/>
      <w:lvlJc w:val="left"/>
      <w:pPr>
        <w:ind w:left="5171" w:hanging="1440"/>
      </w:pPr>
      <w:rPr>
        <w:rFonts w:hint="default"/>
      </w:rPr>
    </w:lvl>
    <w:lvl w:ilvl="8">
      <w:start w:val="1"/>
      <w:numFmt w:val="decimal"/>
      <w:isLgl/>
      <w:lvlText w:val="%1.%2.%3.%4.%5.%6.%7.%8.%9."/>
      <w:lvlJc w:val="left"/>
      <w:pPr>
        <w:ind w:left="5891" w:hanging="1800"/>
      </w:pPr>
      <w:rPr>
        <w:rFonts w:hint="default"/>
      </w:rPr>
    </w:lvl>
  </w:abstractNum>
  <w:abstractNum w:abstractNumId="4">
    <w:nsid w:val="5C724BB1"/>
    <w:multiLevelType w:val="hybridMultilevel"/>
    <w:tmpl w:val="08C01A3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nsid w:val="757427FB"/>
    <w:multiLevelType w:val="hybridMultilevel"/>
    <w:tmpl w:val="21B8053A"/>
    <w:lvl w:ilvl="0" w:tplc="F4D07D7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trackRevisions/>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816"/>
    <w:rsid w:val="00000C4E"/>
    <w:rsid w:val="00003A7A"/>
    <w:rsid w:val="00006638"/>
    <w:rsid w:val="00015D83"/>
    <w:rsid w:val="00031F61"/>
    <w:rsid w:val="00046D2E"/>
    <w:rsid w:val="00051FC4"/>
    <w:rsid w:val="000551E9"/>
    <w:rsid w:val="000567EC"/>
    <w:rsid w:val="00063D4F"/>
    <w:rsid w:val="0006569F"/>
    <w:rsid w:val="000825EC"/>
    <w:rsid w:val="00093408"/>
    <w:rsid w:val="000966C9"/>
    <w:rsid w:val="000A3844"/>
    <w:rsid w:val="000B76EB"/>
    <w:rsid w:val="000C2266"/>
    <w:rsid w:val="000E2F9B"/>
    <w:rsid w:val="000F400F"/>
    <w:rsid w:val="00105F7A"/>
    <w:rsid w:val="001135C2"/>
    <w:rsid w:val="001137EB"/>
    <w:rsid w:val="00114E39"/>
    <w:rsid w:val="00131CDB"/>
    <w:rsid w:val="001327D3"/>
    <w:rsid w:val="00132EA0"/>
    <w:rsid w:val="001351E6"/>
    <w:rsid w:val="00146362"/>
    <w:rsid w:val="00161D39"/>
    <w:rsid w:val="00173C27"/>
    <w:rsid w:val="00180040"/>
    <w:rsid w:val="00185E6D"/>
    <w:rsid w:val="001878DB"/>
    <w:rsid w:val="0019611D"/>
    <w:rsid w:val="001A28B1"/>
    <w:rsid w:val="001A4198"/>
    <w:rsid w:val="001A45B9"/>
    <w:rsid w:val="001A5F0A"/>
    <w:rsid w:val="001A7704"/>
    <w:rsid w:val="001A792A"/>
    <w:rsid w:val="001B0F4E"/>
    <w:rsid w:val="001B5E10"/>
    <w:rsid w:val="001C1FAE"/>
    <w:rsid w:val="001C2BE8"/>
    <w:rsid w:val="001C4306"/>
    <w:rsid w:val="001C6745"/>
    <w:rsid w:val="001D0E9A"/>
    <w:rsid w:val="001D3E3D"/>
    <w:rsid w:val="001F3C9C"/>
    <w:rsid w:val="001F64F0"/>
    <w:rsid w:val="002000A0"/>
    <w:rsid w:val="002105F1"/>
    <w:rsid w:val="00224872"/>
    <w:rsid w:val="002264AC"/>
    <w:rsid w:val="002525E2"/>
    <w:rsid w:val="00254F5B"/>
    <w:rsid w:val="00262524"/>
    <w:rsid w:val="002705DA"/>
    <w:rsid w:val="0027347D"/>
    <w:rsid w:val="00273E9A"/>
    <w:rsid w:val="0027690B"/>
    <w:rsid w:val="0027778D"/>
    <w:rsid w:val="0028489C"/>
    <w:rsid w:val="002878A9"/>
    <w:rsid w:val="002929FD"/>
    <w:rsid w:val="00294263"/>
    <w:rsid w:val="0029612C"/>
    <w:rsid w:val="002A4043"/>
    <w:rsid w:val="002B0DA4"/>
    <w:rsid w:val="002B208F"/>
    <w:rsid w:val="002B439B"/>
    <w:rsid w:val="002B6622"/>
    <w:rsid w:val="002D5203"/>
    <w:rsid w:val="002E1096"/>
    <w:rsid w:val="002E17DD"/>
    <w:rsid w:val="002F3E4B"/>
    <w:rsid w:val="002F4BCF"/>
    <w:rsid w:val="002F4D61"/>
    <w:rsid w:val="00307109"/>
    <w:rsid w:val="00307E0F"/>
    <w:rsid w:val="00312525"/>
    <w:rsid w:val="00320DCA"/>
    <w:rsid w:val="00327814"/>
    <w:rsid w:val="00341D57"/>
    <w:rsid w:val="00350642"/>
    <w:rsid w:val="00360666"/>
    <w:rsid w:val="0039673B"/>
    <w:rsid w:val="003A0933"/>
    <w:rsid w:val="003A5B74"/>
    <w:rsid w:val="003C4009"/>
    <w:rsid w:val="003D36C9"/>
    <w:rsid w:val="003E308C"/>
    <w:rsid w:val="00403DCF"/>
    <w:rsid w:val="00410CA9"/>
    <w:rsid w:val="004162B4"/>
    <w:rsid w:val="004209D2"/>
    <w:rsid w:val="0042662E"/>
    <w:rsid w:val="00430AD4"/>
    <w:rsid w:val="004337A3"/>
    <w:rsid w:val="00442FF1"/>
    <w:rsid w:val="00447D9E"/>
    <w:rsid w:val="00451948"/>
    <w:rsid w:val="00472AB9"/>
    <w:rsid w:val="00497C55"/>
    <w:rsid w:val="004A2275"/>
    <w:rsid w:val="004E0BFD"/>
    <w:rsid w:val="00505E7C"/>
    <w:rsid w:val="005064E4"/>
    <w:rsid w:val="00506EA3"/>
    <w:rsid w:val="00516A44"/>
    <w:rsid w:val="00525CA3"/>
    <w:rsid w:val="00532807"/>
    <w:rsid w:val="00545D8A"/>
    <w:rsid w:val="00550282"/>
    <w:rsid w:val="0055437D"/>
    <w:rsid w:val="00555CAF"/>
    <w:rsid w:val="00567EC9"/>
    <w:rsid w:val="005744F3"/>
    <w:rsid w:val="0057525A"/>
    <w:rsid w:val="00586D79"/>
    <w:rsid w:val="005B582D"/>
    <w:rsid w:val="005B5875"/>
    <w:rsid w:val="005C5916"/>
    <w:rsid w:val="005C7CDF"/>
    <w:rsid w:val="005D6D9A"/>
    <w:rsid w:val="005E0BBF"/>
    <w:rsid w:val="005E7E9A"/>
    <w:rsid w:val="005E7F60"/>
    <w:rsid w:val="005F26E3"/>
    <w:rsid w:val="005F4E4D"/>
    <w:rsid w:val="00606FA2"/>
    <w:rsid w:val="0060738D"/>
    <w:rsid w:val="006217D0"/>
    <w:rsid w:val="00634AB9"/>
    <w:rsid w:val="006355DD"/>
    <w:rsid w:val="00646576"/>
    <w:rsid w:val="00650661"/>
    <w:rsid w:val="006570D6"/>
    <w:rsid w:val="00660B21"/>
    <w:rsid w:val="00662424"/>
    <w:rsid w:val="00663556"/>
    <w:rsid w:val="00686C90"/>
    <w:rsid w:val="00687BF6"/>
    <w:rsid w:val="0069534C"/>
    <w:rsid w:val="006A391E"/>
    <w:rsid w:val="006A7433"/>
    <w:rsid w:val="006C2C36"/>
    <w:rsid w:val="006D08F4"/>
    <w:rsid w:val="006D0B85"/>
    <w:rsid w:val="006D1648"/>
    <w:rsid w:val="006D7345"/>
    <w:rsid w:val="006E755D"/>
    <w:rsid w:val="00702816"/>
    <w:rsid w:val="00717D7C"/>
    <w:rsid w:val="00720D0A"/>
    <w:rsid w:val="00730128"/>
    <w:rsid w:val="00757762"/>
    <w:rsid w:val="007626D8"/>
    <w:rsid w:val="00766D05"/>
    <w:rsid w:val="00792AD5"/>
    <w:rsid w:val="00794B61"/>
    <w:rsid w:val="007B3258"/>
    <w:rsid w:val="007B4B79"/>
    <w:rsid w:val="007D1811"/>
    <w:rsid w:val="007D3188"/>
    <w:rsid w:val="007E1C11"/>
    <w:rsid w:val="007E5757"/>
    <w:rsid w:val="007E62BF"/>
    <w:rsid w:val="007F4885"/>
    <w:rsid w:val="007F4FF6"/>
    <w:rsid w:val="008020CA"/>
    <w:rsid w:val="0080721C"/>
    <w:rsid w:val="00817CBD"/>
    <w:rsid w:val="00821883"/>
    <w:rsid w:val="00834004"/>
    <w:rsid w:val="00843DE8"/>
    <w:rsid w:val="0084598B"/>
    <w:rsid w:val="008468B6"/>
    <w:rsid w:val="008600C7"/>
    <w:rsid w:val="00866C5F"/>
    <w:rsid w:val="00867485"/>
    <w:rsid w:val="00867BB9"/>
    <w:rsid w:val="00876B7F"/>
    <w:rsid w:val="0088027B"/>
    <w:rsid w:val="0088797A"/>
    <w:rsid w:val="008A4980"/>
    <w:rsid w:val="008B0049"/>
    <w:rsid w:val="008D0031"/>
    <w:rsid w:val="008F39DD"/>
    <w:rsid w:val="009035E4"/>
    <w:rsid w:val="009218A4"/>
    <w:rsid w:val="00926514"/>
    <w:rsid w:val="00941F0E"/>
    <w:rsid w:val="00944832"/>
    <w:rsid w:val="00947495"/>
    <w:rsid w:val="00953E2A"/>
    <w:rsid w:val="00961D02"/>
    <w:rsid w:val="00964528"/>
    <w:rsid w:val="00970786"/>
    <w:rsid w:val="009804D5"/>
    <w:rsid w:val="00994490"/>
    <w:rsid w:val="00995C88"/>
    <w:rsid w:val="009971F9"/>
    <w:rsid w:val="009A3759"/>
    <w:rsid w:val="009B4A02"/>
    <w:rsid w:val="009C3DAF"/>
    <w:rsid w:val="009C4F6A"/>
    <w:rsid w:val="009D3167"/>
    <w:rsid w:val="009E0403"/>
    <w:rsid w:val="009F5904"/>
    <w:rsid w:val="009F7638"/>
    <w:rsid w:val="00A03A1C"/>
    <w:rsid w:val="00A17A59"/>
    <w:rsid w:val="00A26365"/>
    <w:rsid w:val="00A32B87"/>
    <w:rsid w:val="00A40EDF"/>
    <w:rsid w:val="00A6001C"/>
    <w:rsid w:val="00A603A6"/>
    <w:rsid w:val="00A623BB"/>
    <w:rsid w:val="00A771D5"/>
    <w:rsid w:val="00A8008F"/>
    <w:rsid w:val="00A91CBB"/>
    <w:rsid w:val="00AB396D"/>
    <w:rsid w:val="00AC6336"/>
    <w:rsid w:val="00AD2145"/>
    <w:rsid w:val="00AD6362"/>
    <w:rsid w:val="00AE11F6"/>
    <w:rsid w:val="00AE3285"/>
    <w:rsid w:val="00AE3436"/>
    <w:rsid w:val="00AF04D5"/>
    <w:rsid w:val="00AF76F8"/>
    <w:rsid w:val="00B042AF"/>
    <w:rsid w:val="00B158E8"/>
    <w:rsid w:val="00B347F0"/>
    <w:rsid w:val="00B36683"/>
    <w:rsid w:val="00B5588A"/>
    <w:rsid w:val="00B55F39"/>
    <w:rsid w:val="00B61BB3"/>
    <w:rsid w:val="00B6202C"/>
    <w:rsid w:val="00B7693C"/>
    <w:rsid w:val="00B9363B"/>
    <w:rsid w:val="00B97EE5"/>
    <w:rsid w:val="00BE4BFF"/>
    <w:rsid w:val="00BF02C8"/>
    <w:rsid w:val="00BF1B57"/>
    <w:rsid w:val="00BF267F"/>
    <w:rsid w:val="00BF2B62"/>
    <w:rsid w:val="00BF4295"/>
    <w:rsid w:val="00C10663"/>
    <w:rsid w:val="00C16C78"/>
    <w:rsid w:val="00C277FD"/>
    <w:rsid w:val="00C33F98"/>
    <w:rsid w:val="00C34835"/>
    <w:rsid w:val="00C43125"/>
    <w:rsid w:val="00C434D3"/>
    <w:rsid w:val="00C46478"/>
    <w:rsid w:val="00C5210B"/>
    <w:rsid w:val="00C546EA"/>
    <w:rsid w:val="00C708A7"/>
    <w:rsid w:val="00C70F83"/>
    <w:rsid w:val="00C71C98"/>
    <w:rsid w:val="00C742D5"/>
    <w:rsid w:val="00C76E23"/>
    <w:rsid w:val="00C853D3"/>
    <w:rsid w:val="00C85BBD"/>
    <w:rsid w:val="00C91447"/>
    <w:rsid w:val="00C9212C"/>
    <w:rsid w:val="00CA659A"/>
    <w:rsid w:val="00CB670E"/>
    <w:rsid w:val="00CC5F26"/>
    <w:rsid w:val="00CC70A4"/>
    <w:rsid w:val="00CC7925"/>
    <w:rsid w:val="00CE092A"/>
    <w:rsid w:val="00CF76BD"/>
    <w:rsid w:val="00D03805"/>
    <w:rsid w:val="00D057D0"/>
    <w:rsid w:val="00D1424A"/>
    <w:rsid w:val="00D176D4"/>
    <w:rsid w:val="00D25796"/>
    <w:rsid w:val="00D267D2"/>
    <w:rsid w:val="00D31748"/>
    <w:rsid w:val="00D60F68"/>
    <w:rsid w:val="00D63221"/>
    <w:rsid w:val="00D63E76"/>
    <w:rsid w:val="00D7131C"/>
    <w:rsid w:val="00D778F9"/>
    <w:rsid w:val="00D80EF7"/>
    <w:rsid w:val="00D95F50"/>
    <w:rsid w:val="00DA18AB"/>
    <w:rsid w:val="00DC38E6"/>
    <w:rsid w:val="00DD1207"/>
    <w:rsid w:val="00DD1939"/>
    <w:rsid w:val="00DD6443"/>
    <w:rsid w:val="00DE4100"/>
    <w:rsid w:val="00DF4087"/>
    <w:rsid w:val="00DF61E6"/>
    <w:rsid w:val="00E01881"/>
    <w:rsid w:val="00E23425"/>
    <w:rsid w:val="00E25557"/>
    <w:rsid w:val="00E35397"/>
    <w:rsid w:val="00E52E82"/>
    <w:rsid w:val="00E72911"/>
    <w:rsid w:val="00E72DFC"/>
    <w:rsid w:val="00E764FD"/>
    <w:rsid w:val="00E80782"/>
    <w:rsid w:val="00E8179D"/>
    <w:rsid w:val="00E910EB"/>
    <w:rsid w:val="00EA10D8"/>
    <w:rsid w:val="00EA5284"/>
    <w:rsid w:val="00EB321B"/>
    <w:rsid w:val="00EB36C4"/>
    <w:rsid w:val="00EB781B"/>
    <w:rsid w:val="00EC1521"/>
    <w:rsid w:val="00EC28D6"/>
    <w:rsid w:val="00EC7392"/>
    <w:rsid w:val="00ED4A4A"/>
    <w:rsid w:val="00EF6EC5"/>
    <w:rsid w:val="00EF7741"/>
    <w:rsid w:val="00F06F5C"/>
    <w:rsid w:val="00F422B5"/>
    <w:rsid w:val="00F44A56"/>
    <w:rsid w:val="00F64DD8"/>
    <w:rsid w:val="00F64E61"/>
    <w:rsid w:val="00F70F43"/>
    <w:rsid w:val="00F71BFC"/>
    <w:rsid w:val="00F71CD5"/>
    <w:rsid w:val="00F728C9"/>
    <w:rsid w:val="00F72A66"/>
    <w:rsid w:val="00FA6965"/>
    <w:rsid w:val="00FB014F"/>
    <w:rsid w:val="00FB341C"/>
    <w:rsid w:val="00FD0F3E"/>
    <w:rsid w:val="00FF3A88"/>
    <w:rsid w:val="00FF70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F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02816"/>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70281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02816"/>
    <w:rPr>
      <w:sz w:val="20"/>
      <w:szCs w:val="20"/>
    </w:rPr>
  </w:style>
  <w:style w:type="character" w:styleId="Puslapioinaosnuoroda">
    <w:name w:val="footnote reference"/>
    <w:basedOn w:val="Numatytasispastraiposriftas"/>
    <w:uiPriority w:val="99"/>
    <w:semiHidden/>
    <w:unhideWhenUsed/>
    <w:rsid w:val="00702816"/>
    <w:rPr>
      <w:vertAlign w:val="superscript"/>
    </w:rPr>
  </w:style>
  <w:style w:type="paragraph" w:styleId="Sraopastraipa">
    <w:name w:val="List Paragraph"/>
    <w:basedOn w:val="prastasis"/>
    <w:link w:val="SraopastraipaDiagrama"/>
    <w:uiPriority w:val="34"/>
    <w:qFormat/>
    <w:rsid w:val="009E0403"/>
    <w:pPr>
      <w:ind w:left="720"/>
      <w:contextualSpacing/>
    </w:pPr>
  </w:style>
  <w:style w:type="character" w:customStyle="1" w:styleId="SraopastraipaDiagrama">
    <w:name w:val="Sąrašo pastraipa Diagrama"/>
    <w:basedOn w:val="Numatytasispastraiposriftas"/>
    <w:link w:val="Sraopastraipa"/>
    <w:uiPriority w:val="99"/>
    <w:locked/>
    <w:rsid w:val="00B7693C"/>
  </w:style>
  <w:style w:type="character" w:styleId="Komentaronuoroda">
    <w:name w:val="annotation reference"/>
    <w:basedOn w:val="Numatytasispastraiposriftas"/>
    <w:uiPriority w:val="99"/>
    <w:unhideWhenUsed/>
    <w:rsid w:val="000551E9"/>
    <w:rPr>
      <w:sz w:val="16"/>
      <w:szCs w:val="16"/>
    </w:rPr>
  </w:style>
  <w:style w:type="paragraph" w:styleId="Komentarotekstas">
    <w:name w:val="annotation text"/>
    <w:basedOn w:val="prastasis"/>
    <w:link w:val="KomentarotekstasDiagrama"/>
    <w:uiPriority w:val="99"/>
    <w:unhideWhenUsed/>
    <w:rsid w:val="000551E9"/>
    <w:pPr>
      <w:spacing w:after="160" w:line="240" w:lineRule="auto"/>
    </w:pPr>
    <w:rPr>
      <w:sz w:val="20"/>
      <w:szCs w:val="20"/>
    </w:rPr>
  </w:style>
  <w:style w:type="character" w:customStyle="1" w:styleId="KomentarotekstasDiagrama">
    <w:name w:val="Komentaro tekstas Diagrama"/>
    <w:basedOn w:val="Numatytasispastraiposriftas"/>
    <w:link w:val="Komentarotekstas"/>
    <w:uiPriority w:val="99"/>
    <w:rsid w:val="000551E9"/>
    <w:rPr>
      <w:sz w:val="20"/>
      <w:szCs w:val="20"/>
    </w:rPr>
  </w:style>
  <w:style w:type="paragraph" w:styleId="Debesliotekstas">
    <w:name w:val="Balloon Text"/>
    <w:basedOn w:val="prastasis"/>
    <w:link w:val="DebesliotekstasDiagrama"/>
    <w:uiPriority w:val="99"/>
    <w:semiHidden/>
    <w:unhideWhenUsed/>
    <w:rsid w:val="000551E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51E9"/>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A26365"/>
    <w:pPr>
      <w:spacing w:after="200"/>
    </w:pPr>
    <w:rPr>
      <w:b/>
      <w:bCs/>
    </w:rPr>
  </w:style>
  <w:style w:type="character" w:customStyle="1" w:styleId="KomentarotemaDiagrama">
    <w:name w:val="Komentaro tema Diagrama"/>
    <w:basedOn w:val="KomentarotekstasDiagrama"/>
    <w:link w:val="Komentarotema"/>
    <w:uiPriority w:val="99"/>
    <w:semiHidden/>
    <w:rsid w:val="00A2636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02816"/>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70281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02816"/>
    <w:rPr>
      <w:sz w:val="20"/>
      <w:szCs w:val="20"/>
    </w:rPr>
  </w:style>
  <w:style w:type="character" w:styleId="Puslapioinaosnuoroda">
    <w:name w:val="footnote reference"/>
    <w:basedOn w:val="Numatytasispastraiposriftas"/>
    <w:uiPriority w:val="99"/>
    <w:semiHidden/>
    <w:unhideWhenUsed/>
    <w:rsid w:val="00702816"/>
    <w:rPr>
      <w:vertAlign w:val="superscript"/>
    </w:rPr>
  </w:style>
  <w:style w:type="paragraph" w:styleId="Sraopastraipa">
    <w:name w:val="List Paragraph"/>
    <w:basedOn w:val="prastasis"/>
    <w:link w:val="SraopastraipaDiagrama"/>
    <w:uiPriority w:val="34"/>
    <w:qFormat/>
    <w:rsid w:val="009E0403"/>
    <w:pPr>
      <w:ind w:left="720"/>
      <w:contextualSpacing/>
    </w:pPr>
  </w:style>
  <w:style w:type="character" w:customStyle="1" w:styleId="SraopastraipaDiagrama">
    <w:name w:val="Sąrašo pastraipa Diagrama"/>
    <w:basedOn w:val="Numatytasispastraiposriftas"/>
    <w:link w:val="Sraopastraipa"/>
    <w:uiPriority w:val="99"/>
    <w:locked/>
    <w:rsid w:val="00B7693C"/>
  </w:style>
  <w:style w:type="character" w:styleId="Komentaronuoroda">
    <w:name w:val="annotation reference"/>
    <w:basedOn w:val="Numatytasispastraiposriftas"/>
    <w:uiPriority w:val="99"/>
    <w:unhideWhenUsed/>
    <w:rsid w:val="000551E9"/>
    <w:rPr>
      <w:sz w:val="16"/>
      <w:szCs w:val="16"/>
    </w:rPr>
  </w:style>
  <w:style w:type="paragraph" w:styleId="Komentarotekstas">
    <w:name w:val="annotation text"/>
    <w:basedOn w:val="prastasis"/>
    <w:link w:val="KomentarotekstasDiagrama"/>
    <w:uiPriority w:val="99"/>
    <w:unhideWhenUsed/>
    <w:rsid w:val="000551E9"/>
    <w:pPr>
      <w:spacing w:after="160" w:line="240" w:lineRule="auto"/>
    </w:pPr>
    <w:rPr>
      <w:sz w:val="20"/>
      <w:szCs w:val="20"/>
    </w:rPr>
  </w:style>
  <w:style w:type="character" w:customStyle="1" w:styleId="KomentarotekstasDiagrama">
    <w:name w:val="Komentaro tekstas Diagrama"/>
    <w:basedOn w:val="Numatytasispastraiposriftas"/>
    <w:link w:val="Komentarotekstas"/>
    <w:uiPriority w:val="99"/>
    <w:rsid w:val="000551E9"/>
    <w:rPr>
      <w:sz w:val="20"/>
      <w:szCs w:val="20"/>
    </w:rPr>
  </w:style>
  <w:style w:type="paragraph" w:styleId="Debesliotekstas">
    <w:name w:val="Balloon Text"/>
    <w:basedOn w:val="prastasis"/>
    <w:link w:val="DebesliotekstasDiagrama"/>
    <w:uiPriority w:val="99"/>
    <w:semiHidden/>
    <w:unhideWhenUsed/>
    <w:rsid w:val="000551E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51E9"/>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A26365"/>
    <w:pPr>
      <w:spacing w:after="200"/>
    </w:pPr>
    <w:rPr>
      <w:b/>
      <w:bCs/>
    </w:rPr>
  </w:style>
  <w:style w:type="character" w:customStyle="1" w:styleId="KomentarotemaDiagrama">
    <w:name w:val="Komentaro tema Diagrama"/>
    <w:basedOn w:val="KomentarotekstasDiagrama"/>
    <w:link w:val="Komentarotema"/>
    <w:uiPriority w:val="99"/>
    <w:semiHidden/>
    <w:rsid w:val="00A263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32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8C135-6D30-4BD3-A2C9-52D879E85765}">
  <ds:schemaRefs>
    <ds:schemaRef ds:uri="http://schemas.microsoft.com/sharepoint/v3/contenttype/forms"/>
  </ds:schemaRefs>
</ds:datastoreItem>
</file>

<file path=customXml/itemProps2.xml><?xml version="1.0" encoding="utf-8"?>
<ds:datastoreItem xmlns:ds="http://schemas.openxmlformats.org/officeDocument/2006/customXml" ds:itemID="{972BD448-296D-4338-8153-C7D07D02A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DAB3-3953-453B-9C5E-5250A8B93364}">
  <ds:schemaRefs>
    <ds:schemaRef ds:uri="http://schemas.openxmlformats.org/package/2006/metadata/core-properties"/>
    <ds:schemaRef ds:uri="http://schemas.microsoft.com/office/2006/metadata/properties"/>
    <ds:schemaRef ds:uri="http://purl.org/dc/dcmitype/"/>
    <ds:schemaRef ds:uri="028236e2-f653-4d19-ab67-4d06a9145e0c"/>
    <ds:schemaRef ds:uri="http://purl.org/dc/elements/1.1/"/>
    <ds:schemaRef ds:uri="http://www.w3.org/XML/1998/namespace"/>
    <ds:schemaRef ds:uri="http://purl.org/dc/terms/"/>
    <ds:schemaRef ds:uri="http://schemas.microsoft.com/office/2006/documentManagement/types"/>
    <ds:schemaRef ds:uri="4b2e9d09-07c5-42d4-ad0a-92e216c40b99"/>
    <ds:schemaRef ds:uri="http://schemas.microsoft.com/office/infopath/2007/PartnerControls"/>
    <ds:schemaRef ds:uri="f5ebda27-b626-448f-a7d1-d1cf5ad133fa"/>
  </ds:schemaRefs>
</ds:datastoreItem>
</file>

<file path=customXml/itemProps4.xml><?xml version="1.0" encoding="utf-8"?>
<ds:datastoreItem xmlns:ds="http://schemas.openxmlformats.org/officeDocument/2006/customXml" ds:itemID="{B26EE55B-C7D8-41E9-90AC-CD0715865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11</Pages>
  <Words>19461</Words>
  <Characters>11094</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30495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Namajuškienė</dc:creator>
  <cp:lastModifiedBy>Rasa Baltronaitė</cp:lastModifiedBy>
  <cp:revision>42</cp:revision>
  <dcterms:created xsi:type="dcterms:W3CDTF">2021-07-07T08:31:00Z</dcterms:created>
  <dcterms:modified xsi:type="dcterms:W3CDTF">2021-07-09T09:59:00Z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ContentTypeId">
    <vt:lpwstr>0x010100D76F90AF19434866994CD715ED8FEE4200712820E1B0DE314FBCE77D75ADAD206D</vt:lpwstr>
  </property>
  <property fmtid="{D5CDD505-2E9C-101B-9397-08002B2CF9AE}" pid="4" name="DmsPermissionsDivisions">
    <vt:lpwstr/>
  </property>
  <property fmtid="{D5CDD505-2E9C-101B-9397-08002B2CF9AE}" pid="5" name="DmsPermissionsUsers">
    <vt:lpwstr>721;#Laura Namajuškienė;#67;#Agnė Sakevičiūtė;#233;#Jūratė Lepardinienė</vt:lpwstr>
  </property>
  <property fmtid="{D5CDD505-2E9C-101B-9397-08002B2CF9AE}" pid="6" name="TaxCatchAll">
    <vt:lpwstr/>
  </property>
  <property fmtid="{D5CDD505-2E9C-101B-9397-08002B2CF9AE}" pid="7" name="DmsDocPrepDocSendRegReal">
    <vt:bool>false</vt:bool>
  </property>
</Properties>
</file>