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45076945"/>
        <w:docPartObj>
          <w:docPartGallery w:val="Page Numbers (Top of Page)"/>
          <w:docPartUnique/>
        </w:docPartObj>
      </w:sdtPr>
      <w:sdtEndPr>
        <w:rPr>
          <w:rFonts w:ascii="Times New Roman" w:hAnsi="Times New Roman" w:cs="Times New Roman"/>
          <w:sz w:val="24"/>
          <w:szCs w:val="24"/>
        </w:rPr>
      </w:sdtEndPr>
      <w:sdtContent>
        <w:p w14:paraId="31073E96" w14:textId="77777777" w:rsidR="00E26431" w:rsidRPr="00E26431" w:rsidRDefault="00E26431" w:rsidP="00E26431">
          <w:pPr>
            <w:suppressAutoHyphens/>
            <w:autoSpaceDN w:val="0"/>
            <w:spacing w:after="0" w:line="240" w:lineRule="auto"/>
            <w:jc w:val="center"/>
            <w:textAlignment w:val="baseline"/>
            <w:rPr>
              <w:rFonts w:ascii="Times New Roman" w:eastAsia="Times New Roman" w:hAnsi="Times New Roman" w:cs="Times New Roman"/>
              <w:b/>
              <w:bCs/>
              <w:caps/>
              <w:color w:val="000000"/>
              <w:sz w:val="24"/>
              <w:szCs w:val="24"/>
              <w:lang w:eastAsia="lt-LT"/>
            </w:rPr>
          </w:pPr>
          <w:r w:rsidRPr="00E26431">
            <w:rPr>
              <w:rFonts w:ascii="Times New Roman" w:eastAsia="Times New Roman" w:hAnsi="Times New Roman" w:cs="Times New Roman"/>
              <w:b/>
              <w:bCs/>
              <w:caps/>
              <w:color w:val="000000"/>
              <w:sz w:val="24"/>
              <w:szCs w:val="24"/>
              <w:lang w:eastAsia="lt-LT"/>
            </w:rPr>
            <w:t xml:space="preserve">LIETUVOS RESPUBLIKOS VYRIAUSYBĖS NUTARIMO </w:t>
          </w:r>
        </w:p>
        <w:p w14:paraId="7DF8C25A" w14:textId="77777777" w:rsidR="00E26431" w:rsidRPr="00E26431" w:rsidRDefault="00E26431" w:rsidP="00E26431">
          <w:pPr>
            <w:suppressAutoHyphens/>
            <w:autoSpaceDN w:val="0"/>
            <w:spacing w:after="0" w:line="240" w:lineRule="auto"/>
            <w:jc w:val="center"/>
            <w:textAlignment w:val="baseline"/>
            <w:rPr>
              <w:rFonts w:ascii="Times New Roman" w:hAnsi="Times New Roman" w:cs="Times New Roman"/>
              <w:b/>
              <w:bCs/>
              <w:caps/>
              <w:sz w:val="24"/>
              <w:szCs w:val="24"/>
              <w:lang w:eastAsia="lt-LT"/>
            </w:rPr>
          </w:pPr>
          <w:r w:rsidRPr="00E26431">
            <w:rPr>
              <w:rFonts w:ascii="Times New Roman" w:eastAsia="Times New Roman" w:hAnsi="Times New Roman" w:cs="Times New Roman"/>
              <w:b/>
              <w:bCs/>
              <w:caps/>
              <w:color w:val="000000"/>
              <w:sz w:val="24"/>
              <w:szCs w:val="24"/>
              <w:lang w:eastAsia="lt-LT"/>
            </w:rPr>
            <w:t>,,</w:t>
          </w:r>
          <w:r w:rsidRPr="00E26431">
            <w:rPr>
              <w:rFonts w:ascii="Times New Roman" w:hAnsi="Times New Roman" w:cs="Times New Roman"/>
              <w:b/>
              <w:color w:val="000000"/>
              <w:sz w:val="24"/>
              <w:szCs w:val="24"/>
            </w:rPr>
            <w:t xml:space="preserve">DĖL LIETUVOS RESPUBLIKOS VYRIAUSYBĖS 2020 M. RUGPJŪČIO 12 D. NUTARIMO NR. 900 „DĖL LIETUVOS RESPUBLIKOS REGIONINĖS PLĖTROS ĮSTATYMO ĮGYVENDINIMO“ </w:t>
          </w:r>
          <w:r w:rsidRPr="00E26431">
            <w:rPr>
              <w:rFonts w:ascii="Times New Roman" w:hAnsi="Times New Roman" w:cs="Times New Roman"/>
              <w:b/>
              <w:bCs/>
              <w:caps/>
              <w:sz w:val="24"/>
              <w:szCs w:val="24"/>
              <w:lang w:eastAsia="lt-LT"/>
            </w:rPr>
            <w:t>PAKEITIMO“ PROJEKTO</w:t>
          </w:r>
        </w:p>
        <w:p w14:paraId="4B44E9EF" w14:textId="75945A50" w:rsidR="00E26431" w:rsidRDefault="00E26431" w:rsidP="00E26431">
          <w:pPr>
            <w:suppressAutoHyphens/>
            <w:autoSpaceDN w:val="0"/>
            <w:spacing w:after="0" w:line="240" w:lineRule="auto"/>
            <w:jc w:val="center"/>
            <w:textAlignment w:val="baseline"/>
            <w:rPr>
              <w:rFonts w:ascii="Times New Roman" w:eastAsia="Times New Roman" w:hAnsi="Times New Roman" w:cs="Times New Roman"/>
              <w:b/>
              <w:bCs/>
              <w:caps/>
              <w:color w:val="000000"/>
              <w:sz w:val="24"/>
              <w:szCs w:val="24"/>
              <w:lang w:eastAsia="lt-LT"/>
            </w:rPr>
          </w:pPr>
          <w:r w:rsidRPr="00E26431">
            <w:rPr>
              <w:rFonts w:ascii="Times New Roman" w:eastAsia="Times New Roman" w:hAnsi="Times New Roman" w:cs="Times New Roman"/>
              <w:b/>
              <w:bCs/>
              <w:caps/>
              <w:color w:val="000000"/>
              <w:sz w:val="24"/>
              <w:szCs w:val="24"/>
              <w:lang w:eastAsia="lt-LT"/>
            </w:rPr>
            <w:t>(TOLIAU –</w:t>
          </w:r>
          <w:r w:rsidR="0010219B">
            <w:rPr>
              <w:rFonts w:ascii="Times New Roman" w:eastAsia="Times New Roman" w:hAnsi="Times New Roman" w:cs="Times New Roman"/>
              <w:b/>
              <w:bCs/>
              <w:caps/>
              <w:color w:val="000000"/>
              <w:sz w:val="24"/>
              <w:szCs w:val="24"/>
              <w:lang w:eastAsia="lt-LT"/>
            </w:rPr>
            <w:t xml:space="preserve"> </w:t>
          </w:r>
          <w:r w:rsidRPr="00E26431">
            <w:rPr>
              <w:rFonts w:ascii="Times New Roman" w:eastAsia="Times New Roman" w:hAnsi="Times New Roman" w:cs="Times New Roman"/>
              <w:b/>
              <w:bCs/>
              <w:caps/>
              <w:color w:val="000000"/>
              <w:sz w:val="24"/>
              <w:szCs w:val="24"/>
              <w:lang w:eastAsia="lt-LT"/>
            </w:rPr>
            <w:t>PROJEKTAS)</w:t>
          </w:r>
        </w:p>
        <w:p w14:paraId="29A86217" w14:textId="0CEA184F" w:rsidR="0010219B" w:rsidRPr="00E26431" w:rsidRDefault="0010219B" w:rsidP="00E26431">
          <w:pPr>
            <w:suppressAutoHyphens/>
            <w:autoSpaceDN w:val="0"/>
            <w:spacing w:after="0" w:line="240" w:lineRule="auto"/>
            <w:jc w:val="center"/>
            <w:textAlignment w:val="baseline"/>
            <w:rPr>
              <w:rFonts w:ascii="Times New Roman" w:eastAsia="Times New Roman" w:hAnsi="Times New Roman" w:cs="Times New Roman"/>
              <w:b/>
              <w:bCs/>
              <w:caps/>
              <w:color w:val="000000"/>
              <w:sz w:val="24"/>
              <w:szCs w:val="24"/>
              <w:lang w:eastAsia="lt-LT"/>
            </w:rPr>
          </w:pPr>
          <w:r>
            <w:rPr>
              <w:rFonts w:ascii="Times New Roman" w:eastAsia="Times New Roman" w:hAnsi="Times New Roman" w:cs="Times New Roman"/>
              <w:b/>
              <w:bCs/>
              <w:caps/>
              <w:color w:val="000000"/>
              <w:sz w:val="24"/>
              <w:szCs w:val="24"/>
              <w:lang w:eastAsia="lt-LT"/>
            </w:rPr>
            <w:t>DERINIMO PAŽYMA</w:t>
          </w:r>
        </w:p>
        <w:p w14:paraId="2DCF5DC0" w14:textId="77777777" w:rsidR="00E26431" w:rsidRPr="00E26431" w:rsidRDefault="00E26431" w:rsidP="00E26431">
          <w:pPr>
            <w:suppressAutoHyphens/>
            <w:autoSpaceDN w:val="0"/>
            <w:spacing w:after="0" w:line="240" w:lineRule="auto"/>
            <w:jc w:val="center"/>
            <w:textAlignment w:val="baseline"/>
            <w:rPr>
              <w:rFonts w:ascii="Times New Roman" w:eastAsia="Times New Roman" w:hAnsi="Times New Roman" w:cs="Times New Roman"/>
              <w:b/>
              <w:bCs/>
              <w:caps/>
              <w:color w:val="000000"/>
              <w:sz w:val="24"/>
              <w:szCs w:val="24"/>
              <w:lang w:eastAsia="lt-LT"/>
            </w:rPr>
          </w:pPr>
        </w:p>
        <w:p w14:paraId="074C661F" w14:textId="5BEDE52C" w:rsidR="00E26431" w:rsidRPr="000167ED" w:rsidRDefault="00E26431" w:rsidP="00E26431">
          <w:pPr>
            <w:pStyle w:val="Antrats"/>
            <w:jc w:val="center"/>
            <w:rPr>
              <w:rFonts w:ascii="Times New Roman" w:hAnsi="Times New Roman" w:cs="Times New Roman"/>
              <w:sz w:val="24"/>
              <w:szCs w:val="24"/>
            </w:rPr>
          </w:pPr>
          <w:r>
            <w:rPr>
              <w:rFonts w:ascii="Times New Roman" w:hAnsi="Times New Roman" w:cs="Times New Roman"/>
              <w:sz w:val="24"/>
              <w:szCs w:val="24"/>
            </w:rPr>
            <w:t>2021-0</w:t>
          </w:r>
          <w:bookmarkStart w:id="0" w:name="_GoBack"/>
          <w:r w:rsidR="00CE34E6">
            <w:rPr>
              <w:rFonts w:ascii="Times New Roman" w:hAnsi="Times New Roman" w:cs="Times New Roman"/>
              <w:sz w:val="24"/>
              <w:szCs w:val="24"/>
            </w:rPr>
            <w:t>2</w:t>
          </w:r>
          <w:r>
            <w:rPr>
              <w:rFonts w:ascii="Times New Roman" w:hAnsi="Times New Roman" w:cs="Times New Roman"/>
              <w:sz w:val="24"/>
              <w:szCs w:val="24"/>
            </w:rPr>
            <w:t>-</w:t>
          </w:r>
          <w:r w:rsidR="00CE34E6">
            <w:rPr>
              <w:rFonts w:ascii="Times New Roman" w:hAnsi="Times New Roman" w:cs="Times New Roman"/>
              <w:sz w:val="24"/>
              <w:szCs w:val="24"/>
            </w:rPr>
            <w:t>12</w:t>
          </w:r>
        </w:p>
        <w:bookmarkEnd w:id="0" w:displacedByCustomXml="next"/>
      </w:sdtContent>
    </w:sdt>
    <w:p w14:paraId="2697D86C" w14:textId="445BCD6F" w:rsidR="00F572E1" w:rsidRDefault="00F572E1"/>
    <w:tbl>
      <w:tblPr>
        <w:tblStyle w:val="Lentelstinklelis"/>
        <w:tblW w:w="14299" w:type="dxa"/>
        <w:tblLayout w:type="fixed"/>
        <w:tblLook w:val="04A0" w:firstRow="1" w:lastRow="0" w:firstColumn="1" w:lastColumn="0" w:noHBand="0" w:noVBand="1"/>
      </w:tblPr>
      <w:tblGrid>
        <w:gridCol w:w="1980"/>
        <w:gridCol w:w="5953"/>
        <w:gridCol w:w="6366"/>
      </w:tblGrid>
      <w:tr w:rsidR="00560598" w14:paraId="0EA251AD" w14:textId="77777777" w:rsidTr="00355655">
        <w:tc>
          <w:tcPr>
            <w:tcW w:w="1980" w:type="dxa"/>
          </w:tcPr>
          <w:p w14:paraId="2A567E61" w14:textId="1FCF44BA" w:rsidR="00560598" w:rsidRPr="00E26431" w:rsidRDefault="00E26431" w:rsidP="00E26431">
            <w:pPr>
              <w:jc w:val="center"/>
              <w:rPr>
                <w:b/>
              </w:rPr>
            </w:pPr>
            <w:r w:rsidRPr="00E26431">
              <w:rPr>
                <w:rFonts w:ascii="Times New Roman" w:hAnsi="Times New Roman" w:cs="Times New Roman"/>
                <w:b/>
                <w:sz w:val="24"/>
                <w:szCs w:val="24"/>
                <w:lang w:eastAsia="lt-LT"/>
              </w:rPr>
              <w:t>Suinteresuotos institucijos</w:t>
            </w:r>
          </w:p>
        </w:tc>
        <w:tc>
          <w:tcPr>
            <w:tcW w:w="5953" w:type="dxa"/>
          </w:tcPr>
          <w:p w14:paraId="533B0C3B" w14:textId="343822A2" w:rsidR="00560598" w:rsidRPr="00E26431" w:rsidRDefault="00E26431" w:rsidP="00E26431">
            <w:pPr>
              <w:jc w:val="center"/>
              <w:rPr>
                <w:b/>
              </w:rPr>
            </w:pPr>
            <w:r>
              <w:rPr>
                <w:rFonts w:ascii="Times New Roman" w:hAnsi="Times New Roman" w:cs="Times New Roman"/>
                <w:b/>
                <w:sz w:val="24"/>
                <w:szCs w:val="24"/>
                <w:lang w:eastAsia="lt-LT"/>
              </w:rPr>
              <w:t>Pastabos, pasiūlymai</w:t>
            </w:r>
          </w:p>
        </w:tc>
        <w:tc>
          <w:tcPr>
            <w:tcW w:w="6366" w:type="dxa"/>
          </w:tcPr>
          <w:p w14:paraId="1B5107BB" w14:textId="499C2974" w:rsidR="00560598" w:rsidRPr="00E26431" w:rsidRDefault="00E26431" w:rsidP="00E26431">
            <w:pPr>
              <w:jc w:val="center"/>
              <w:rPr>
                <w:b/>
              </w:rPr>
            </w:pPr>
            <w:r w:rsidRPr="00E26431">
              <w:rPr>
                <w:rFonts w:ascii="Times New Roman" w:hAnsi="Times New Roman" w:cs="Times New Roman"/>
                <w:b/>
                <w:bCs/>
                <w:sz w:val="24"/>
                <w:szCs w:val="24"/>
              </w:rPr>
              <w:t>Argumentai, kodėl neatsižvelgta arba tik iš dalies atsižvelgta į suinteresuotų institucijų ir asmenų pastabas ir pasiūlymus</w:t>
            </w:r>
          </w:p>
        </w:tc>
      </w:tr>
      <w:tr w:rsidR="00960C9C" w14:paraId="6F7A51DD" w14:textId="77777777" w:rsidTr="00355655">
        <w:tc>
          <w:tcPr>
            <w:tcW w:w="1980" w:type="dxa"/>
            <w:vMerge w:val="restart"/>
          </w:tcPr>
          <w:p w14:paraId="04240AEE" w14:textId="15F81C93" w:rsidR="00960C9C" w:rsidRDefault="00960C9C">
            <w:r w:rsidRPr="00E26431">
              <w:rPr>
                <w:rFonts w:ascii="Times New Roman" w:hAnsi="Times New Roman" w:cs="Times New Roman"/>
                <w:sz w:val="24"/>
                <w:szCs w:val="24"/>
                <w:lang w:eastAsia="lt-LT"/>
              </w:rPr>
              <w:t>Vyriausybės kanceliarijos Teisės grupė</w:t>
            </w:r>
          </w:p>
        </w:tc>
        <w:tc>
          <w:tcPr>
            <w:tcW w:w="5953" w:type="dxa"/>
          </w:tcPr>
          <w:p w14:paraId="75C3FEF6" w14:textId="5D6E7397" w:rsidR="00960C9C" w:rsidRPr="000C7233" w:rsidRDefault="00960C9C" w:rsidP="00735CA8">
            <w:pPr>
              <w:jc w:val="both"/>
              <w:rPr>
                <w:rFonts w:ascii="Times New Roman" w:hAnsi="Times New Roman" w:cs="Times New Roman"/>
                <w:sz w:val="24"/>
                <w:szCs w:val="24"/>
                <w:lang w:eastAsia="lt-LT"/>
              </w:rPr>
            </w:pPr>
            <w:r w:rsidRPr="000C7233">
              <w:rPr>
                <w:rFonts w:ascii="Times New Roman" w:hAnsi="Times New Roman" w:cs="Times New Roman"/>
                <w:sz w:val="24"/>
                <w:szCs w:val="24"/>
              </w:rPr>
              <w:t xml:space="preserve">Atsižvelgdami į tai, kad Projektu nauja redakcija dėstomo </w:t>
            </w:r>
            <w:r w:rsidRPr="000C7233">
              <w:rPr>
                <w:rFonts w:ascii="Times New Roman" w:hAnsi="Times New Roman" w:cs="Times New Roman"/>
                <w:sz w:val="24"/>
                <w:szCs w:val="24"/>
                <w:lang w:eastAsia="lt-LT"/>
              </w:rPr>
              <w:t>Lietuvos Respublikos Vyriausybės 2020 m. rugpjūčio 12 d. nutarimo Nr. 900 „</w:t>
            </w:r>
            <w:bookmarkStart w:id="1" w:name="_Hlk60304016"/>
            <w:r w:rsidRPr="000C7233">
              <w:rPr>
                <w:rFonts w:ascii="Times New Roman" w:hAnsi="Times New Roman" w:cs="Times New Roman"/>
                <w:sz w:val="24"/>
                <w:szCs w:val="24"/>
                <w:lang w:eastAsia="lt-LT"/>
              </w:rPr>
              <w:t>Dėl Lietuvos Respublikos regioninės plėtros įstatymo įgyvendinimo“</w:t>
            </w:r>
            <w:bookmarkEnd w:id="1"/>
            <w:r w:rsidRPr="000C7233">
              <w:rPr>
                <w:rFonts w:ascii="Times New Roman" w:hAnsi="Times New Roman" w:cs="Times New Roman"/>
                <w:sz w:val="24"/>
                <w:szCs w:val="24"/>
                <w:lang w:eastAsia="lt-LT"/>
              </w:rPr>
              <w:t xml:space="preserve"> (toliau – nutarimas) pavadinimas yra „Dėl Lietuvos Respublikos regioninės plėtros įstatymo įgyvendinimo“, o tai reiškia, kad visi tik </w:t>
            </w:r>
            <w:bookmarkStart w:id="2" w:name="_Hlk60304186"/>
            <w:r w:rsidRPr="000C7233">
              <w:rPr>
                <w:rFonts w:ascii="Times New Roman" w:hAnsi="Times New Roman" w:cs="Times New Roman"/>
                <w:sz w:val="24"/>
                <w:szCs w:val="24"/>
                <w:lang w:eastAsia="lt-LT"/>
              </w:rPr>
              <w:t>Regioninės plėtros įstatym</w:t>
            </w:r>
            <w:bookmarkEnd w:id="2"/>
            <w:r w:rsidRPr="000C7233">
              <w:rPr>
                <w:rFonts w:ascii="Times New Roman" w:hAnsi="Times New Roman" w:cs="Times New Roman"/>
                <w:sz w:val="24"/>
                <w:szCs w:val="24"/>
                <w:lang w:eastAsia="lt-LT"/>
              </w:rPr>
              <w:t xml:space="preserve">ą (toliau – Įstatymas) </w:t>
            </w:r>
            <w:r w:rsidRPr="000C7233">
              <w:rPr>
                <w:rFonts w:ascii="Times New Roman" w:hAnsi="Times New Roman" w:cs="Times New Roman"/>
                <w:i/>
                <w:iCs/>
                <w:sz w:val="24"/>
                <w:szCs w:val="24"/>
                <w:lang w:eastAsia="lt-LT"/>
              </w:rPr>
              <w:t xml:space="preserve">įgyvendinantys teisės aktai </w:t>
            </w:r>
            <w:r w:rsidRPr="000C7233">
              <w:rPr>
                <w:rFonts w:ascii="Times New Roman" w:hAnsi="Times New Roman" w:cs="Times New Roman"/>
                <w:sz w:val="24"/>
                <w:szCs w:val="24"/>
                <w:lang w:eastAsia="lt-LT"/>
              </w:rPr>
              <w:t xml:space="preserve">(išskyrus tuos, kurie įgyvendina kelis įstatymus), kuriuos tvirtina Vyriausybė ar jos </w:t>
            </w:r>
            <w:r w:rsidRPr="000C7233">
              <w:rPr>
                <w:rFonts w:ascii="Times New Roman" w:hAnsi="Times New Roman" w:cs="Times New Roman"/>
                <w:i/>
                <w:iCs/>
                <w:sz w:val="24"/>
                <w:szCs w:val="24"/>
                <w:lang w:eastAsia="lt-LT"/>
              </w:rPr>
              <w:t>suteikiami įgaliojimai</w:t>
            </w:r>
            <w:r w:rsidRPr="000C7233">
              <w:rPr>
                <w:rFonts w:ascii="Times New Roman" w:hAnsi="Times New Roman" w:cs="Times New Roman"/>
                <w:sz w:val="24"/>
                <w:szCs w:val="24"/>
                <w:lang w:eastAsia="lt-LT"/>
              </w:rPr>
              <w:t xml:space="preserve"> </w:t>
            </w:r>
            <w:r w:rsidRPr="000C7233">
              <w:rPr>
                <w:rFonts w:ascii="Times New Roman" w:hAnsi="Times New Roman" w:cs="Times New Roman"/>
                <w:i/>
                <w:iCs/>
                <w:sz w:val="24"/>
                <w:szCs w:val="24"/>
                <w:lang w:eastAsia="lt-LT"/>
              </w:rPr>
              <w:t>turi būti nustatyti Projekte</w:t>
            </w:r>
            <w:r w:rsidRPr="000C7233">
              <w:rPr>
                <w:rFonts w:ascii="Times New Roman" w:hAnsi="Times New Roman" w:cs="Times New Roman"/>
                <w:sz w:val="24"/>
                <w:szCs w:val="24"/>
                <w:lang w:eastAsia="lt-LT"/>
              </w:rPr>
              <w:t>. Sistemiškai įvertinus Įstatymą (išdėstytą nauja redakcija 2020 m. birželio 11 d. įstatymu Nr. XIII-3041) ir Vyriausybės nutarimus, kurie įgyvendina iki naujos redakcijos išdėstyto Įstatymo galiojusią redakciją (pvz., Lietuvos Respublikos Vyriausybės 2015 m. lapkričio 11 d. nutarimas Nr. 1184 „Dėl Regionų socialinės, ekonominės plėtros ir (arba) infrastruktūros projektų pripažinimo regioninės svarbos projektais kriterijų aprašo patvirtinimo“, Lietuvos Respublikos Vyriausybės 2003 m. balandžio 8 d. nutarimas Nr. 428 „Dėl probleminių teritorijų išskyrimo kriterijų“,</w:t>
            </w:r>
            <w:r w:rsidRPr="000C7233">
              <w:rPr>
                <w:rFonts w:ascii="Times New Roman" w:hAnsi="Times New Roman" w:cs="Times New Roman"/>
                <w:color w:val="000000"/>
                <w:sz w:val="24"/>
                <w:szCs w:val="24"/>
                <w:shd w:val="clear" w:color="auto" w:fill="FFFFFF"/>
              </w:rPr>
              <w:t xml:space="preserve"> </w:t>
            </w:r>
            <w:r w:rsidRPr="000C7233">
              <w:rPr>
                <w:rFonts w:ascii="Times New Roman" w:hAnsi="Times New Roman" w:cs="Times New Roman"/>
                <w:sz w:val="24"/>
                <w:szCs w:val="24"/>
                <w:lang w:eastAsia="lt-LT"/>
              </w:rPr>
              <w:t xml:space="preserve">Lietuvos Respublikos Vyriausybės 2007 m. sausio 31 d. nutarimas Nr. 112 „Dėl probleminių teritorijų“, </w:t>
            </w:r>
            <w:r w:rsidRPr="000C7233">
              <w:rPr>
                <w:rFonts w:ascii="Times New Roman" w:hAnsi="Times New Roman" w:cs="Times New Roman"/>
                <w:sz w:val="24"/>
                <w:szCs w:val="24"/>
                <w:lang w:eastAsia="lt-LT"/>
              </w:rPr>
              <w:lastRenderedPageBreak/>
              <w:t xml:space="preserve">Lietuvos Respublikos Vyriausybės 2003 m. balandžio 14 d. nutarimas Nr. 465 „Dėl Nacionalinės regioninės plėtros tarybos sudarymo ir jos nuostatų patvirtinimo“, Lietuvos Respublikos Vyriausybės 2018 m. vasario 7 d. nutarimas Nr. 139 „Dėl Socialinių ir ekonominių partnerių pasiūlytų atstovų skyrimo į regionų plėtros tarybas ir atšaukimo tvarkos aprašo patvirtinimo“ ir kiti), siūlome šiuos nutarimus pakeisti atsižvelgiant į Įstatyme nustatytą teisinį reguliavimą (pripažinti netekusiais galios ir (ar) inkorporuoti į Projektą). </w:t>
            </w:r>
          </w:p>
          <w:p w14:paraId="7B190D8A" w14:textId="732908C6" w:rsidR="00960C9C" w:rsidRPr="000C7233" w:rsidRDefault="00960C9C" w:rsidP="00735CA8">
            <w:pPr>
              <w:jc w:val="both"/>
              <w:rPr>
                <w:rFonts w:ascii="Times New Roman" w:hAnsi="Times New Roman" w:cs="Times New Roman"/>
                <w:sz w:val="24"/>
                <w:szCs w:val="24"/>
                <w:lang w:eastAsia="lt-LT"/>
              </w:rPr>
            </w:pPr>
            <w:r w:rsidRPr="000C7233">
              <w:rPr>
                <w:rFonts w:ascii="Times New Roman" w:hAnsi="Times New Roman" w:cs="Times New Roman"/>
                <w:sz w:val="24"/>
                <w:szCs w:val="24"/>
                <w:lang w:eastAsia="lt-LT"/>
              </w:rPr>
              <w:t xml:space="preserve">Taip pat įvertinus Įstatymo nuostatas – kai kurios jų neįgyvendintos Projekte, pvz., pagal Įstatymo 7 straipsnio 4 dalį, projekto pripažinimo regioninės svarbos projektu, regioninės svarbos projekto įgyvendinimo priežiūros ir regiono plėtros tarybos sprendimo, kuriuo projektas pripažintas regioninės svarbos projektu, pripažinimo netekusiu galios priėmimo tvarką nustato Vyriausybė ar jos įgaliota institucija, </w:t>
            </w:r>
            <w:bookmarkStart w:id="3" w:name="_Hlk60316389"/>
            <w:r w:rsidRPr="000C7233">
              <w:rPr>
                <w:rFonts w:ascii="Times New Roman" w:hAnsi="Times New Roman" w:cs="Times New Roman"/>
                <w:sz w:val="24"/>
                <w:szCs w:val="24"/>
                <w:lang w:eastAsia="lt-LT"/>
              </w:rPr>
              <w:t xml:space="preserve">pagal Įstatymo 9 straipsnio 3 punktą </w:t>
            </w:r>
            <w:bookmarkEnd w:id="3"/>
            <w:r w:rsidRPr="000C7233">
              <w:rPr>
                <w:rFonts w:ascii="Times New Roman" w:hAnsi="Times New Roman" w:cs="Times New Roman"/>
                <w:sz w:val="24"/>
                <w:szCs w:val="24"/>
                <w:lang w:eastAsia="lt-LT"/>
              </w:rPr>
              <w:t xml:space="preserve">Vyriausybė tvirtina arba suteikia įgaliojimus tvirtinti </w:t>
            </w:r>
            <w:bookmarkStart w:id="4" w:name="_Hlk60650199"/>
            <w:r w:rsidRPr="000C7233">
              <w:rPr>
                <w:rFonts w:ascii="Times New Roman" w:hAnsi="Times New Roman" w:cs="Times New Roman"/>
                <w:sz w:val="24"/>
                <w:szCs w:val="24"/>
                <w:lang w:eastAsia="lt-LT"/>
              </w:rPr>
              <w:t xml:space="preserve">tikslinių teritorijų išskyrimo </w:t>
            </w:r>
            <w:bookmarkEnd w:id="4"/>
            <w:r w:rsidRPr="000C7233">
              <w:rPr>
                <w:rFonts w:ascii="Times New Roman" w:hAnsi="Times New Roman" w:cs="Times New Roman"/>
                <w:sz w:val="24"/>
                <w:szCs w:val="24"/>
                <w:lang w:eastAsia="lt-LT"/>
              </w:rPr>
              <w:t>kriterijus ir išskiria arba suteikia įgaliojimus išskirti tikslines teritorijas pagal patvirtintus tikslinių teritorijų išskyrimo kriterijus; pagal Įstatymo 9 straipsnio 5 punktą</w:t>
            </w:r>
            <w:r w:rsidRPr="000C7233">
              <w:rPr>
                <w:rFonts w:ascii="Times New Roman" w:hAnsi="Times New Roman" w:cs="Times New Roman"/>
                <w:color w:val="000000"/>
                <w:sz w:val="24"/>
                <w:szCs w:val="24"/>
                <w:shd w:val="clear" w:color="auto" w:fill="FFFFFF"/>
              </w:rPr>
              <w:t xml:space="preserve"> Vyriausybė </w:t>
            </w:r>
            <w:r w:rsidRPr="000C7233">
              <w:rPr>
                <w:rFonts w:ascii="Times New Roman" w:hAnsi="Times New Roman" w:cs="Times New Roman"/>
                <w:sz w:val="24"/>
                <w:szCs w:val="24"/>
                <w:lang w:eastAsia="lt-LT"/>
              </w:rPr>
              <w:t xml:space="preserve">tvirtina įstaigų, kurių savininkė ar dalininkė yra valstybė, teikiančių ministerijoms ir regionų plėtros taryboms tyrimų, analizės, prognozavimo ir konsultavimo paslaugas, sąrašą ir kita. Atsižvelgdami į tai, manome, kad turėtų būti paskubėta įgyvendinti iki šiol tinkamai neįgyvendinto 2020 m. rugsėjo 1 d. (išskyrus kai kurios nuostatos – 2021 m. kovo 1 d.) įsigaliojusio Įstatymo ir siekiant Įstatymo </w:t>
            </w:r>
            <w:r w:rsidRPr="000C7233">
              <w:rPr>
                <w:rFonts w:ascii="Times New Roman" w:hAnsi="Times New Roman" w:cs="Times New Roman"/>
                <w:bCs/>
                <w:sz w:val="24"/>
                <w:szCs w:val="24"/>
                <w:lang w:eastAsia="lt-LT"/>
              </w:rPr>
              <w:t xml:space="preserve">įgyvendinimo peržiūros kompleksiškumo, teisėkūros ekonomiškumo, taip pat vengiant nepagrįstai didelio atskirų teisės aktų skaičiaus, atskirų fragmentiškų pakeitimų, papildžius Projektą – jį </w:t>
            </w:r>
            <w:r w:rsidRPr="000C7233">
              <w:rPr>
                <w:rFonts w:ascii="Times New Roman" w:hAnsi="Times New Roman" w:cs="Times New Roman"/>
                <w:bCs/>
                <w:sz w:val="24"/>
                <w:szCs w:val="24"/>
                <w:lang w:eastAsia="lt-LT"/>
              </w:rPr>
              <w:lastRenderedPageBreak/>
              <w:t>teikti Vyriausybei Vyriausybės darbo reglamento nustatyta tvarka.</w:t>
            </w:r>
          </w:p>
          <w:p w14:paraId="0B294FD0" w14:textId="77777777" w:rsidR="00960C9C" w:rsidRPr="000C7233" w:rsidRDefault="00960C9C" w:rsidP="00735CA8">
            <w:pPr>
              <w:rPr>
                <w:rFonts w:ascii="Times New Roman" w:hAnsi="Times New Roman" w:cs="Times New Roman"/>
                <w:sz w:val="24"/>
                <w:szCs w:val="24"/>
              </w:rPr>
            </w:pPr>
          </w:p>
        </w:tc>
        <w:tc>
          <w:tcPr>
            <w:tcW w:w="6366" w:type="dxa"/>
          </w:tcPr>
          <w:p w14:paraId="7BC67D6E" w14:textId="521CDE34" w:rsidR="00960C9C" w:rsidRPr="00355655" w:rsidRDefault="00960C9C" w:rsidP="00735CA8">
            <w:pPr>
              <w:rPr>
                <w:rFonts w:ascii="Times New Roman" w:hAnsi="Times New Roman" w:cs="Times New Roman"/>
                <w:b/>
                <w:sz w:val="24"/>
                <w:szCs w:val="24"/>
              </w:rPr>
            </w:pPr>
            <w:r w:rsidRPr="00355655">
              <w:rPr>
                <w:rFonts w:ascii="Times New Roman" w:hAnsi="Times New Roman" w:cs="Times New Roman"/>
                <w:b/>
                <w:sz w:val="24"/>
                <w:szCs w:val="24"/>
              </w:rPr>
              <w:lastRenderedPageBreak/>
              <w:t>Neatsižvelgta.</w:t>
            </w:r>
          </w:p>
          <w:p w14:paraId="4CA50213" w14:textId="142CACB8" w:rsidR="00960C9C" w:rsidRPr="000C7233" w:rsidRDefault="00960C9C" w:rsidP="00BD4C5E">
            <w:pPr>
              <w:jc w:val="both"/>
              <w:rPr>
                <w:rFonts w:ascii="Times New Roman" w:hAnsi="Times New Roman" w:cs="Times New Roman"/>
                <w:sz w:val="24"/>
                <w:szCs w:val="24"/>
              </w:rPr>
            </w:pPr>
            <w:r w:rsidRPr="000C7233">
              <w:rPr>
                <w:rFonts w:ascii="Times New Roman" w:hAnsi="Times New Roman" w:cs="Times New Roman"/>
                <w:sz w:val="24"/>
                <w:szCs w:val="24"/>
              </w:rPr>
              <w:t>1</w:t>
            </w:r>
            <w:r>
              <w:rPr>
                <w:rFonts w:ascii="Times New Roman" w:hAnsi="Times New Roman" w:cs="Times New Roman"/>
                <w:sz w:val="24"/>
                <w:szCs w:val="24"/>
              </w:rPr>
              <w:t>.</w:t>
            </w:r>
            <w:r w:rsidRPr="000C7233">
              <w:rPr>
                <w:rFonts w:ascii="Times New Roman" w:hAnsi="Times New Roman" w:cs="Times New Roman"/>
                <w:sz w:val="24"/>
                <w:szCs w:val="24"/>
              </w:rPr>
              <w:t xml:space="preserve"> Projekte nenustatoma teisės normų, </w:t>
            </w:r>
            <w:r>
              <w:rPr>
                <w:rFonts w:ascii="Times New Roman" w:hAnsi="Times New Roman" w:cs="Times New Roman"/>
                <w:sz w:val="24"/>
                <w:szCs w:val="24"/>
              </w:rPr>
              <w:t>reglamentuojančių</w:t>
            </w:r>
            <w:r w:rsidRPr="000C7233">
              <w:rPr>
                <w:rFonts w:ascii="Times New Roman" w:hAnsi="Times New Roman" w:cs="Times New Roman"/>
                <w:sz w:val="24"/>
                <w:szCs w:val="24"/>
              </w:rPr>
              <w:t xml:space="preserve"> t</w:t>
            </w:r>
            <w:r>
              <w:rPr>
                <w:rFonts w:ascii="Times New Roman" w:hAnsi="Times New Roman" w:cs="Times New Roman"/>
                <w:sz w:val="24"/>
                <w:szCs w:val="24"/>
              </w:rPr>
              <w:t>uos</w:t>
            </w:r>
            <w:r w:rsidRPr="000C7233">
              <w:rPr>
                <w:rFonts w:ascii="Times New Roman" w:hAnsi="Times New Roman" w:cs="Times New Roman"/>
                <w:sz w:val="24"/>
                <w:szCs w:val="24"/>
              </w:rPr>
              <w:t xml:space="preserve"> pa</w:t>
            </w:r>
            <w:r>
              <w:rPr>
                <w:rFonts w:ascii="Times New Roman" w:hAnsi="Times New Roman" w:cs="Times New Roman"/>
                <w:sz w:val="24"/>
                <w:szCs w:val="24"/>
              </w:rPr>
              <w:t>čius</w:t>
            </w:r>
            <w:r w:rsidRPr="000C7233">
              <w:rPr>
                <w:rFonts w:ascii="Times New Roman" w:hAnsi="Times New Roman" w:cs="Times New Roman"/>
                <w:sz w:val="24"/>
                <w:szCs w:val="24"/>
              </w:rPr>
              <w:t xml:space="preserve"> teisini</w:t>
            </w:r>
            <w:r>
              <w:rPr>
                <w:rFonts w:ascii="Times New Roman" w:hAnsi="Times New Roman" w:cs="Times New Roman"/>
                <w:sz w:val="24"/>
                <w:szCs w:val="24"/>
              </w:rPr>
              <w:t>us</w:t>
            </w:r>
            <w:r w:rsidRPr="000C7233">
              <w:rPr>
                <w:rFonts w:ascii="Times New Roman" w:hAnsi="Times New Roman" w:cs="Times New Roman"/>
                <w:sz w:val="24"/>
                <w:szCs w:val="24"/>
              </w:rPr>
              <w:t xml:space="preserve"> santyki</w:t>
            </w:r>
            <w:r>
              <w:rPr>
                <w:rFonts w:ascii="Times New Roman" w:hAnsi="Times New Roman" w:cs="Times New Roman"/>
                <w:sz w:val="24"/>
                <w:szCs w:val="24"/>
              </w:rPr>
              <w:t>us</w:t>
            </w:r>
            <w:r w:rsidRPr="000C7233">
              <w:rPr>
                <w:rFonts w:ascii="Times New Roman" w:hAnsi="Times New Roman" w:cs="Times New Roman"/>
                <w:sz w:val="24"/>
                <w:szCs w:val="24"/>
              </w:rPr>
              <w:t xml:space="preserve">, kuriems reglamentuoti </w:t>
            </w:r>
            <w:r>
              <w:rPr>
                <w:rFonts w:ascii="Times New Roman" w:hAnsi="Times New Roman" w:cs="Times New Roman"/>
                <w:sz w:val="24"/>
                <w:szCs w:val="24"/>
              </w:rPr>
              <w:t xml:space="preserve">yra </w:t>
            </w:r>
            <w:r w:rsidRPr="000C7233">
              <w:rPr>
                <w:rFonts w:ascii="Times New Roman" w:hAnsi="Times New Roman" w:cs="Times New Roman"/>
                <w:sz w:val="24"/>
                <w:szCs w:val="24"/>
              </w:rPr>
              <w:t xml:space="preserve">skirti Lietuvos Respublikos Vyriausybės nutarimai, priimti įgyvendinant </w:t>
            </w:r>
            <w:r w:rsidR="00827109" w:rsidRPr="000C7233">
              <w:rPr>
                <w:rFonts w:ascii="Times New Roman" w:hAnsi="Times New Roman" w:cs="Times New Roman"/>
                <w:sz w:val="24"/>
                <w:szCs w:val="24"/>
                <w:lang w:eastAsia="lt-LT"/>
              </w:rPr>
              <w:t>redakcij</w:t>
            </w:r>
            <w:r w:rsidR="00827109">
              <w:rPr>
                <w:rFonts w:ascii="Times New Roman" w:hAnsi="Times New Roman" w:cs="Times New Roman"/>
                <w:sz w:val="24"/>
                <w:szCs w:val="24"/>
                <w:lang w:eastAsia="lt-LT"/>
              </w:rPr>
              <w:t>os</w:t>
            </w:r>
            <w:r w:rsidR="00827109" w:rsidRPr="000C7233">
              <w:rPr>
                <w:rFonts w:ascii="Times New Roman" w:hAnsi="Times New Roman" w:cs="Times New Roman"/>
                <w:sz w:val="24"/>
                <w:szCs w:val="24"/>
                <w:lang w:eastAsia="lt-LT"/>
              </w:rPr>
              <w:t xml:space="preserve">, </w:t>
            </w:r>
            <w:r w:rsidR="00827109">
              <w:rPr>
                <w:rFonts w:ascii="Times New Roman" w:hAnsi="Times New Roman" w:cs="Times New Roman"/>
                <w:sz w:val="24"/>
                <w:szCs w:val="24"/>
                <w:lang w:eastAsia="lt-LT"/>
              </w:rPr>
              <w:t>galiojusios</w:t>
            </w:r>
            <w:r w:rsidR="00827109" w:rsidRPr="000C7233">
              <w:rPr>
                <w:rFonts w:ascii="Times New Roman" w:hAnsi="Times New Roman" w:cs="Times New Roman"/>
                <w:sz w:val="24"/>
                <w:szCs w:val="24"/>
                <w:lang w:eastAsia="lt-LT"/>
              </w:rPr>
              <w:t xml:space="preserve"> iki naujos šio įstatymo redakcijos įsigaliojimo</w:t>
            </w:r>
            <w:r w:rsidR="00827109">
              <w:rPr>
                <w:rFonts w:ascii="Times New Roman" w:hAnsi="Times New Roman" w:cs="Times New Roman"/>
                <w:sz w:val="24"/>
                <w:szCs w:val="24"/>
                <w:lang w:eastAsia="lt-LT"/>
              </w:rPr>
              <w:t>,</w:t>
            </w:r>
            <w:r w:rsidR="00827109" w:rsidRPr="000C7233">
              <w:rPr>
                <w:rFonts w:ascii="Times New Roman" w:hAnsi="Times New Roman" w:cs="Times New Roman"/>
                <w:sz w:val="24"/>
                <w:szCs w:val="24"/>
                <w:lang w:eastAsia="lt-LT"/>
              </w:rPr>
              <w:t xml:space="preserve"> </w:t>
            </w:r>
            <w:r w:rsidRPr="000C7233">
              <w:rPr>
                <w:rFonts w:ascii="Times New Roman" w:hAnsi="Times New Roman" w:cs="Times New Roman"/>
                <w:sz w:val="24"/>
                <w:szCs w:val="24"/>
                <w:lang w:eastAsia="lt-LT"/>
              </w:rPr>
              <w:t>Lietuvos Respublikos regioninės plėtros įstatym</w:t>
            </w:r>
            <w:r w:rsidR="00827109">
              <w:rPr>
                <w:rFonts w:ascii="Times New Roman" w:hAnsi="Times New Roman" w:cs="Times New Roman"/>
                <w:sz w:val="24"/>
                <w:szCs w:val="24"/>
                <w:lang w:eastAsia="lt-LT"/>
              </w:rPr>
              <w:t>ą</w:t>
            </w:r>
            <w:r w:rsidRPr="000C7233">
              <w:rPr>
                <w:rFonts w:ascii="Times New Roman" w:hAnsi="Times New Roman" w:cs="Times New Roman"/>
                <w:sz w:val="24"/>
                <w:szCs w:val="24"/>
              </w:rPr>
              <w:t>.</w:t>
            </w:r>
          </w:p>
          <w:p w14:paraId="33266631" w14:textId="21BA7EEF" w:rsidR="00960C9C" w:rsidRPr="000C7233" w:rsidRDefault="00960C9C" w:rsidP="00BD4C5E">
            <w:pPr>
              <w:jc w:val="both"/>
              <w:rPr>
                <w:rFonts w:ascii="Times New Roman" w:hAnsi="Times New Roman" w:cs="Times New Roman"/>
                <w:sz w:val="24"/>
                <w:szCs w:val="24"/>
              </w:rPr>
            </w:pPr>
            <w:r w:rsidRPr="000C7233">
              <w:rPr>
                <w:rFonts w:ascii="Times New Roman" w:hAnsi="Times New Roman" w:cs="Times New Roman"/>
                <w:sz w:val="24"/>
                <w:szCs w:val="24"/>
              </w:rPr>
              <w:t xml:space="preserve">Lietuvos Respublikos vidaus reikalų ministerija, remdamasi Teisės aktų projektų rengimo rekomendacijų, patvirtintų Lietuvos Respublikos teisingumo ministro 2013 m. gruodžio 23 d. įsakymu Nr. 1R-298 ,,Dėl Teisės aktų projektų rengimo rekomendacijų patvirtinimo“, (toliau </w:t>
            </w:r>
            <w:r w:rsidR="00827109">
              <w:rPr>
                <w:rFonts w:ascii="Times New Roman" w:hAnsi="Times New Roman" w:cs="Times New Roman"/>
                <w:sz w:val="24"/>
                <w:szCs w:val="24"/>
              </w:rPr>
              <w:t>–</w:t>
            </w:r>
            <w:r w:rsidRPr="000C7233">
              <w:rPr>
                <w:rFonts w:ascii="Times New Roman" w:hAnsi="Times New Roman" w:cs="Times New Roman"/>
                <w:sz w:val="24"/>
                <w:szCs w:val="24"/>
              </w:rPr>
              <w:t xml:space="preserve"> Teisės aktų projektų rengimo rekomendacijos) 85 punktu, numato artimiausiu metu parengti ir Vyriausybės darbo reglamente nustatyta tvarka teikti Vyriausybei tvirtinti atskirus teisės aktus (nutarimų projektus), kuriais nebeaktualūs Vyriausybės nutarimai būtų pripažįstami netekusiais galios. </w:t>
            </w:r>
          </w:p>
          <w:p w14:paraId="1E0334CB" w14:textId="10EAC2B3" w:rsidR="00960C9C" w:rsidRPr="000C7233" w:rsidRDefault="00960C9C" w:rsidP="00BD4C5E">
            <w:pPr>
              <w:jc w:val="both"/>
              <w:rPr>
                <w:rFonts w:ascii="Times New Roman" w:hAnsi="Times New Roman" w:cs="Times New Roman"/>
                <w:sz w:val="24"/>
                <w:szCs w:val="24"/>
              </w:rPr>
            </w:pPr>
            <w:r w:rsidRPr="000C7233">
              <w:rPr>
                <w:rFonts w:ascii="Times New Roman" w:hAnsi="Times New Roman" w:cs="Times New Roman"/>
                <w:sz w:val="24"/>
                <w:szCs w:val="24"/>
              </w:rPr>
              <w:t>2</w:t>
            </w:r>
            <w:r>
              <w:rPr>
                <w:rFonts w:ascii="Times New Roman" w:hAnsi="Times New Roman" w:cs="Times New Roman"/>
                <w:sz w:val="24"/>
                <w:szCs w:val="24"/>
              </w:rPr>
              <w:t>.</w:t>
            </w:r>
            <w:r w:rsidRPr="000C7233">
              <w:rPr>
                <w:rFonts w:ascii="Times New Roman" w:hAnsi="Times New Roman" w:cs="Times New Roman"/>
                <w:sz w:val="24"/>
                <w:szCs w:val="24"/>
              </w:rPr>
              <w:t xml:space="preserve"> Vyriausybės nutarimas ,,Dėl Lietuvos Respublikos regioninės plėtros įstatymo įgyvendinimo“ pildytinas Regioninės plėtros įstatymą įgyvendinančiais teisės aktais ir nuostatomis, kuriomis pripažįstami netekusiais galios iki Regioninės plėtros įstatymo </w:t>
            </w:r>
            <w:r w:rsidRPr="000C7233">
              <w:rPr>
                <w:rFonts w:ascii="Times New Roman" w:hAnsi="Times New Roman" w:cs="Times New Roman"/>
                <w:color w:val="000000"/>
                <w:sz w:val="24"/>
                <w:szCs w:val="24"/>
                <w:lang w:eastAsia="lt-LT"/>
              </w:rPr>
              <w:t>Nr. VIII</w:t>
            </w:r>
            <w:r w:rsidRPr="000C7233">
              <w:rPr>
                <w:rFonts w:ascii="Times New Roman" w:hAnsi="Times New Roman" w:cs="Times New Roman"/>
                <w:color w:val="000000"/>
                <w:sz w:val="24"/>
                <w:szCs w:val="24"/>
                <w:lang w:eastAsia="lt-LT"/>
              </w:rPr>
              <w:noBreakHyphen/>
              <w:t xml:space="preserve">1889 pakeitimo įstatymo Nr. XIII-3041 įsigaliojimo </w:t>
            </w:r>
            <w:r w:rsidRPr="000C7233">
              <w:rPr>
                <w:rFonts w:ascii="Times New Roman" w:hAnsi="Times New Roman" w:cs="Times New Roman"/>
                <w:color w:val="000000"/>
                <w:sz w:val="24"/>
                <w:szCs w:val="24"/>
                <w:lang w:eastAsia="lt-LT"/>
              </w:rPr>
              <w:lastRenderedPageBreak/>
              <w:t>priimti teisės aktai</w:t>
            </w:r>
            <w:r w:rsidRPr="000C7233">
              <w:rPr>
                <w:rFonts w:ascii="Times New Roman" w:hAnsi="Times New Roman" w:cs="Times New Roman"/>
                <w:sz w:val="24"/>
                <w:szCs w:val="24"/>
              </w:rPr>
              <w:t>, laikantis nuoseklumo, atsižvelgiant į būtinybę tokius pakeitimus daryti, taip pat į įgyvendina</w:t>
            </w:r>
            <w:r w:rsidR="00827109">
              <w:rPr>
                <w:rFonts w:ascii="Times New Roman" w:hAnsi="Times New Roman" w:cs="Times New Roman"/>
                <w:sz w:val="24"/>
                <w:szCs w:val="24"/>
              </w:rPr>
              <w:t>m</w:t>
            </w:r>
            <w:r w:rsidRPr="000C7233">
              <w:rPr>
                <w:rFonts w:ascii="Times New Roman" w:hAnsi="Times New Roman" w:cs="Times New Roman"/>
                <w:sz w:val="24"/>
                <w:szCs w:val="24"/>
              </w:rPr>
              <w:t>ų</w:t>
            </w:r>
            <w:r w:rsidR="00827109">
              <w:rPr>
                <w:rFonts w:ascii="Times New Roman" w:hAnsi="Times New Roman" w:cs="Times New Roman"/>
                <w:sz w:val="24"/>
                <w:szCs w:val="24"/>
              </w:rPr>
              <w:t>jų</w:t>
            </w:r>
            <w:r w:rsidRPr="000C7233">
              <w:rPr>
                <w:rFonts w:ascii="Times New Roman" w:hAnsi="Times New Roman" w:cs="Times New Roman"/>
                <w:sz w:val="24"/>
                <w:szCs w:val="24"/>
              </w:rPr>
              <w:t xml:space="preserve"> teisės aktų projektų parengtumą.</w:t>
            </w:r>
          </w:p>
          <w:p w14:paraId="0413B6BA" w14:textId="5C4412BD" w:rsidR="00960C9C" w:rsidRPr="000C7233" w:rsidRDefault="00960C9C" w:rsidP="00BD4C5E">
            <w:pPr>
              <w:jc w:val="both"/>
              <w:rPr>
                <w:rFonts w:ascii="Times New Roman" w:hAnsi="Times New Roman" w:cs="Times New Roman"/>
                <w:sz w:val="24"/>
                <w:szCs w:val="24"/>
              </w:rPr>
            </w:pPr>
            <w:r w:rsidRPr="000C7233">
              <w:rPr>
                <w:rFonts w:ascii="Times New Roman" w:hAnsi="Times New Roman" w:cs="Times New Roman"/>
                <w:sz w:val="24"/>
                <w:szCs w:val="24"/>
              </w:rPr>
              <w:t>Atkreiptinas dėmesys</w:t>
            </w:r>
            <w:r w:rsidR="00827109">
              <w:rPr>
                <w:rFonts w:ascii="Times New Roman" w:hAnsi="Times New Roman" w:cs="Times New Roman"/>
                <w:sz w:val="24"/>
                <w:szCs w:val="24"/>
              </w:rPr>
              <w:t xml:space="preserve"> į tai</w:t>
            </w:r>
            <w:r w:rsidRPr="000C7233">
              <w:rPr>
                <w:rFonts w:ascii="Times New Roman" w:hAnsi="Times New Roman" w:cs="Times New Roman"/>
                <w:sz w:val="24"/>
                <w:szCs w:val="24"/>
              </w:rPr>
              <w:t>, kad:</w:t>
            </w:r>
          </w:p>
          <w:p w14:paraId="63C5DDAB" w14:textId="2890267D" w:rsidR="00960C9C" w:rsidRPr="000C7233" w:rsidRDefault="00960C9C" w:rsidP="00F77D58">
            <w:pPr>
              <w:jc w:val="both"/>
              <w:rPr>
                <w:rFonts w:ascii="Times New Roman" w:hAnsi="Times New Roman" w:cs="Times New Roman"/>
                <w:sz w:val="24"/>
                <w:szCs w:val="24"/>
              </w:rPr>
            </w:pPr>
            <w:r w:rsidRPr="000C7233">
              <w:rPr>
                <w:rFonts w:ascii="Times New Roman" w:hAnsi="Times New Roman" w:cs="Times New Roman"/>
                <w:bCs/>
                <w:sz w:val="24"/>
                <w:szCs w:val="24"/>
              </w:rPr>
              <w:t>1) Vyriausybės nutar</w:t>
            </w:r>
            <w:r w:rsidRPr="000C7233">
              <w:rPr>
                <w:rFonts w:ascii="Times New Roman" w:hAnsi="Times New Roman" w:cs="Times New Roman"/>
                <w:sz w:val="24"/>
                <w:szCs w:val="24"/>
              </w:rPr>
              <w:t xml:space="preserve">imo „Dėl Lietuvos Respublikos Vyriausybės 2015 m. lapkričio 11 d. nutarimo Nr. 1184 „Dėl Regionų socialinės, ekonominės plėtros ir (arba) infrastruktūros projektų pripažinimo regioninės svarbos projektais kriterijų aprašo patvirtinimo“ pakeitimo“ projektą Vyriausybei teiks Lietuvos Respublikos finansų ministerija kartu su Vyriausybės nutarimo, kuriuo vadovaujantis Lietuvos Respublikos strateginio valdymo įstatymu tvirtinama Strateginio valdymo metodika, projektu, nes Strateginio valdymo metodikoje bus nustatomi projektų pripažinimo valstybinės ir regioninės svarbos projektais kriterijai. Taip pat Strateginio valdymo metodikos projekte numatomos nuostatos, nustatančios projektų pripažinimo regioninės svarbos projektais ir jų įgyvendinimo priežiūros tvarkai aktualų reglamentavimą. </w:t>
            </w:r>
            <w:r>
              <w:rPr>
                <w:rFonts w:ascii="Times New Roman" w:hAnsi="Times New Roman" w:cs="Times New Roman"/>
                <w:sz w:val="24"/>
                <w:szCs w:val="24"/>
              </w:rPr>
              <w:t>F</w:t>
            </w:r>
            <w:r w:rsidRPr="000C7233">
              <w:rPr>
                <w:rFonts w:ascii="Times New Roman" w:hAnsi="Times New Roman" w:cs="Times New Roman"/>
                <w:sz w:val="24"/>
                <w:szCs w:val="24"/>
              </w:rPr>
              <w:t xml:space="preserve">inansų ministerija </w:t>
            </w:r>
            <w:r w:rsidR="00827109" w:rsidRPr="000C7233">
              <w:rPr>
                <w:rFonts w:ascii="Times New Roman" w:hAnsi="Times New Roman" w:cs="Times New Roman"/>
                <w:sz w:val="24"/>
                <w:szCs w:val="24"/>
              </w:rPr>
              <w:t xml:space="preserve">yra informavusi </w:t>
            </w:r>
            <w:r w:rsidRPr="000C7233">
              <w:rPr>
                <w:rFonts w:ascii="Times New Roman" w:hAnsi="Times New Roman" w:cs="Times New Roman"/>
                <w:sz w:val="24"/>
                <w:szCs w:val="24"/>
              </w:rPr>
              <w:t>Vidaus reikalų ministeriją, kad Vyriausybės nutarimo projektas dėl Strateginio valdymo metodikos patvirtinimo turėtų būti Vyriausybei pateiktas artimiausiu metu</w:t>
            </w:r>
            <w:r w:rsidR="00827109">
              <w:rPr>
                <w:rFonts w:ascii="Times New Roman" w:hAnsi="Times New Roman" w:cs="Times New Roman"/>
                <w:sz w:val="24"/>
                <w:szCs w:val="24"/>
              </w:rPr>
              <w:t>,</w:t>
            </w:r>
            <w:r w:rsidRPr="000C7233">
              <w:rPr>
                <w:rFonts w:ascii="Times New Roman" w:hAnsi="Times New Roman" w:cs="Times New Roman"/>
                <w:sz w:val="24"/>
                <w:szCs w:val="24"/>
              </w:rPr>
              <w:t xml:space="preserve"> </w:t>
            </w:r>
            <w:r w:rsidR="00827109">
              <w:rPr>
                <w:rFonts w:ascii="Times New Roman" w:hAnsi="Times New Roman" w:cs="Times New Roman"/>
                <w:sz w:val="24"/>
                <w:szCs w:val="24"/>
              </w:rPr>
              <w:t>t</w:t>
            </w:r>
            <w:r w:rsidRPr="000C7233">
              <w:rPr>
                <w:rFonts w:ascii="Times New Roman" w:hAnsi="Times New Roman" w:cs="Times New Roman"/>
                <w:sz w:val="24"/>
                <w:szCs w:val="24"/>
              </w:rPr>
              <w:t>odėl šiuo metu tvirtinti Regioninės plėtros įstatymo 7</w:t>
            </w:r>
            <w:r w:rsidR="00827109">
              <w:rPr>
                <w:rFonts w:ascii="Times New Roman" w:hAnsi="Times New Roman" w:cs="Times New Roman"/>
                <w:sz w:val="24"/>
                <w:szCs w:val="24"/>
              </w:rPr>
              <w:t> </w:t>
            </w:r>
            <w:r w:rsidRPr="000C7233">
              <w:rPr>
                <w:rFonts w:ascii="Times New Roman" w:hAnsi="Times New Roman" w:cs="Times New Roman"/>
                <w:sz w:val="24"/>
                <w:szCs w:val="24"/>
              </w:rPr>
              <w:t xml:space="preserve">straipsnyje nustatytus poįstatyminius teisės aktus būtų neracionalu ir kiltų didelė rizika neužtikrinti teisinio reglamentavimo suderinamumo; </w:t>
            </w:r>
          </w:p>
          <w:p w14:paraId="7BF4D083" w14:textId="7177CCBF" w:rsidR="00960C9C" w:rsidRPr="000C7233" w:rsidRDefault="00960C9C" w:rsidP="0084402F">
            <w:pPr>
              <w:jc w:val="both"/>
              <w:rPr>
                <w:rFonts w:ascii="Times New Roman" w:hAnsi="Times New Roman" w:cs="Times New Roman"/>
                <w:color w:val="000000"/>
                <w:sz w:val="24"/>
                <w:szCs w:val="24"/>
                <w:lang w:eastAsia="lt-LT"/>
              </w:rPr>
            </w:pPr>
            <w:r w:rsidRPr="000C7233">
              <w:rPr>
                <w:rFonts w:ascii="Times New Roman" w:hAnsi="Times New Roman" w:cs="Times New Roman"/>
                <w:sz w:val="24"/>
                <w:szCs w:val="24"/>
              </w:rPr>
              <w:t xml:space="preserve">2) Vyriausybės nutarimo, kuriuo tvirtinama </w:t>
            </w:r>
            <w:r w:rsidRPr="000C7233">
              <w:rPr>
                <w:rFonts w:ascii="Times New Roman" w:hAnsi="Times New Roman" w:cs="Times New Roman"/>
                <w:bCs/>
                <w:sz w:val="24"/>
                <w:szCs w:val="24"/>
              </w:rPr>
              <w:t>Nacionalinės regioninės plėtros tarybos institucinė sudėtis ir pirmininkas, projektą Vidaus reikalų ministerija numato Vyriausybei pateikti per 2 mėnesius pasibaigus terminui, iki kurio</w:t>
            </w:r>
            <w:r w:rsidR="00827109">
              <w:rPr>
                <w:rFonts w:ascii="Times New Roman" w:hAnsi="Times New Roman" w:cs="Times New Roman"/>
                <w:bCs/>
                <w:sz w:val="24"/>
                <w:szCs w:val="24"/>
              </w:rPr>
              <w:t>,</w:t>
            </w:r>
            <w:r w:rsidRPr="000C7233">
              <w:rPr>
                <w:rFonts w:ascii="Times New Roman" w:hAnsi="Times New Roman" w:cs="Times New Roman"/>
                <w:bCs/>
                <w:sz w:val="24"/>
                <w:szCs w:val="24"/>
              </w:rPr>
              <w:t xml:space="preserve"> pagal </w:t>
            </w:r>
            <w:r w:rsidRPr="000C7233">
              <w:rPr>
                <w:rFonts w:ascii="Times New Roman" w:hAnsi="Times New Roman" w:cs="Times New Roman"/>
                <w:sz w:val="24"/>
                <w:szCs w:val="24"/>
              </w:rPr>
              <w:t xml:space="preserve">Regioninės plėtros įstatymo </w:t>
            </w:r>
            <w:r w:rsidRPr="000C7233">
              <w:rPr>
                <w:rFonts w:ascii="Times New Roman" w:hAnsi="Times New Roman" w:cs="Times New Roman"/>
                <w:color w:val="000000"/>
                <w:sz w:val="24"/>
                <w:szCs w:val="24"/>
                <w:lang w:eastAsia="lt-LT"/>
              </w:rPr>
              <w:t>Nr. VIII</w:t>
            </w:r>
            <w:r w:rsidRPr="000C7233">
              <w:rPr>
                <w:rFonts w:ascii="Times New Roman" w:hAnsi="Times New Roman" w:cs="Times New Roman"/>
                <w:color w:val="000000"/>
                <w:sz w:val="24"/>
                <w:szCs w:val="24"/>
                <w:lang w:eastAsia="lt-LT"/>
              </w:rPr>
              <w:noBreakHyphen/>
              <w:t>1889 pakeitimo įstatymo Nr.</w:t>
            </w:r>
            <w:r w:rsidRPr="000C7233">
              <w:rPr>
                <w:rFonts w:ascii="Times New Roman" w:hAnsi="Times New Roman" w:cs="Times New Roman"/>
                <w:sz w:val="24"/>
                <w:szCs w:val="24"/>
              </w:rPr>
              <w:t xml:space="preserve"> </w:t>
            </w:r>
            <w:r w:rsidRPr="000C7233">
              <w:rPr>
                <w:rFonts w:ascii="Times New Roman" w:hAnsi="Times New Roman" w:cs="Times New Roman"/>
                <w:color w:val="000000"/>
                <w:sz w:val="24"/>
                <w:szCs w:val="24"/>
                <w:lang w:eastAsia="lt-LT"/>
              </w:rPr>
              <w:t>XIII-3041 2 straipsnio 3 dalį</w:t>
            </w:r>
            <w:r w:rsidR="00827109">
              <w:rPr>
                <w:rFonts w:ascii="Times New Roman" w:hAnsi="Times New Roman" w:cs="Times New Roman"/>
                <w:color w:val="000000"/>
                <w:sz w:val="24"/>
                <w:szCs w:val="24"/>
                <w:lang w:eastAsia="lt-LT"/>
              </w:rPr>
              <w:t>,</w:t>
            </w:r>
            <w:r w:rsidRPr="000C7233">
              <w:rPr>
                <w:rFonts w:ascii="Times New Roman" w:hAnsi="Times New Roman" w:cs="Times New Roman"/>
                <w:color w:val="000000"/>
                <w:sz w:val="24"/>
                <w:szCs w:val="24"/>
                <w:lang w:eastAsia="lt-LT"/>
              </w:rPr>
              <w:t xml:space="preserve"> gali veikti iki šio įstatymo įsigaliojimo veikusios regionų plėtros tarybos (iki 2021 m. kovo 1 d.), </w:t>
            </w:r>
            <w:r w:rsidR="00827109">
              <w:rPr>
                <w:rFonts w:ascii="Times New Roman" w:hAnsi="Times New Roman" w:cs="Times New Roman"/>
                <w:color w:val="000000"/>
                <w:sz w:val="24"/>
                <w:szCs w:val="24"/>
                <w:lang w:eastAsia="lt-LT"/>
              </w:rPr>
              <w:t>nes,</w:t>
            </w:r>
            <w:r w:rsidRPr="000C7233">
              <w:rPr>
                <w:rFonts w:ascii="Times New Roman" w:hAnsi="Times New Roman" w:cs="Times New Roman"/>
                <w:color w:val="000000"/>
                <w:sz w:val="24"/>
                <w:szCs w:val="24"/>
                <w:lang w:eastAsia="lt-LT"/>
              </w:rPr>
              <w:t xml:space="preserve"> pagal Regioninės plėtros įstatymą</w:t>
            </w:r>
            <w:r w:rsidR="00827109">
              <w:rPr>
                <w:rFonts w:ascii="Times New Roman" w:hAnsi="Times New Roman" w:cs="Times New Roman"/>
                <w:color w:val="000000"/>
                <w:sz w:val="24"/>
                <w:szCs w:val="24"/>
                <w:lang w:eastAsia="lt-LT"/>
              </w:rPr>
              <w:t>,</w:t>
            </w:r>
            <w:r w:rsidRPr="000C7233">
              <w:rPr>
                <w:rFonts w:ascii="Times New Roman" w:hAnsi="Times New Roman" w:cs="Times New Roman"/>
                <w:color w:val="000000"/>
                <w:sz w:val="24"/>
                <w:szCs w:val="24"/>
                <w:lang w:eastAsia="lt-LT"/>
              </w:rPr>
              <w:t xml:space="preserve"> Vyriausybė turi regionų </w:t>
            </w:r>
            <w:r w:rsidRPr="000C7233">
              <w:rPr>
                <w:rFonts w:ascii="Times New Roman" w:hAnsi="Times New Roman" w:cs="Times New Roman"/>
                <w:color w:val="000000"/>
                <w:sz w:val="24"/>
                <w:szCs w:val="24"/>
                <w:lang w:eastAsia="lt-LT"/>
              </w:rPr>
              <w:lastRenderedPageBreak/>
              <w:t xml:space="preserve">plėtros tarybų kolegijų pirmininkus įtraukti į </w:t>
            </w:r>
            <w:r w:rsidRPr="000C7233">
              <w:rPr>
                <w:rFonts w:ascii="Times New Roman" w:hAnsi="Times New Roman" w:cs="Times New Roman"/>
                <w:bCs/>
                <w:sz w:val="24"/>
                <w:szCs w:val="24"/>
              </w:rPr>
              <w:t>Nacionalinės regioninės plėtros tarybos institucinę sudėtį ir vieną iš regionų plėtros tarybų kolegijų pirmininkų skirti Nacionalinės regioninės plėtros tarybos pirmininku (n</w:t>
            </w:r>
            <w:r w:rsidRPr="000C7233">
              <w:rPr>
                <w:rFonts w:ascii="Times New Roman" w:hAnsi="Times New Roman" w:cs="Times New Roman"/>
                <w:color w:val="000000"/>
                <w:sz w:val="24"/>
                <w:szCs w:val="24"/>
                <w:lang w:eastAsia="lt-LT"/>
              </w:rPr>
              <w:t xml:space="preserve">umatoma, kad, vadovaujantis Regioninės plėtros įstatymu, daugelis regionų plėtros tarybų bus įsteigtos ir kolegijų pirmininkai išrinkti iki 2021 m. kovo 1 d.). Pažymėtina, kad </w:t>
            </w:r>
            <w:r w:rsidRPr="000C7233">
              <w:rPr>
                <w:rFonts w:ascii="Times New Roman" w:hAnsi="Times New Roman" w:cs="Times New Roman"/>
                <w:sz w:val="24"/>
                <w:szCs w:val="24"/>
              </w:rPr>
              <w:t xml:space="preserve">Regioninės plėtros įstatymo </w:t>
            </w:r>
            <w:r w:rsidRPr="000C7233">
              <w:rPr>
                <w:rFonts w:ascii="Times New Roman" w:hAnsi="Times New Roman" w:cs="Times New Roman"/>
                <w:color w:val="000000"/>
                <w:sz w:val="24"/>
                <w:szCs w:val="24"/>
                <w:lang w:eastAsia="lt-LT"/>
              </w:rPr>
              <w:t>Nr. VIII</w:t>
            </w:r>
            <w:r w:rsidRPr="000C7233">
              <w:rPr>
                <w:rFonts w:ascii="Times New Roman" w:hAnsi="Times New Roman" w:cs="Times New Roman"/>
                <w:color w:val="000000"/>
                <w:sz w:val="24"/>
                <w:szCs w:val="24"/>
                <w:lang w:eastAsia="lt-LT"/>
              </w:rPr>
              <w:noBreakHyphen/>
              <w:t>1889 pakeitimo įstatymo Nr. XIII-3041 2 straipsnio 5 dalyje nustatyta, jog iki šio įstatymo įsigaliojimo veikusi Nacionalinė regioninės plėtros taryba savo veiklą tęsia pagal iki šio įstatymo įsigaliojimo galiojusių teisės aktų nuostatas tol, kol, vadovaujantis šiuo įstatymu, bus sudaryta nauja Nacionalinė regioninės plėtros taryba, bet ne ilgiau kaip iki 2021 m. kovo 1</w:t>
            </w:r>
            <w:r w:rsidR="00827109">
              <w:rPr>
                <w:rFonts w:ascii="Times New Roman" w:hAnsi="Times New Roman" w:cs="Times New Roman"/>
                <w:color w:val="000000"/>
                <w:sz w:val="24"/>
                <w:szCs w:val="24"/>
                <w:lang w:eastAsia="lt-LT"/>
              </w:rPr>
              <w:t> </w:t>
            </w:r>
            <w:r w:rsidRPr="000C7233">
              <w:rPr>
                <w:rFonts w:ascii="Times New Roman" w:hAnsi="Times New Roman" w:cs="Times New Roman"/>
                <w:color w:val="000000"/>
                <w:sz w:val="24"/>
                <w:szCs w:val="24"/>
                <w:lang w:eastAsia="lt-LT"/>
              </w:rPr>
              <w:t>d.</w:t>
            </w:r>
          </w:p>
          <w:p w14:paraId="4D643B32" w14:textId="44A46307" w:rsidR="00960C9C" w:rsidRPr="000C7233" w:rsidRDefault="00960C9C" w:rsidP="0084402F">
            <w:pPr>
              <w:jc w:val="both"/>
              <w:rPr>
                <w:rFonts w:ascii="Times New Roman" w:hAnsi="Times New Roman" w:cs="Times New Roman"/>
                <w:bCs/>
                <w:sz w:val="24"/>
                <w:szCs w:val="24"/>
              </w:rPr>
            </w:pPr>
            <w:r w:rsidRPr="000C7233">
              <w:rPr>
                <w:rFonts w:ascii="Times New Roman" w:hAnsi="Times New Roman" w:cs="Times New Roman"/>
                <w:color w:val="000000"/>
                <w:sz w:val="24"/>
                <w:szCs w:val="24"/>
                <w:lang w:eastAsia="lt-LT"/>
              </w:rPr>
              <w:t>Taigi</w:t>
            </w:r>
            <w:r w:rsidR="00827109">
              <w:rPr>
                <w:rFonts w:ascii="Times New Roman" w:hAnsi="Times New Roman" w:cs="Times New Roman"/>
                <w:color w:val="000000"/>
                <w:sz w:val="24"/>
                <w:szCs w:val="24"/>
                <w:lang w:eastAsia="lt-LT"/>
              </w:rPr>
              <w:t>,</w:t>
            </w:r>
            <w:r w:rsidRPr="000C7233">
              <w:rPr>
                <w:rFonts w:ascii="Times New Roman" w:hAnsi="Times New Roman" w:cs="Times New Roman"/>
                <w:color w:val="000000"/>
                <w:sz w:val="24"/>
                <w:szCs w:val="24"/>
                <w:lang w:eastAsia="lt-LT"/>
              </w:rPr>
              <w:t xml:space="preserve"> šiuo metu netikslinga teikti Vyriausybei tvirtinti </w:t>
            </w:r>
            <w:r w:rsidRPr="000C7233">
              <w:rPr>
                <w:rFonts w:ascii="Times New Roman" w:hAnsi="Times New Roman" w:cs="Times New Roman"/>
                <w:bCs/>
                <w:sz w:val="24"/>
                <w:szCs w:val="24"/>
              </w:rPr>
              <w:t>Nacionalinės regioninės plėtros tarybos institucinę sudėtį ir pirmininką</w:t>
            </w:r>
            <w:r w:rsidRPr="000C7233">
              <w:rPr>
                <w:rFonts w:ascii="Times New Roman" w:hAnsi="Times New Roman" w:cs="Times New Roman"/>
                <w:color w:val="000000"/>
                <w:sz w:val="24"/>
                <w:szCs w:val="24"/>
                <w:lang w:eastAsia="lt-LT"/>
              </w:rPr>
              <w:t xml:space="preserve"> ir atitinkamai pripažinti netekusiu galios </w:t>
            </w:r>
            <w:r w:rsidRPr="000C7233">
              <w:rPr>
                <w:rFonts w:ascii="Times New Roman" w:hAnsi="Times New Roman" w:cs="Times New Roman"/>
                <w:sz w:val="24"/>
                <w:szCs w:val="24"/>
                <w:lang w:eastAsia="lt-LT"/>
              </w:rPr>
              <w:t xml:space="preserve">Lietuvos Respublikos Vyriausybės 2003 m. balandžio 14 d. nutarimą Nr. 465 </w:t>
            </w:r>
            <w:r w:rsidRPr="000C7233">
              <w:rPr>
                <w:rFonts w:ascii="Times New Roman" w:hAnsi="Times New Roman" w:cs="Times New Roman"/>
                <w:bCs/>
                <w:sz w:val="24"/>
                <w:szCs w:val="24"/>
              </w:rPr>
              <w:t>„Dėl Nacionalinės regioninės plėtros tarybos sudarymo ir jos nuostatų patvirtinimo“</w:t>
            </w:r>
            <w:r w:rsidR="00827109">
              <w:rPr>
                <w:rFonts w:ascii="Times New Roman" w:hAnsi="Times New Roman" w:cs="Times New Roman"/>
                <w:bCs/>
                <w:sz w:val="24"/>
                <w:szCs w:val="24"/>
              </w:rPr>
              <w:t>;</w:t>
            </w:r>
          </w:p>
          <w:p w14:paraId="50DD5B72" w14:textId="6070E517" w:rsidR="00960C9C" w:rsidRPr="000C7233" w:rsidRDefault="00960C9C" w:rsidP="0084402F">
            <w:pPr>
              <w:jc w:val="both"/>
              <w:rPr>
                <w:rFonts w:ascii="Times New Roman" w:hAnsi="Times New Roman" w:cs="Times New Roman"/>
                <w:bCs/>
                <w:sz w:val="24"/>
                <w:szCs w:val="24"/>
              </w:rPr>
            </w:pPr>
            <w:r w:rsidRPr="000C7233">
              <w:rPr>
                <w:rFonts w:ascii="Times New Roman" w:hAnsi="Times New Roman" w:cs="Times New Roman"/>
                <w:bCs/>
                <w:sz w:val="24"/>
                <w:szCs w:val="24"/>
              </w:rPr>
              <w:t xml:space="preserve">3) tikslinių teritorijų išskyrimo kriterijų tvirtinimas ir tikslinių teritorijų pagal patvirtintus tikslinių teritorijų </w:t>
            </w:r>
            <w:r>
              <w:rPr>
                <w:rFonts w:ascii="Times New Roman" w:hAnsi="Times New Roman" w:cs="Times New Roman"/>
                <w:bCs/>
                <w:sz w:val="24"/>
                <w:szCs w:val="24"/>
              </w:rPr>
              <w:t xml:space="preserve">kriterijus </w:t>
            </w:r>
            <w:r w:rsidRPr="000C7233">
              <w:rPr>
                <w:rFonts w:ascii="Times New Roman" w:hAnsi="Times New Roman" w:cs="Times New Roman"/>
                <w:bCs/>
                <w:sz w:val="24"/>
                <w:szCs w:val="24"/>
              </w:rPr>
              <w:t>išskyrimas taps aktualu</w:t>
            </w:r>
            <w:r w:rsidR="00827109">
              <w:rPr>
                <w:rFonts w:ascii="Times New Roman" w:hAnsi="Times New Roman" w:cs="Times New Roman"/>
                <w:bCs/>
                <w:sz w:val="24"/>
                <w:szCs w:val="24"/>
              </w:rPr>
              <w:t>s</w:t>
            </w:r>
            <w:r w:rsidRPr="000C7233">
              <w:rPr>
                <w:rFonts w:ascii="Times New Roman" w:hAnsi="Times New Roman" w:cs="Times New Roman"/>
                <w:bCs/>
                <w:sz w:val="24"/>
                <w:szCs w:val="24"/>
              </w:rPr>
              <w:t xml:space="preserve"> tada, kai paaiškės aplinkybės, dėl kurių kils būtinybė siekti Regioninės plėtros įstatymo 2 straipsnio 6</w:t>
            </w:r>
            <w:r w:rsidR="00827109">
              <w:rPr>
                <w:rFonts w:ascii="Times New Roman" w:hAnsi="Times New Roman" w:cs="Times New Roman"/>
                <w:bCs/>
                <w:sz w:val="24"/>
                <w:szCs w:val="24"/>
              </w:rPr>
              <w:t> </w:t>
            </w:r>
            <w:r w:rsidRPr="000C7233">
              <w:rPr>
                <w:rFonts w:ascii="Times New Roman" w:hAnsi="Times New Roman" w:cs="Times New Roman"/>
                <w:bCs/>
                <w:sz w:val="24"/>
                <w:szCs w:val="24"/>
              </w:rPr>
              <w:t>dalyje nustatytų tikslinės teritorijos išskyrimo tikslų. Šiuo metu tokių aplinkybių nėra, todėl netikslinga rengti ir teikti Vyriausybei nutarimo projektą tikslinių teritorijų išskyrimo kriterijų tvirtinimo ir tikslinių teritorijų išskyrimo klausimais;</w:t>
            </w:r>
          </w:p>
          <w:p w14:paraId="4F6EB9EF" w14:textId="7D6BC34E" w:rsidR="00960C9C" w:rsidRPr="000C7233" w:rsidRDefault="00960C9C" w:rsidP="0084402F">
            <w:pPr>
              <w:jc w:val="both"/>
              <w:rPr>
                <w:rFonts w:ascii="Times New Roman" w:eastAsia="Times New Roman" w:hAnsi="Times New Roman" w:cs="Times New Roman"/>
                <w:sz w:val="24"/>
                <w:szCs w:val="20"/>
                <w:lang w:eastAsia="lt-LT"/>
              </w:rPr>
            </w:pPr>
            <w:r w:rsidRPr="000C7233">
              <w:rPr>
                <w:rFonts w:ascii="Times New Roman" w:hAnsi="Times New Roman" w:cs="Times New Roman"/>
                <w:bCs/>
                <w:sz w:val="24"/>
                <w:szCs w:val="24"/>
              </w:rPr>
              <w:t>4) Vyriausybės nutarimo projektas, kuriuo tvirtinamas įstaigų, kurių savininkė ar dalininkė yra valstybė</w:t>
            </w:r>
            <w:r w:rsidRPr="000C7233">
              <w:rPr>
                <w:rFonts w:ascii="Times New Roman" w:eastAsia="Times New Roman" w:hAnsi="Times New Roman" w:cs="Times New Roman"/>
                <w:sz w:val="24"/>
                <w:szCs w:val="20"/>
                <w:lang w:eastAsia="lt-LT"/>
              </w:rPr>
              <w:t xml:space="preserve">, teikiančių ministerijoms ir regionų plėtros taryboms tyrimų, analizės, prognozavimo ir konsultavimo paslaugas, sąrašas, (toliau – kompetencijų centro įstaigų sąrašas) šiuo metu dar derinamas su </w:t>
            </w:r>
            <w:r w:rsidRPr="000C7233">
              <w:rPr>
                <w:rFonts w:ascii="Times New Roman" w:eastAsia="Times New Roman" w:hAnsi="Times New Roman" w:cs="Times New Roman"/>
                <w:sz w:val="24"/>
                <w:szCs w:val="20"/>
                <w:lang w:eastAsia="lt-LT"/>
              </w:rPr>
              <w:lastRenderedPageBreak/>
              <w:t xml:space="preserve">suinteresuotomis institucijomis (teisės akto projekto registracijos TAIS Nr. 21-18257).  </w:t>
            </w:r>
          </w:p>
          <w:p w14:paraId="663A8E84" w14:textId="0A04C1CA" w:rsidR="00960C9C" w:rsidRPr="000C7233" w:rsidRDefault="00960C9C" w:rsidP="000C7233">
            <w:pPr>
              <w:jc w:val="both"/>
              <w:rPr>
                <w:rFonts w:ascii="Times New Roman" w:hAnsi="Times New Roman" w:cs="Times New Roman"/>
              </w:rPr>
            </w:pPr>
            <w:r w:rsidRPr="000C7233">
              <w:rPr>
                <w:rFonts w:ascii="Times New Roman" w:hAnsi="Times New Roman" w:cs="Times New Roman"/>
                <w:sz w:val="24"/>
                <w:szCs w:val="24"/>
              </w:rPr>
              <w:t xml:space="preserve">Teisės aktas, kuriuo tvirtinama </w:t>
            </w:r>
            <w:r>
              <w:rPr>
                <w:rFonts w:ascii="Times New Roman" w:eastAsia="Times New Roman" w:hAnsi="Times New Roman" w:cs="Times New Roman"/>
                <w:sz w:val="24"/>
                <w:szCs w:val="20"/>
                <w:lang w:eastAsia="lt-LT"/>
              </w:rPr>
              <w:t>r</w:t>
            </w:r>
            <w:r w:rsidRPr="000C7233">
              <w:rPr>
                <w:rFonts w:ascii="Times New Roman" w:eastAsia="Times New Roman" w:hAnsi="Times New Roman" w:cs="Times New Roman"/>
                <w:sz w:val="24"/>
                <w:szCs w:val="20"/>
                <w:lang w:eastAsia="lt-LT"/>
              </w:rPr>
              <w:t xml:space="preserve">egiono plėtros tarybai skirtinų valstybės biudžeto lėšų apskaičiavimo ir skyrimo metodika, turi būti priimtas nelaukiant, kol bus suderintas kompetencijų centro įstaigų sąrašo projektas, </w:t>
            </w:r>
            <w:r w:rsidRPr="000C7233">
              <w:rPr>
                <w:rFonts w:ascii="Times New Roman" w:hAnsi="Times New Roman" w:cs="Times New Roman"/>
                <w:sz w:val="24"/>
                <w:szCs w:val="24"/>
              </w:rPr>
              <w:t>nes dalis regionų plėtros tarybų jau yra įregistruotos Juridinių asmenų registre ir pradėjusios veikti</w:t>
            </w:r>
            <w:r>
              <w:rPr>
                <w:rFonts w:ascii="Times New Roman" w:hAnsi="Times New Roman" w:cs="Times New Roman"/>
                <w:sz w:val="24"/>
                <w:szCs w:val="24"/>
              </w:rPr>
              <w:t>. Taigi</w:t>
            </w:r>
            <w:r w:rsidR="00827109">
              <w:rPr>
                <w:rFonts w:ascii="Times New Roman" w:hAnsi="Times New Roman" w:cs="Times New Roman"/>
                <w:sz w:val="24"/>
                <w:szCs w:val="24"/>
              </w:rPr>
              <w:t>,</w:t>
            </w:r>
            <w:r w:rsidRPr="000C7233">
              <w:rPr>
                <w:rFonts w:ascii="Times New Roman" w:hAnsi="Times New Roman" w:cs="Times New Roman"/>
                <w:sz w:val="24"/>
                <w:szCs w:val="24"/>
              </w:rPr>
              <w:t xml:space="preserve"> valstybės biudžeto lėšos regionų plėtros taryboms jau turi būti apskaičiuojamos ir skiriamos.</w:t>
            </w:r>
            <w:r w:rsidRPr="000C7233" w:rsidDel="006C661E">
              <w:rPr>
                <w:rFonts w:ascii="Times New Roman" w:hAnsi="Times New Roman" w:cs="Times New Roman"/>
                <w:sz w:val="24"/>
                <w:szCs w:val="24"/>
              </w:rPr>
              <w:t xml:space="preserve"> </w:t>
            </w:r>
          </w:p>
        </w:tc>
      </w:tr>
      <w:tr w:rsidR="00960C9C" w14:paraId="5A015B67" w14:textId="77777777" w:rsidTr="00355655">
        <w:tc>
          <w:tcPr>
            <w:tcW w:w="1980" w:type="dxa"/>
            <w:vMerge/>
          </w:tcPr>
          <w:p w14:paraId="301596CD" w14:textId="77777777" w:rsidR="00960C9C" w:rsidRPr="00E26431" w:rsidRDefault="00960C9C">
            <w:pPr>
              <w:rPr>
                <w:rFonts w:ascii="Times New Roman" w:hAnsi="Times New Roman" w:cs="Times New Roman"/>
                <w:sz w:val="24"/>
                <w:szCs w:val="24"/>
                <w:lang w:eastAsia="lt-LT"/>
              </w:rPr>
            </w:pPr>
          </w:p>
        </w:tc>
        <w:tc>
          <w:tcPr>
            <w:tcW w:w="5953" w:type="dxa"/>
          </w:tcPr>
          <w:p w14:paraId="47470DC4" w14:textId="1D32C8F0" w:rsidR="00960C9C" w:rsidRPr="000C7233" w:rsidRDefault="00960C9C" w:rsidP="00735CA8">
            <w:pPr>
              <w:jc w:val="both"/>
              <w:rPr>
                <w:rFonts w:ascii="Times New Roman" w:hAnsi="Times New Roman" w:cs="Times New Roman"/>
                <w:sz w:val="24"/>
                <w:szCs w:val="24"/>
              </w:rPr>
            </w:pPr>
            <w:r w:rsidRPr="002A7845">
              <w:rPr>
                <w:rFonts w:ascii="Times New Roman" w:hAnsi="Times New Roman" w:cs="Times New Roman"/>
                <w:sz w:val="24"/>
                <w:szCs w:val="24"/>
                <w:lang w:eastAsia="lt-LT"/>
              </w:rPr>
              <w:t xml:space="preserve">2. Atsižvelgdami į tai, kad Įstatymo 15 straipsnis, kuriame nustatyti Vyriausybės įgaliotos įstaigos prie Vidaus reikalų ministerijos įgaliojimai, galioja iki 2023 m. gruodžio 31 d., atitinkamai reikėtų tikslinti Projekte dėstomo nutarimo preambulę pagal </w:t>
            </w:r>
            <w:r w:rsidRPr="002A7845">
              <w:rPr>
                <w:rFonts w:ascii="Times New Roman" w:hAnsi="Times New Roman" w:cs="Times New Roman"/>
                <w:sz w:val="24"/>
                <w:szCs w:val="24"/>
              </w:rPr>
              <w:t>Teisės aktų projektų rengimo rekomendacijų, patvirtintų Lietuvos Respublikos teisingumo ministro 2013 m. gruodžio 23 d. įsakymu Nr. 1R-298 „Dėl Teisės aktų projektų rengimo rekomendacijų patvirtinimo“ (toliau – Rekomendacijos), 27 punktą ir nustatyti Projekto 2.3 punkto galiojimą iki šios datos.</w:t>
            </w:r>
          </w:p>
        </w:tc>
        <w:tc>
          <w:tcPr>
            <w:tcW w:w="6366" w:type="dxa"/>
          </w:tcPr>
          <w:p w14:paraId="7E03F490" w14:textId="77777777" w:rsidR="00960C9C" w:rsidRPr="00355655" w:rsidRDefault="00960C9C" w:rsidP="00735CA8">
            <w:pPr>
              <w:rPr>
                <w:rFonts w:ascii="Times New Roman" w:hAnsi="Times New Roman" w:cs="Times New Roman"/>
                <w:b/>
                <w:sz w:val="24"/>
                <w:szCs w:val="24"/>
              </w:rPr>
            </w:pPr>
            <w:r w:rsidRPr="00355655">
              <w:rPr>
                <w:rFonts w:ascii="Times New Roman" w:hAnsi="Times New Roman" w:cs="Times New Roman"/>
                <w:b/>
                <w:sz w:val="24"/>
                <w:szCs w:val="24"/>
              </w:rPr>
              <w:t xml:space="preserve">Neatsižvelgta. </w:t>
            </w:r>
          </w:p>
          <w:p w14:paraId="0BE7E323" w14:textId="66119180" w:rsidR="00960C9C" w:rsidRPr="000C7233" w:rsidRDefault="00960C9C">
            <w:pPr>
              <w:jc w:val="both"/>
              <w:rPr>
                <w:rFonts w:ascii="Times New Roman" w:hAnsi="Times New Roman" w:cs="Times New Roman"/>
                <w:sz w:val="24"/>
                <w:szCs w:val="24"/>
              </w:rPr>
            </w:pPr>
            <w:r>
              <w:rPr>
                <w:rFonts w:ascii="Times New Roman" w:hAnsi="Times New Roman" w:cs="Times New Roman"/>
                <w:sz w:val="24"/>
                <w:szCs w:val="24"/>
              </w:rPr>
              <w:t xml:space="preserve">Vidaus reikalų ministerija numato artimiausiu metu Vyriausybės darbo reglamente nustatyta tvarka inicijuoti </w:t>
            </w:r>
            <w:r w:rsidRPr="00075036">
              <w:rPr>
                <w:rFonts w:ascii="Times New Roman" w:eastAsia="Times New Roman" w:hAnsi="Times New Roman" w:cs="Times New Roman"/>
                <w:sz w:val="24"/>
                <w:szCs w:val="24"/>
                <w:lang w:eastAsia="lt-LT"/>
              </w:rPr>
              <w:t xml:space="preserve">Lietuvos Respublikos Vyriausybės </w:t>
            </w:r>
            <w:r>
              <w:rPr>
                <w:rFonts w:ascii="Times New Roman" w:eastAsia="Times New Roman" w:hAnsi="Times New Roman" w:cs="Times New Roman"/>
                <w:sz w:val="24"/>
                <w:szCs w:val="24"/>
                <w:lang w:eastAsia="lt-LT"/>
              </w:rPr>
              <w:t>2020 m. rugpjūčio 12 d. nutarimo</w:t>
            </w:r>
            <w:r w:rsidRPr="00075036">
              <w:rPr>
                <w:rFonts w:ascii="Times New Roman" w:eastAsia="Times New Roman" w:hAnsi="Times New Roman" w:cs="Times New Roman"/>
                <w:sz w:val="24"/>
                <w:szCs w:val="24"/>
                <w:lang w:eastAsia="lt-LT"/>
              </w:rPr>
              <w:t xml:space="preserve"> Nr.</w:t>
            </w:r>
            <w:r w:rsidR="00827109">
              <w:rPr>
                <w:rFonts w:ascii="Times New Roman" w:eastAsia="Times New Roman" w:hAnsi="Times New Roman" w:cs="Times New Roman"/>
                <w:sz w:val="24"/>
                <w:szCs w:val="24"/>
                <w:lang w:eastAsia="lt-LT"/>
              </w:rPr>
              <w:t> </w:t>
            </w:r>
            <w:r w:rsidRPr="00075036">
              <w:rPr>
                <w:rFonts w:ascii="Times New Roman" w:eastAsia="Times New Roman" w:hAnsi="Times New Roman" w:cs="Times New Roman"/>
                <w:sz w:val="24"/>
                <w:szCs w:val="24"/>
                <w:lang w:eastAsia="lt-LT"/>
              </w:rPr>
              <w:t>900 „Dėl Lietuvos Respublikos regioninės plėtros įstatymo įgyvendinimo“</w:t>
            </w:r>
            <w:r>
              <w:rPr>
                <w:rFonts w:ascii="Times New Roman" w:eastAsia="Times New Roman" w:hAnsi="Times New Roman" w:cs="Times New Roman"/>
                <w:sz w:val="24"/>
                <w:szCs w:val="24"/>
                <w:lang w:eastAsia="lt-LT"/>
              </w:rPr>
              <w:t xml:space="preserve"> pakeitimus, kuriais būtų tvirtinami </w:t>
            </w:r>
            <w:r w:rsidRPr="000C7233">
              <w:rPr>
                <w:rFonts w:ascii="Times New Roman" w:hAnsi="Times New Roman" w:cs="Times New Roman"/>
                <w:sz w:val="24"/>
                <w:szCs w:val="24"/>
              </w:rPr>
              <w:t>Regioninės plėtros įstatymą įgyvendina</w:t>
            </w:r>
            <w:r>
              <w:rPr>
                <w:rFonts w:ascii="Times New Roman" w:hAnsi="Times New Roman" w:cs="Times New Roman"/>
                <w:sz w:val="24"/>
                <w:szCs w:val="24"/>
              </w:rPr>
              <w:t>ntys teisės aktai (</w:t>
            </w:r>
            <w:r w:rsidRPr="000C7233">
              <w:rPr>
                <w:rFonts w:ascii="Times New Roman" w:eastAsia="Times New Roman" w:hAnsi="Times New Roman" w:cs="Times New Roman"/>
                <w:sz w:val="24"/>
                <w:szCs w:val="20"/>
                <w:lang w:eastAsia="lt-LT"/>
              </w:rPr>
              <w:t>kompetencijų centro įstaigų sąrašas</w:t>
            </w:r>
            <w:r>
              <w:rPr>
                <w:rFonts w:ascii="Times New Roman" w:eastAsia="Times New Roman" w:hAnsi="Times New Roman" w:cs="Times New Roman"/>
                <w:sz w:val="24"/>
                <w:szCs w:val="20"/>
                <w:lang w:eastAsia="lt-LT"/>
              </w:rPr>
              <w:t>, taip pat</w:t>
            </w:r>
            <w:r w:rsidRPr="000C7233">
              <w:rPr>
                <w:rFonts w:ascii="Times New Roman" w:hAnsi="Times New Roman" w:cs="Times New Roman"/>
                <w:bCs/>
                <w:sz w:val="24"/>
                <w:szCs w:val="24"/>
              </w:rPr>
              <w:t xml:space="preserve"> Nacionalinės regioninės plėtros tarybos institucinė sudėtis ir pirmininkas</w:t>
            </w:r>
            <w:r>
              <w:rPr>
                <w:rFonts w:ascii="Times New Roman" w:hAnsi="Times New Roman" w:cs="Times New Roman"/>
                <w:bCs/>
                <w:sz w:val="24"/>
                <w:szCs w:val="24"/>
              </w:rPr>
              <w:t>). Manome</w:t>
            </w:r>
            <w:r w:rsidR="00827109">
              <w:rPr>
                <w:rFonts w:ascii="Times New Roman" w:hAnsi="Times New Roman" w:cs="Times New Roman"/>
                <w:bCs/>
                <w:sz w:val="24"/>
                <w:szCs w:val="24"/>
              </w:rPr>
              <w:t>,</w:t>
            </w:r>
            <w:r>
              <w:rPr>
                <w:rFonts w:ascii="Times New Roman" w:hAnsi="Times New Roman" w:cs="Times New Roman"/>
                <w:bCs/>
                <w:sz w:val="24"/>
                <w:szCs w:val="24"/>
              </w:rPr>
              <w:t xml:space="preserve"> kad</w:t>
            </w:r>
            <w:r w:rsidR="00827109">
              <w:rPr>
                <w:rFonts w:ascii="Times New Roman" w:hAnsi="Times New Roman" w:cs="Times New Roman"/>
                <w:bCs/>
                <w:sz w:val="24"/>
                <w:szCs w:val="24"/>
              </w:rPr>
              <w:t>,</w:t>
            </w:r>
            <w:r>
              <w:rPr>
                <w:rFonts w:ascii="Times New Roman" w:hAnsi="Times New Roman" w:cs="Times New Roman"/>
                <w:bCs/>
                <w:sz w:val="24"/>
                <w:szCs w:val="24"/>
              </w:rPr>
              <w:t xml:space="preserve"> siekiant užtikrinti tinkamą </w:t>
            </w:r>
            <w:r w:rsidRPr="000C7233">
              <w:rPr>
                <w:rFonts w:ascii="Times New Roman" w:hAnsi="Times New Roman" w:cs="Times New Roman"/>
                <w:sz w:val="24"/>
                <w:szCs w:val="24"/>
              </w:rPr>
              <w:t>Teisės aktų</w:t>
            </w:r>
            <w:r>
              <w:rPr>
                <w:rFonts w:ascii="Times New Roman" w:hAnsi="Times New Roman" w:cs="Times New Roman"/>
                <w:sz w:val="24"/>
                <w:szCs w:val="24"/>
              </w:rPr>
              <w:t xml:space="preserve"> projektų rengimo rekomendacijų laikymąsi, tikslinga </w:t>
            </w:r>
            <w:r w:rsidRPr="00075036">
              <w:rPr>
                <w:rFonts w:ascii="Times New Roman" w:eastAsia="Times New Roman" w:hAnsi="Times New Roman" w:cs="Times New Roman"/>
                <w:sz w:val="24"/>
                <w:szCs w:val="24"/>
                <w:lang w:eastAsia="lt-LT"/>
              </w:rPr>
              <w:t xml:space="preserve">Lietuvos Respublikos Vyriausybės </w:t>
            </w:r>
            <w:r>
              <w:rPr>
                <w:rFonts w:ascii="Times New Roman" w:eastAsia="Times New Roman" w:hAnsi="Times New Roman" w:cs="Times New Roman"/>
                <w:sz w:val="24"/>
                <w:szCs w:val="24"/>
                <w:lang w:eastAsia="lt-LT"/>
              </w:rPr>
              <w:t>2020 m. rugpjūčio 12 d. nutarimo</w:t>
            </w:r>
            <w:r w:rsidRPr="00075036">
              <w:rPr>
                <w:rFonts w:ascii="Times New Roman" w:eastAsia="Times New Roman" w:hAnsi="Times New Roman" w:cs="Times New Roman"/>
                <w:sz w:val="24"/>
                <w:szCs w:val="24"/>
                <w:lang w:eastAsia="lt-LT"/>
              </w:rPr>
              <w:t xml:space="preserve"> Nr. 900 „Dėl Lietuvos Respublikos regioninės plėtros įstatymo įgyvendinimo“</w:t>
            </w:r>
            <w:r>
              <w:rPr>
                <w:rFonts w:ascii="Times New Roman" w:eastAsia="Times New Roman" w:hAnsi="Times New Roman" w:cs="Times New Roman"/>
                <w:sz w:val="24"/>
                <w:szCs w:val="24"/>
                <w:lang w:eastAsia="lt-LT"/>
              </w:rPr>
              <w:t xml:space="preserve"> pakeitimus, susijusius su Regioninės plėtros įstatymo 15 straipsnio galiojimo terminu, atlikti kartu su tais nurodyto nutarimo pakeitimais, kuriais bus tvirtinamas paskutinis Regioninės plėtros įstatymui įgyvendinti skirtas teisės aktas.</w:t>
            </w:r>
          </w:p>
        </w:tc>
      </w:tr>
    </w:tbl>
    <w:p w14:paraId="51EAFA73" w14:textId="36701220" w:rsidR="00560598" w:rsidRDefault="00560598"/>
    <w:p w14:paraId="277BB7AC" w14:textId="77777777" w:rsidR="000C7233" w:rsidRDefault="000C7233"/>
    <w:tbl>
      <w:tblPr>
        <w:tblStyle w:val="Lentelstinklelis"/>
        <w:tblW w:w="0" w:type="auto"/>
        <w:tblLook w:val="04A0" w:firstRow="1" w:lastRow="0" w:firstColumn="1" w:lastColumn="0" w:noHBand="0" w:noVBand="1"/>
      </w:tblPr>
      <w:tblGrid>
        <w:gridCol w:w="4649"/>
        <w:gridCol w:w="4649"/>
        <w:gridCol w:w="4650"/>
      </w:tblGrid>
      <w:tr w:rsidR="000C7233" w14:paraId="5A195655" w14:textId="77777777" w:rsidTr="000C7233">
        <w:tc>
          <w:tcPr>
            <w:tcW w:w="4649" w:type="dxa"/>
            <w:tcBorders>
              <w:top w:val="nil"/>
              <w:left w:val="nil"/>
              <w:bottom w:val="nil"/>
              <w:right w:val="nil"/>
            </w:tcBorders>
          </w:tcPr>
          <w:p w14:paraId="4F58A594" w14:textId="77777777" w:rsidR="000C7233" w:rsidRDefault="000C7233"/>
        </w:tc>
        <w:tc>
          <w:tcPr>
            <w:tcW w:w="4649" w:type="dxa"/>
            <w:tcBorders>
              <w:top w:val="nil"/>
              <w:left w:val="nil"/>
              <w:right w:val="nil"/>
            </w:tcBorders>
          </w:tcPr>
          <w:p w14:paraId="16D4EE7E" w14:textId="77777777" w:rsidR="000C7233" w:rsidRDefault="000C7233"/>
        </w:tc>
        <w:tc>
          <w:tcPr>
            <w:tcW w:w="4650" w:type="dxa"/>
            <w:tcBorders>
              <w:top w:val="nil"/>
              <w:left w:val="nil"/>
              <w:bottom w:val="nil"/>
              <w:right w:val="nil"/>
            </w:tcBorders>
          </w:tcPr>
          <w:p w14:paraId="01CE1572" w14:textId="77777777" w:rsidR="000C7233" w:rsidRDefault="000C7233"/>
        </w:tc>
      </w:tr>
    </w:tbl>
    <w:p w14:paraId="504217A7" w14:textId="77777777" w:rsidR="000C7233" w:rsidRDefault="000C7233"/>
    <w:sectPr w:rsidR="000C7233" w:rsidSect="002A7845">
      <w:headerReference w:type="default" r:id="rId8"/>
      <w:pgSz w:w="16838" w:h="11906" w:orient="landscape"/>
      <w:pgMar w:top="1135" w:right="1440" w:bottom="1440" w:left="1440" w:header="28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C7BFE" w14:textId="77777777" w:rsidR="002E5CE3" w:rsidRDefault="002E5CE3" w:rsidP="000167ED">
      <w:pPr>
        <w:spacing w:after="0" w:line="240" w:lineRule="auto"/>
      </w:pPr>
      <w:r>
        <w:separator/>
      </w:r>
    </w:p>
  </w:endnote>
  <w:endnote w:type="continuationSeparator" w:id="0">
    <w:p w14:paraId="68EC66FB" w14:textId="77777777" w:rsidR="002E5CE3" w:rsidRDefault="002E5CE3" w:rsidP="0001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B00AF" w14:textId="77777777" w:rsidR="002E5CE3" w:rsidRDefault="002E5CE3" w:rsidP="000167ED">
      <w:pPr>
        <w:spacing w:after="0" w:line="240" w:lineRule="auto"/>
      </w:pPr>
      <w:r>
        <w:separator/>
      </w:r>
    </w:p>
  </w:footnote>
  <w:footnote w:type="continuationSeparator" w:id="0">
    <w:p w14:paraId="4E9EA46F" w14:textId="77777777" w:rsidR="002E5CE3" w:rsidRDefault="002E5CE3" w:rsidP="00016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747513"/>
      <w:docPartObj>
        <w:docPartGallery w:val="Page Numbers (Top of Page)"/>
        <w:docPartUnique/>
      </w:docPartObj>
    </w:sdtPr>
    <w:sdtEndPr>
      <w:rPr>
        <w:rFonts w:ascii="Times New Roman" w:hAnsi="Times New Roman" w:cs="Times New Roman"/>
        <w:sz w:val="24"/>
        <w:szCs w:val="24"/>
      </w:rPr>
    </w:sdtEndPr>
    <w:sdtContent>
      <w:p w14:paraId="6B2A55D4" w14:textId="6BF9CDAD" w:rsidR="00DD6140" w:rsidRPr="000171C7" w:rsidRDefault="00DD6140">
        <w:pPr>
          <w:pStyle w:val="Antrats"/>
          <w:jc w:val="center"/>
          <w:rPr>
            <w:rFonts w:ascii="Times New Roman" w:hAnsi="Times New Roman" w:cs="Times New Roman"/>
            <w:sz w:val="24"/>
            <w:szCs w:val="24"/>
          </w:rPr>
        </w:pPr>
        <w:r w:rsidRPr="000171C7">
          <w:rPr>
            <w:rFonts w:ascii="Times New Roman" w:hAnsi="Times New Roman" w:cs="Times New Roman"/>
            <w:sz w:val="24"/>
            <w:szCs w:val="24"/>
          </w:rPr>
          <w:fldChar w:fldCharType="begin"/>
        </w:r>
        <w:r w:rsidRPr="000171C7">
          <w:rPr>
            <w:rFonts w:ascii="Times New Roman" w:hAnsi="Times New Roman" w:cs="Times New Roman"/>
            <w:sz w:val="24"/>
            <w:szCs w:val="24"/>
          </w:rPr>
          <w:instrText>PAGE   \* MERGEFORMAT</w:instrText>
        </w:r>
        <w:r w:rsidRPr="000171C7">
          <w:rPr>
            <w:rFonts w:ascii="Times New Roman" w:hAnsi="Times New Roman" w:cs="Times New Roman"/>
            <w:sz w:val="24"/>
            <w:szCs w:val="24"/>
          </w:rPr>
          <w:fldChar w:fldCharType="separate"/>
        </w:r>
        <w:r w:rsidR="00CE34E6">
          <w:rPr>
            <w:rFonts w:ascii="Times New Roman" w:hAnsi="Times New Roman" w:cs="Times New Roman"/>
            <w:noProof/>
            <w:sz w:val="24"/>
            <w:szCs w:val="24"/>
          </w:rPr>
          <w:t>2</w:t>
        </w:r>
        <w:r w:rsidRPr="000171C7">
          <w:rPr>
            <w:rFonts w:ascii="Times New Roman" w:hAnsi="Times New Roman" w:cs="Times New Roman"/>
            <w:sz w:val="24"/>
            <w:szCs w:val="24"/>
          </w:rPr>
          <w:fldChar w:fldCharType="end"/>
        </w:r>
      </w:p>
    </w:sdtContent>
  </w:sdt>
  <w:p w14:paraId="614636D1" w14:textId="77777777" w:rsidR="00DD6140" w:rsidRDefault="00DD61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63383"/>
    <w:multiLevelType w:val="hybridMultilevel"/>
    <w:tmpl w:val="9E825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443BFF"/>
    <w:multiLevelType w:val="hybridMultilevel"/>
    <w:tmpl w:val="2C7E370C"/>
    <w:lvl w:ilvl="0" w:tplc="1FE8496E">
      <w:start w:val="1"/>
      <w:numFmt w:val="decimal"/>
      <w:lvlText w:val="%1."/>
      <w:lvlJc w:val="left"/>
      <w:pPr>
        <w:ind w:left="360" w:hanging="360"/>
      </w:pPr>
      <w:rPr>
        <w:rFonts w:hint="default"/>
        <w:b w:val="0"/>
        <w:i w:val="0"/>
        <w:i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B9E7C51"/>
    <w:multiLevelType w:val="hybridMultilevel"/>
    <w:tmpl w:val="4B7EAF7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3C43D5"/>
    <w:multiLevelType w:val="hybridMultilevel"/>
    <w:tmpl w:val="F4ACEB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FA4619"/>
    <w:multiLevelType w:val="hybridMultilevel"/>
    <w:tmpl w:val="4752A8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73018C"/>
    <w:multiLevelType w:val="hybridMultilevel"/>
    <w:tmpl w:val="FB7094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D34A1A"/>
    <w:multiLevelType w:val="hybridMultilevel"/>
    <w:tmpl w:val="865ABCEA"/>
    <w:lvl w:ilvl="0" w:tplc="E10644A0">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0087E17"/>
    <w:multiLevelType w:val="hybridMultilevel"/>
    <w:tmpl w:val="DEFAA2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7D198C"/>
    <w:multiLevelType w:val="hybridMultilevel"/>
    <w:tmpl w:val="02D88414"/>
    <w:lvl w:ilvl="0" w:tplc="32A2D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E094EA9"/>
    <w:multiLevelType w:val="hybridMultilevel"/>
    <w:tmpl w:val="22E86A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065576"/>
    <w:multiLevelType w:val="hybridMultilevel"/>
    <w:tmpl w:val="310E35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5F387C"/>
    <w:multiLevelType w:val="hybridMultilevel"/>
    <w:tmpl w:val="74F2EB28"/>
    <w:lvl w:ilvl="0" w:tplc="79B0D2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16A4324"/>
    <w:multiLevelType w:val="hybridMultilevel"/>
    <w:tmpl w:val="8132ED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4"/>
  </w:num>
  <w:num w:numId="5">
    <w:abstractNumId w:val="0"/>
  </w:num>
  <w:num w:numId="6">
    <w:abstractNumId w:val="5"/>
  </w:num>
  <w:num w:numId="7">
    <w:abstractNumId w:val="7"/>
  </w:num>
  <w:num w:numId="8">
    <w:abstractNumId w:val="11"/>
  </w:num>
  <w:num w:numId="9">
    <w:abstractNumId w:val="1"/>
  </w:num>
  <w:num w:numId="10">
    <w:abstractNumId w:val="3"/>
  </w:num>
  <w:num w:numId="11">
    <w:abstractNumId w:val="8"/>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98"/>
    <w:rsid w:val="00013433"/>
    <w:rsid w:val="000167ED"/>
    <w:rsid w:val="000171C7"/>
    <w:rsid w:val="00025D74"/>
    <w:rsid w:val="00036707"/>
    <w:rsid w:val="00040846"/>
    <w:rsid w:val="00046FD1"/>
    <w:rsid w:val="00052641"/>
    <w:rsid w:val="000575DC"/>
    <w:rsid w:val="000577AE"/>
    <w:rsid w:val="00081716"/>
    <w:rsid w:val="00086D74"/>
    <w:rsid w:val="00093C34"/>
    <w:rsid w:val="000B037D"/>
    <w:rsid w:val="000C7233"/>
    <w:rsid w:val="0010219B"/>
    <w:rsid w:val="0010789C"/>
    <w:rsid w:val="00107B22"/>
    <w:rsid w:val="00137539"/>
    <w:rsid w:val="001660AA"/>
    <w:rsid w:val="00195065"/>
    <w:rsid w:val="001B7CCF"/>
    <w:rsid w:val="001C2FD4"/>
    <w:rsid w:val="001D475C"/>
    <w:rsid w:val="001D47EF"/>
    <w:rsid w:val="001E055C"/>
    <w:rsid w:val="00207163"/>
    <w:rsid w:val="002204D9"/>
    <w:rsid w:val="00226FAA"/>
    <w:rsid w:val="00230A3B"/>
    <w:rsid w:val="002363C9"/>
    <w:rsid w:val="00241EE4"/>
    <w:rsid w:val="002A7845"/>
    <w:rsid w:val="002E5CE3"/>
    <w:rsid w:val="002F7456"/>
    <w:rsid w:val="003230D5"/>
    <w:rsid w:val="00332F26"/>
    <w:rsid w:val="003402EE"/>
    <w:rsid w:val="00355655"/>
    <w:rsid w:val="003A583B"/>
    <w:rsid w:val="003B5304"/>
    <w:rsid w:val="003B64B1"/>
    <w:rsid w:val="003C17BE"/>
    <w:rsid w:val="003C7FE1"/>
    <w:rsid w:val="003D310C"/>
    <w:rsid w:val="003F5334"/>
    <w:rsid w:val="00407460"/>
    <w:rsid w:val="00427688"/>
    <w:rsid w:val="004549A2"/>
    <w:rsid w:val="00465CBC"/>
    <w:rsid w:val="004813C6"/>
    <w:rsid w:val="00481ADA"/>
    <w:rsid w:val="0048541B"/>
    <w:rsid w:val="004A61C7"/>
    <w:rsid w:val="004C363C"/>
    <w:rsid w:val="004D3479"/>
    <w:rsid w:val="004D7FDC"/>
    <w:rsid w:val="00524C5D"/>
    <w:rsid w:val="005255B2"/>
    <w:rsid w:val="00543C83"/>
    <w:rsid w:val="005444DE"/>
    <w:rsid w:val="00560598"/>
    <w:rsid w:val="00564648"/>
    <w:rsid w:val="005A7EC0"/>
    <w:rsid w:val="005B18B6"/>
    <w:rsid w:val="005B7400"/>
    <w:rsid w:val="005D3DDD"/>
    <w:rsid w:val="005F04CE"/>
    <w:rsid w:val="00640C47"/>
    <w:rsid w:val="0068702F"/>
    <w:rsid w:val="00687239"/>
    <w:rsid w:val="00696CA2"/>
    <w:rsid w:val="006A1818"/>
    <w:rsid w:val="006A59C2"/>
    <w:rsid w:val="006B44FC"/>
    <w:rsid w:val="006C661E"/>
    <w:rsid w:val="006D0AAC"/>
    <w:rsid w:val="006E0CF3"/>
    <w:rsid w:val="00711CC4"/>
    <w:rsid w:val="007160E4"/>
    <w:rsid w:val="00735336"/>
    <w:rsid w:val="00735CA8"/>
    <w:rsid w:val="00736355"/>
    <w:rsid w:val="00750289"/>
    <w:rsid w:val="00774E24"/>
    <w:rsid w:val="00780B5F"/>
    <w:rsid w:val="007A0476"/>
    <w:rsid w:val="007B068C"/>
    <w:rsid w:val="00810E63"/>
    <w:rsid w:val="00822ED1"/>
    <w:rsid w:val="00827109"/>
    <w:rsid w:val="0083320C"/>
    <w:rsid w:val="0084402F"/>
    <w:rsid w:val="00860353"/>
    <w:rsid w:val="008623FB"/>
    <w:rsid w:val="00890204"/>
    <w:rsid w:val="008911AF"/>
    <w:rsid w:val="00897F4E"/>
    <w:rsid w:val="008B33D9"/>
    <w:rsid w:val="008B6DA0"/>
    <w:rsid w:val="008E162B"/>
    <w:rsid w:val="008F629B"/>
    <w:rsid w:val="00932517"/>
    <w:rsid w:val="009503E0"/>
    <w:rsid w:val="00951C27"/>
    <w:rsid w:val="00960C9C"/>
    <w:rsid w:val="009646E8"/>
    <w:rsid w:val="00973122"/>
    <w:rsid w:val="00980EC4"/>
    <w:rsid w:val="00987407"/>
    <w:rsid w:val="009A4191"/>
    <w:rsid w:val="009B6F8A"/>
    <w:rsid w:val="009E18C6"/>
    <w:rsid w:val="009E3D59"/>
    <w:rsid w:val="00A01E11"/>
    <w:rsid w:val="00A03208"/>
    <w:rsid w:val="00A6707A"/>
    <w:rsid w:val="00A67BA2"/>
    <w:rsid w:val="00A73803"/>
    <w:rsid w:val="00A819CF"/>
    <w:rsid w:val="00AC4C33"/>
    <w:rsid w:val="00AC7193"/>
    <w:rsid w:val="00B26373"/>
    <w:rsid w:val="00B4322A"/>
    <w:rsid w:val="00B44837"/>
    <w:rsid w:val="00B471DD"/>
    <w:rsid w:val="00B56B0D"/>
    <w:rsid w:val="00B7322D"/>
    <w:rsid w:val="00B90001"/>
    <w:rsid w:val="00B94C8C"/>
    <w:rsid w:val="00BD4C5E"/>
    <w:rsid w:val="00BE7795"/>
    <w:rsid w:val="00C02DBD"/>
    <w:rsid w:val="00C4401D"/>
    <w:rsid w:val="00C52B2E"/>
    <w:rsid w:val="00C56673"/>
    <w:rsid w:val="00C6351D"/>
    <w:rsid w:val="00C669FC"/>
    <w:rsid w:val="00C7100F"/>
    <w:rsid w:val="00C7457C"/>
    <w:rsid w:val="00C762CB"/>
    <w:rsid w:val="00C8335E"/>
    <w:rsid w:val="00C9783B"/>
    <w:rsid w:val="00CB4050"/>
    <w:rsid w:val="00CC46E8"/>
    <w:rsid w:val="00CE34E6"/>
    <w:rsid w:val="00CE4874"/>
    <w:rsid w:val="00CF1C2D"/>
    <w:rsid w:val="00CF7984"/>
    <w:rsid w:val="00D114FF"/>
    <w:rsid w:val="00D135EB"/>
    <w:rsid w:val="00D13E3C"/>
    <w:rsid w:val="00D46D45"/>
    <w:rsid w:val="00D67D97"/>
    <w:rsid w:val="00D91881"/>
    <w:rsid w:val="00DA2B08"/>
    <w:rsid w:val="00DB7BB6"/>
    <w:rsid w:val="00DD594F"/>
    <w:rsid w:val="00DD6140"/>
    <w:rsid w:val="00DD77E7"/>
    <w:rsid w:val="00E02E73"/>
    <w:rsid w:val="00E26431"/>
    <w:rsid w:val="00E32F72"/>
    <w:rsid w:val="00E7170E"/>
    <w:rsid w:val="00E81862"/>
    <w:rsid w:val="00E97DE7"/>
    <w:rsid w:val="00ED6C83"/>
    <w:rsid w:val="00EE0524"/>
    <w:rsid w:val="00F2437D"/>
    <w:rsid w:val="00F33B27"/>
    <w:rsid w:val="00F572E1"/>
    <w:rsid w:val="00F7205A"/>
    <w:rsid w:val="00F764C7"/>
    <w:rsid w:val="00F77D58"/>
    <w:rsid w:val="00F825A1"/>
    <w:rsid w:val="00F952AE"/>
    <w:rsid w:val="00FA2E92"/>
    <w:rsid w:val="00FA49F1"/>
    <w:rsid w:val="00FB1B94"/>
    <w:rsid w:val="00FC0C64"/>
    <w:rsid w:val="00FD64C5"/>
    <w:rsid w:val="00FF4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659B"/>
  <w15:chartTrackingRefBased/>
  <w15:docId w15:val="{20533017-8DC0-43D9-AAFA-2E49C37C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60598"/>
    <w:pPr>
      <w:spacing w:after="0" w:line="240" w:lineRule="auto"/>
      <w:ind w:left="1296"/>
    </w:pPr>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qFormat/>
    <w:rsid w:val="00560598"/>
    <w:rPr>
      <w:sz w:val="16"/>
      <w:szCs w:val="16"/>
    </w:rPr>
  </w:style>
  <w:style w:type="paragraph" w:styleId="Komentarotekstas">
    <w:name w:val="annotation text"/>
    <w:basedOn w:val="prastasis"/>
    <w:link w:val="KomentarotekstasDiagrama"/>
    <w:uiPriority w:val="99"/>
    <w:semiHidden/>
    <w:unhideWhenUsed/>
    <w:rsid w:val="0056059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560598"/>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5605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598"/>
    <w:rPr>
      <w:rFonts w:ascii="Segoe UI" w:hAnsi="Segoe UI" w:cs="Segoe UI"/>
      <w:sz w:val="18"/>
      <w:szCs w:val="18"/>
    </w:rPr>
  </w:style>
  <w:style w:type="paragraph" w:styleId="Antrats">
    <w:name w:val="header"/>
    <w:basedOn w:val="prastasis"/>
    <w:link w:val="AntratsDiagrama"/>
    <w:uiPriority w:val="99"/>
    <w:unhideWhenUsed/>
    <w:rsid w:val="000167E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167ED"/>
  </w:style>
  <w:style w:type="paragraph" w:styleId="Porat">
    <w:name w:val="footer"/>
    <w:basedOn w:val="prastasis"/>
    <w:link w:val="PoratDiagrama"/>
    <w:uiPriority w:val="99"/>
    <w:unhideWhenUsed/>
    <w:rsid w:val="000167E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167ED"/>
  </w:style>
  <w:style w:type="paragraph" w:styleId="Komentarotema">
    <w:name w:val="annotation subject"/>
    <w:basedOn w:val="Komentarotekstas"/>
    <w:next w:val="Komentarotekstas"/>
    <w:link w:val="KomentarotemaDiagrama"/>
    <w:uiPriority w:val="99"/>
    <w:semiHidden/>
    <w:unhideWhenUsed/>
    <w:rsid w:val="00465CB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465CBC"/>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3D3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75184">
      <w:bodyDiv w:val="1"/>
      <w:marLeft w:val="0"/>
      <w:marRight w:val="0"/>
      <w:marTop w:val="0"/>
      <w:marBottom w:val="0"/>
      <w:divBdr>
        <w:top w:val="none" w:sz="0" w:space="0" w:color="auto"/>
        <w:left w:val="none" w:sz="0" w:space="0" w:color="auto"/>
        <w:bottom w:val="none" w:sz="0" w:space="0" w:color="auto"/>
        <w:right w:val="none" w:sz="0" w:space="0" w:color="auto"/>
      </w:divBdr>
      <w:divsChild>
        <w:div w:id="884367703">
          <w:marLeft w:val="0"/>
          <w:marRight w:val="0"/>
          <w:marTop w:val="0"/>
          <w:marBottom w:val="0"/>
          <w:divBdr>
            <w:top w:val="none" w:sz="0" w:space="0" w:color="auto"/>
            <w:left w:val="none" w:sz="0" w:space="0" w:color="auto"/>
            <w:bottom w:val="none" w:sz="0" w:space="0" w:color="auto"/>
            <w:right w:val="none" w:sz="0" w:space="0" w:color="auto"/>
          </w:divBdr>
        </w:div>
        <w:div w:id="2012029288">
          <w:marLeft w:val="0"/>
          <w:marRight w:val="0"/>
          <w:marTop w:val="0"/>
          <w:marBottom w:val="0"/>
          <w:divBdr>
            <w:top w:val="none" w:sz="0" w:space="0" w:color="auto"/>
            <w:left w:val="none" w:sz="0" w:space="0" w:color="auto"/>
            <w:bottom w:val="none" w:sz="0" w:space="0" w:color="auto"/>
            <w:right w:val="none" w:sz="0" w:space="0" w:color="auto"/>
          </w:divBdr>
        </w:div>
      </w:divsChild>
    </w:div>
    <w:div w:id="684484188">
      <w:bodyDiv w:val="1"/>
      <w:marLeft w:val="0"/>
      <w:marRight w:val="0"/>
      <w:marTop w:val="0"/>
      <w:marBottom w:val="0"/>
      <w:divBdr>
        <w:top w:val="none" w:sz="0" w:space="0" w:color="auto"/>
        <w:left w:val="none" w:sz="0" w:space="0" w:color="auto"/>
        <w:bottom w:val="none" w:sz="0" w:space="0" w:color="auto"/>
        <w:right w:val="none" w:sz="0" w:space="0" w:color="auto"/>
      </w:divBdr>
      <w:divsChild>
        <w:div w:id="860052861">
          <w:marLeft w:val="0"/>
          <w:marRight w:val="0"/>
          <w:marTop w:val="0"/>
          <w:marBottom w:val="0"/>
          <w:divBdr>
            <w:top w:val="none" w:sz="0" w:space="0" w:color="auto"/>
            <w:left w:val="none" w:sz="0" w:space="0" w:color="auto"/>
            <w:bottom w:val="none" w:sz="0" w:space="0" w:color="auto"/>
            <w:right w:val="none" w:sz="0" w:space="0" w:color="auto"/>
          </w:divBdr>
        </w:div>
      </w:divsChild>
    </w:div>
    <w:div w:id="1063065351">
      <w:bodyDiv w:val="1"/>
      <w:marLeft w:val="0"/>
      <w:marRight w:val="0"/>
      <w:marTop w:val="0"/>
      <w:marBottom w:val="0"/>
      <w:divBdr>
        <w:top w:val="none" w:sz="0" w:space="0" w:color="auto"/>
        <w:left w:val="none" w:sz="0" w:space="0" w:color="auto"/>
        <w:bottom w:val="none" w:sz="0" w:space="0" w:color="auto"/>
        <w:right w:val="none" w:sz="0" w:space="0" w:color="auto"/>
      </w:divBdr>
      <w:divsChild>
        <w:div w:id="69620163">
          <w:marLeft w:val="0"/>
          <w:marRight w:val="0"/>
          <w:marTop w:val="0"/>
          <w:marBottom w:val="0"/>
          <w:divBdr>
            <w:top w:val="none" w:sz="0" w:space="0" w:color="auto"/>
            <w:left w:val="none" w:sz="0" w:space="0" w:color="auto"/>
            <w:bottom w:val="none" w:sz="0" w:space="0" w:color="auto"/>
            <w:right w:val="none" w:sz="0" w:space="0" w:color="auto"/>
          </w:divBdr>
        </w:div>
      </w:divsChild>
    </w:div>
    <w:div w:id="1388259096">
      <w:bodyDiv w:val="1"/>
      <w:marLeft w:val="0"/>
      <w:marRight w:val="0"/>
      <w:marTop w:val="0"/>
      <w:marBottom w:val="0"/>
      <w:divBdr>
        <w:top w:val="none" w:sz="0" w:space="0" w:color="auto"/>
        <w:left w:val="none" w:sz="0" w:space="0" w:color="auto"/>
        <w:bottom w:val="none" w:sz="0" w:space="0" w:color="auto"/>
        <w:right w:val="none" w:sz="0" w:space="0" w:color="auto"/>
      </w:divBdr>
      <w:divsChild>
        <w:div w:id="981887442">
          <w:marLeft w:val="0"/>
          <w:marRight w:val="0"/>
          <w:marTop w:val="0"/>
          <w:marBottom w:val="0"/>
          <w:divBdr>
            <w:top w:val="none" w:sz="0" w:space="0" w:color="auto"/>
            <w:left w:val="none" w:sz="0" w:space="0" w:color="auto"/>
            <w:bottom w:val="none" w:sz="0" w:space="0" w:color="auto"/>
            <w:right w:val="none" w:sz="0" w:space="0" w:color="auto"/>
          </w:divBdr>
        </w:div>
        <w:div w:id="854265429">
          <w:marLeft w:val="0"/>
          <w:marRight w:val="0"/>
          <w:marTop w:val="0"/>
          <w:marBottom w:val="0"/>
          <w:divBdr>
            <w:top w:val="none" w:sz="0" w:space="0" w:color="auto"/>
            <w:left w:val="none" w:sz="0" w:space="0" w:color="auto"/>
            <w:bottom w:val="none" w:sz="0" w:space="0" w:color="auto"/>
            <w:right w:val="none" w:sz="0" w:space="0" w:color="auto"/>
          </w:divBdr>
        </w:div>
        <w:div w:id="1595623969">
          <w:marLeft w:val="0"/>
          <w:marRight w:val="0"/>
          <w:marTop w:val="0"/>
          <w:marBottom w:val="0"/>
          <w:divBdr>
            <w:top w:val="none" w:sz="0" w:space="0" w:color="auto"/>
            <w:left w:val="none" w:sz="0" w:space="0" w:color="auto"/>
            <w:bottom w:val="none" w:sz="0" w:space="0" w:color="auto"/>
            <w:right w:val="none" w:sz="0" w:space="0" w:color="auto"/>
          </w:divBdr>
        </w:div>
        <w:div w:id="1984003399">
          <w:marLeft w:val="0"/>
          <w:marRight w:val="0"/>
          <w:marTop w:val="0"/>
          <w:marBottom w:val="0"/>
          <w:divBdr>
            <w:top w:val="none" w:sz="0" w:space="0" w:color="auto"/>
            <w:left w:val="none" w:sz="0" w:space="0" w:color="auto"/>
            <w:bottom w:val="none" w:sz="0" w:space="0" w:color="auto"/>
            <w:right w:val="none" w:sz="0" w:space="0" w:color="auto"/>
          </w:divBdr>
        </w:div>
        <w:div w:id="763384853">
          <w:marLeft w:val="0"/>
          <w:marRight w:val="0"/>
          <w:marTop w:val="0"/>
          <w:marBottom w:val="0"/>
          <w:divBdr>
            <w:top w:val="none" w:sz="0" w:space="0" w:color="auto"/>
            <w:left w:val="none" w:sz="0" w:space="0" w:color="auto"/>
            <w:bottom w:val="none" w:sz="0" w:space="0" w:color="auto"/>
            <w:right w:val="none" w:sz="0" w:space="0" w:color="auto"/>
          </w:divBdr>
        </w:div>
        <w:div w:id="1405448295">
          <w:marLeft w:val="0"/>
          <w:marRight w:val="0"/>
          <w:marTop w:val="0"/>
          <w:marBottom w:val="0"/>
          <w:divBdr>
            <w:top w:val="none" w:sz="0" w:space="0" w:color="auto"/>
            <w:left w:val="none" w:sz="0" w:space="0" w:color="auto"/>
            <w:bottom w:val="none" w:sz="0" w:space="0" w:color="auto"/>
            <w:right w:val="none" w:sz="0" w:space="0" w:color="auto"/>
          </w:divBdr>
        </w:div>
      </w:divsChild>
    </w:div>
    <w:div w:id="2056586942">
      <w:bodyDiv w:val="1"/>
      <w:marLeft w:val="0"/>
      <w:marRight w:val="0"/>
      <w:marTop w:val="0"/>
      <w:marBottom w:val="0"/>
      <w:divBdr>
        <w:top w:val="none" w:sz="0" w:space="0" w:color="auto"/>
        <w:left w:val="none" w:sz="0" w:space="0" w:color="auto"/>
        <w:bottom w:val="none" w:sz="0" w:space="0" w:color="auto"/>
        <w:right w:val="none" w:sz="0" w:space="0" w:color="auto"/>
      </w:divBdr>
      <w:divsChild>
        <w:div w:id="1850869693">
          <w:marLeft w:val="0"/>
          <w:marRight w:val="0"/>
          <w:marTop w:val="0"/>
          <w:marBottom w:val="0"/>
          <w:divBdr>
            <w:top w:val="none" w:sz="0" w:space="0" w:color="auto"/>
            <w:left w:val="none" w:sz="0" w:space="0" w:color="auto"/>
            <w:bottom w:val="none" w:sz="0" w:space="0" w:color="auto"/>
            <w:right w:val="none" w:sz="0" w:space="0" w:color="auto"/>
          </w:divBdr>
        </w:div>
      </w:divsChild>
    </w:div>
    <w:div w:id="2130977381">
      <w:bodyDiv w:val="1"/>
      <w:marLeft w:val="0"/>
      <w:marRight w:val="0"/>
      <w:marTop w:val="0"/>
      <w:marBottom w:val="0"/>
      <w:divBdr>
        <w:top w:val="none" w:sz="0" w:space="0" w:color="auto"/>
        <w:left w:val="none" w:sz="0" w:space="0" w:color="auto"/>
        <w:bottom w:val="none" w:sz="0" w:space="0" w:color="auto"/>
        <w:right w:val="none" w:sz="0" w:space="0" w:color="auto"/>
      </w:divBdr>
      <w:divsChild>
        <w:div w:id="737441859">
          <w:marLeft w:val="0"/>
          <w:marRight w:val="0"/>
          <w:marTop w:val="0"/>
          <w:marBottom w:val="0"/>
          <w:divBdr>
            <w:top w:val="none" w:sz="0" w:space="0" w:color="auto"/>
            <w:left w:val="none" w:sz="0" w:space="0" w:color="auto"/>
            <w:bottom w:val="none" w:sz="0" w:space="0" w:color="auto"/>
            <w:right w:val="none" w:sz="0" w:space="0" w:color="auto"/>
          </w:divBdr>
        </w:div>
        <w:div w:id="1315841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A591F-E878-42CE-AD31-E5A9AA0D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6822</Words>
  <Characters>3889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Šarkauskaitė</dc:creator>
  <cp:keywords/>
  <dc:description/>
  <cp:lastModifiedBy>Eglė Šarkauskaitė</cp:lastModifiedBy>
  <cp:revision>3</cp:revision>
  <dcterms:created xsi:type="dcterms:W3CDTF">2021-02-15T14:31:00Z</dcterms:created>
  <dcterms:modified xsi:type="dcterms:W3CDTF">2021-02-15T14:31:00Z</dcterms:modified>
</cp:coreProperties>
</file>