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46a19427ae5646cfab9cf800e0a8d7c0"/>
        <w:lock w:val="sdtLocked"/>
        <w:richText/>
      </w:sdtPr>
      <w:sdtContent>
        <w:p>
          <w:pPr>
            <w:ind w:left="6480" w:firstLine="372"/>
            <w:rPr>
              <w:b/>
              <w:lang w:eastAsia="lt-LT"/>
            </w:rPr>
          </w:pPr>
          <w:r>
            <w:rPr>
              <w:b/>
              <w:lang w:eastAsia="lt-LT"/>
            </w:rPr>
            <w:t xml:space="preserve">Projekto </w:t>
          </w:r>
        </w:p>
        <w:p>
          <w:pPr>
            <w:jc w:val="right"/>
            <w:rPr>
              <w:b/>
              <w:lang w:eastAsia="lt-LT"/>
            </w:rPr>
          </w:pPr>
          <w:r>
            <w:rPr>
              <w:b/>
              <w:lang w:eastAsia="lt-LT"/>
            </w:rPr>
            <w:t>lyginamasis variantas</w:t>
          </w:r>
        </w:p>
        <w:p>
          <w:pPr>
            <w:jc w:val="center"/>
            <w:rPr>
              <w:lang w:eastAsia="lt-LT"/>
            </w:rPr>
          </w:pPr>
        </w:p>
        <w:p>
          <w:pPr>
            <w:jc w:val="center"/>
            <w:rPr>
              <w:lang w:eastAsia="lt-LT"/>
            </w:rPr>
          </w:pPr>
        </w:p>
        <w:p>
          <w:pPr>
            <w:rPr>
              <w:sz w:val="10"/>
              <w:szCs w:val="10"/>
            </w:rPr>
          </w:pPr>
        </w:p>
        <w:p>
          <w:pPr>
            <w:keepNext/>
            <w:jc w:val="center"/>
            <w:rPr>
              <w:rFonts w:ascii="Arial" w:hAnsi="Arial" w:cs="Arial"/>
              <w:caps/>
              <w:sz w:val="36"/>
              <w:lang w:eastAsia="lt-LT"/>
            </w:rPr>
          </w:pPr>
          <w:r>
            <w:rPr>
              <w:rFonts w:ascii="Arial" w:hAnsi="Arial" w:cs="Arial"/>
              <w:caps/>
              <w:sz w:val="36"/>
              <w:lang w:eastAsia="lt-LT"/>
            </w:rPr>
            <w:t>Lietuvos Respublikos Vyriausybė</w:t>
          </w:r>
        </w:p>
        <w:p>
          <w:pPr>
            <w:jc w:val="center"/>
            <w:rPr>
              <w:caps/>
              <w:lang w:eastAsia="lt-LT"/>
            </w:rPr>
          </w:pPr>
        </w:p>
        <w:p>
          <w:pPr>
            <w:jc w:val="center"/>
            <w:rPr>
              <w:b/>
              <w:caps/>
              <w:lang w:eastAsia="lt-LT"/>
            </w:rPr>
          </w:pPr>
          <w:r>
            <w:rPr>
              <w:b/>
              <w:caps/>
              <w:lang w:eastAsia="lt-LT"/>
            </w:rPr>
            <w:t>nutarimas</w:t>
          </w:r>
        </w:p>
        <w:p>
          <w:pPr>
            <w:widowControl w:val="0"/>
            <w:jc w:val="center"/>
            <w:rPr>
              <w:b/>
              <w:caps/>
              <w:lang w:eastAsia="lt-LT"/>
            </w:rPr>
          </w:pPr>
          <w:r>
            <w:rPr>
              <w:b/>
              <w:caps/>
              <w:lang w:eastAsia="lt-LT"/>
            </w:rPr>
            <w:t>DĖL LIETUVOS RESPUBLIKOS VYRIAUSYBĖS 2020 M. VASARIO 19 D. NUTARIMO NR. 141 „DĖL LIETUVOS RESPUBLIKOS NEVYRIAUSYBINIŲ ORGANIZACIJŲ PLĖTROS ĮSTATYMO ĮGYVENDINIMO“ PAKEITIMO</w:t>
          </w:r>
        </w:p>
        <w:p>
          <w:pPr>
            <w:tabs>
              <w:tab w:val="center" w:pos="4153"/>
              <w:tab w:val="right" w:pos="8306"/>
            </w:tabs>
            <w:rPr>
              <w:lang w:eastAsia="lt-LT"/>
            </w:rPr>
          </w:pPr>
        </w:p>
        <w:p>
          <w:pPr>
            <w:ind w:firstLine="62"/>
            <w:jc w:val="center"/>
            <w:rPr>
              <w:lang w:eastAsia="lt-LT"/>
            </w:rPr>
          </w:pPr>
          <w:r>
            <w:rPr>
              <w:lang w:eastAsia="lt-LT"/>
            </w:rPr>
            <w:t xml:space="preserve">Nr. </w:t>
          </w:r>
        </w:p>
        <w:p>
          <w:pPr>
            <w:jc w:val="center"/>
            <w:rPr>
              <w:lang w:eastAsia="lt-LT"/>
            </w:rPr>
          </w:pPr>
          <w:r>
            <w:rPr>
              <w:lang w:eastAsia="lt-LT"/>
            </w:rPr>
            <w:t>Vilnius</w:t>
          </w:r>
        </w:p>
        <w:p>
          <w:pPr>
            <w:jc w:val="center"/>
            <w:rPr>
              <w:lang w:eastAsia="lt-LT"/>
            </w:rPr>
          </w:pPr>
        </w:p>
        <w:sdt>
          <w:sdtPr>
            <w:alias w:val="preambule"/>
            <w:tag w:val="part_24e95e5dd4de436093af06f128a442a0"/>
            <w:lock w:val="sdtLocked"/>
            <w:richText/>
          </w:sdtPr>
          <w:sdtContent>
            <w:p>
              <w:pPr>
                <w:spacing w:line="360" w:lineRule="atLeast"/>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sdtContent>
        </w:sdt>
        <w:sdt>
          <w:sdtPr>
            <w:alias w:val="1 p."/>
            <w:tag w:val="part_867c51b4d39743d389d8f51f7a1bf32c"/>
            <w:lock w:val="sdtLocked"/>
            <w:richText/>
          </w:sdtPr>
          <w:sdtContent>
            <w:p>
              <w:pPr>
                <w:tabs>
                  <w:tab w:val="left" w:pos="993"/>
                  <w:tab w:val="left" w:pos="1276"/>
                </w:tabs>
                <w:ind w:firstLine="720"/>
                <w:jc w:val="both"/>
                <w:rPr>
                  <w:szCs w:val="24"/>
                  <w:lang w:eastAsia="lt-LT"/>
                </w:rPr>
              </w:pPr>
              <w:sdt>
                <w:sdtPr>
                  <w:alias w:val="Numeris"/>
                  <w:tag w:val="nr_867c51b4d39743d389d8f51f7a1bf32c"/>
                  <w:lock w:val="sdtLocked"/>
                  <w:richText/>
                </w:sdtPr>
                <w:sdtContent>
                  <w:r>
                    <w:rPr>
                      <w:rFonts w:eastAsia="Calibri"/>
                      <w:szCs w:val="24"/>
                      <w:lang w:eastAsia="lt-LT"/>
                    </w:rPr>
                    <w:t>1</w:t>
                  </w:r>
                </w:sdtContent>
              </w:sdt>
              <w:r>
                <w:rPr>
                  <w:rFonts w:eastAsia="Calibri"/>
                  <w:szCs w:val="24"/>
                  <w:lang w:eastAsia="lt-LT"/>
                </w:rPr>
                <w:t>.</w:t>
                <w:tab/>
              </w:r>
              <w:r>
                <w:rPr>
                  <w:szCs w:val="24"/>
                  <w:lang w:eastAsia="lt-LT"/>
                </w:rPr>
                <w:t>Pakeisti Lietuvos Respublikos Vyriausybės 2020 m. vasario 19 d. nutarimą Nr. 141 „Dėl Lietuvos Respublikos nevyriausybinių organizacijų plėtros įstatymo įgyvendinimo“:</w:t>
              </w:r>
            </w:p>
            <w:sdt>
              <w:sdtPr>
                <w:alias w:val="1.1 pp."/>
                <w:tag w:val="part_2b44ddcc9944453193f78798a48dd896"/>
                <w:lock w:val="sdtLocked"/>
                <w:richText/>
              </w:sdtPr>
              <w:sdtContent>
                <w:p>
                  <w:pPr>
                    <w:tabs>
                      <w:tab w:val="left" w:pos="993"/>
                      <w:tab w:val="left" w:pos="1276"/>
                    </w:tabs>
                    <w:ind w:firstLine="720"/>
                    <w:jc w:val="both"/>
                    <w:rPr>
                      <w:szCs w:val="24"/>
                      <w:lang w:eastAsia="lt-LT"/>
                    </w:rPr>
                  </w:pPr>
                  <w:sdt>
                    <w:sdtPr>
                      <w:alias w:val="Numeris"/>
                      <w:tag w:val="nr_2b44ddcc9944453193f78798a48dd896"/>
                      <w:lock w:val="sdtLocked"/>
                      <w:richText/>
                    </w:sdtPr>
                    <w:sdtContent>
                      <w:r>
                        <w:rPr>
                          <w:rFonts w:eastAsia="Calibri"/>
                          <w:szCs w:val="24"/>
                          <w:lang w:eastAsia="lt-LT"/>
                        </w:rPr>
                        <w:t>1.1</w:t>
                      </w:r>
                    </w:sdtContent>
                  </w:sdt>
                  <w:r>
                    <w:rPr>
                      <w:rFonts w:eastAsia="Calibri"/>
                      <w:szCs w:val="24"/>
                      <w:lang w:eastAsia="lt-LT"/>
                    </w:rPr>
                    <w:t>.</w:t>
                    <w:tab/>
                  </w:r>
                  <w:r>
                    <w:rPr>
                      <w:szCs w:val="24"/>
                      <w:lang w:eastAsia="lt-LT"/>
                    </w:rPr>
                    <w:t xml:space="preserve"> Pakeisti preambulę ir ją išdėstyti taip:</w:t>
                  </w:r>
                </w:p>
                <w:sdt>
                  <w:sdtPr>
                    <w:alias w:val="citata"/>
                    <w:tag w:val="part_84be805cf9724fcd9321c31003bf6c36"/>
                    <w:lock w:val="sdtLocked"/>
                    <w:richText/>
                  </w:sdtPr>
                  <w:sdtContent>
                    <w:sdt>
                      <w:sdtPr>
                        <w:alias w:val="pastraipa"/>
                        <w:tag w:val="part_a40ec344b0914920b472e364eed08041"/>
                        <w:lock w:val="sdtLocked"/>
                        <w:richText/>
                      </w:sdtPr>
                      <w:sdtContent>
                        <w:p>
                          <w:pPr>
                            <w:tabs>
                              <w:tab w:val="left" w:pos="993"/>
                              <w:tab w:val="left" w:pos="1276"/>
                            </w:tabs>
                            <w:spacing w:line="276" w:lineRule="auto"/>
                            <w:ind w:firstLine="720"/>
                            <w:jc w:val="both"/>
                            <w:rPr>
                              <w:rFonts w:eastAsia="Calibri"/>
                              <w:szCs w:val="24"/>
                              <w:lang w:eastAsia="lt-LT"/>
                            </w:rPr>
                          </w:pPr>
                          <w:r>
                            <w:rPr>
                              <w:rFonts w:eastAsia="Calibri"/>
                              <w:szCs w:val="24"/>
                              <w:lang w:eastAsia="lt-LT"/>
                            </w:rPr>
                            <w:t>„</w:t>
                          </w:r>
                          <w:r>
                            <w:rPr>
                              <w:szCs w:val="24"/>
                              <w:lang w:eastAsia="lt-LT"/>
                            </w:rPr>
                            <w:t xml:space="preserve">Vadovaudamasi Lietuvos Respublikos nevyriausybinių organizacijų plėtros įstatymo </w:t>
                          </w:r>
                          <w:r>
                            <w:rPr>
                              <w:b/>
                              <w:szCs w:val="24"/>
                              <w:lang w:val="en-US" w:eastAsia="lt-LT"/>
                            </w:rPr>
                            <w:t>5 straipsnio 2 dalimi</w:t>
                          </w:r>
                          <w:r>
                            <w:rPr>
                              <w:szCs w:val="24"/>
                              <w:lang w:val="en-US" w:eastAsia="lt-LT"/>
                            </w:rPr>
                            <w:t xml:space="preserve">, </w:t>
                          </w:r>
                          <w:r>
                            <w:rPr>
                              <w:szCs w:val="24"/>
                              <w:lang w:eastAsia="lt-LT"/>
                            </w:rPr>
                            <w:t xml:space="preserve">7 straipsnio 3 dalimi, 8 ir 9 straipsniais, Lietuvos Respublikos Vyriausybė  </w:t>
                          </w:r>
                          <w:r>
                            <w:rPr>
                              <w:spacing w:val="100"/>
                              <w:szCs w:val="24"/>
                              <w:lang w:eastAsia="lt-LT"/>
                            </w:rPr>
                            <w:t>nutari</w:t>
                          </w:r>
                          <w:r>
                            <w:rPr>
                              <w:szCs w:val="24"/>
                              <w:lang w:eastAsia="lt-LT"/>
                            </w:rPr>
                            <w:t>a:“.</w:t>
                          </w:r>
                        </w:p>
                      </w:sdtContent>
                    </w:sdt>
                  </w:sdtContent>
                </w:sdt>
              </w:sdtContent>
            </w:sdt>
            <w:sdt>
              <w:sdtPr>
                <w:alias w:val="1.2 pp."/>
                <w:tag w:val="part_8cb550f1504343c5a8304e0fa04dedf0"/>
                <w:lock w:val="sdtLocked"/>
                <w:richText/>
              </w:sdtPr>
              <w:sdtContent>
                <w:p>
                  <w:pPr>
                    <w:tabs>
                      <w:tab w:val="left" w:pos="993"/>
                      <w:tab w:val="left" w:pos="1276"/>
                    </w:tabs>
                    <w:ind w:firstLine="720"/>
                    <w:jc w:val="both"/>
                    <w:rPr>
                      <w:szCs w:val="24"/>
                      <w:lang w:eastAsia="lt-LT"/>
                    </w:rPr>
                  </w:pPr>
                  <w:sdt>
                    <w:sdtPr>
                      <w:alias w:val="Numeris"/>
                      <w:tag w:val="nr_8cb550f1504343c5a8304e0fa04dedf0"/>
                      <w:lock w:val="sdtLocked"/>
                      <w:richText/>
                    </w:sdtPr>
                    <w:sdtContent>
                      <w:r>
                        <w:rPr>
                          <w:rFonts w:eastAsia="Calibri"/>
                          <w:szCs w:val="24"/>
                          <w:lang w:eastAsia="lt-LT"/>
                        </w:rPr>
                        <w:t>1.2</w:t>
                      </w:r>
                    </w:sdtContent>
                  </w:sdt>
                  <w:r>
                    <w:rPr>
                      <w:rFonts w:eastAsia="Calibri"/>
                      <w:szCs w:val="24"/>
                      <w:lang w:eastAsia="lt-LT"/>
                    </w:rPr>
                    <w:t>.</w:t>
                    <w:tab/>
                  </w:r>
                  <w:r>
                    <w:rPr>
                      <w:szCs w:val="24"/>
                      <w:lang w:eastAsia="lt-LT"/>
                    </w:rPr>
                    <w:t>Pakeisti 2 punktą ir jį išdėstyti taip:</w:t>
                  </w:r>
                </w:p>
                <w:sdt>
                  <w:sdtPr>
                    <w:alias w:val="citata"/>
                    <w:tag w:val="part_b7a1baa683ab44d99a0f17a2ca4c0eda"/>
                    <w:lock w:val="sdtLocked"/>
                    <w:richText/>
                  </w:sdtPr>
                  <w:sdtContent>
                    <w:sdt>
                      <w:sdtPr>
                        <w:alias w:val="2 p."/>
                        <w:tag w:val="part_8d7e0bc3ef9d472288a9a8bb98fce31c"/>
                        <w:lock w:val="sdtLocked"/>
                        <w:richText/>
                      </w:sdtPr>
                      <w:sdtContent>
                        <w:p>
                          <w:pPr>
                            <w:tabs>
                              <w:tab w:val="left" w:pos="1276"/>
                            </w:tabs>
                            <w:spacing w:line="276" w:lineRule="auto"/>
                            <w:ind w:firstLine="720"/>
                            <w:jc w:val="both"/>
                            <w:rPr>
                              <w:szCs w:val="24"/>
                              <w:lang w:eastAsia="lt-LT"/>
                            </w:rPr>
                          </w:pPr>
                          <w:r>
                            <w:rPr>
                              <w:rFonts w:eastAsia="Calibri"/>
                              <w:szCs w:val="24"/>
                              <w:lang w:eastAsia="lt-LT"/>
                            </w:rPr>
                            <w:t>„</w:t>
                          </w:r>
                          <w:sdt>
                            <w:sdtPr>
                              <w:alias w:val="Numeris"/>
                              <w:tag w:val="nr_8d7e0bc3ef9d472288a9a8bb98fce31c"/>
                              <w:lock w:val="sdtLocked"/>
                              <w:richText/>
                            </w:sdtPr>
                            <w:sdtContent>
                              <w:r>
                                <w:rPr>
                                  <w:szCs w:val="24"/>
                                  <w:lang w:eastAsia="lt-LT"/>
                                </w:rPr>
                                <w:t>2</w:t>
                              </w:r>
                            </w:sdtContent>
                          </w:sdt>
                          <w:r>
                            <w:rPr>
                              <w:szCs w:val="24"/>
                              <w:lang w:eastAsia="lt-LT"/>
                            </w:rPr>
                            <w:t xml:space="preserve">. Patvirtinti </w:t>
                          </w:r>
                          <w:r>
                            <w:rPr>
                              <w:strike/>
                              <w:szCs w:val="24"/>
                              <w:lang w:eastAsia="lt-LT"/>
                            </w:rPr>
                            <w:t>Nevyriausybinių organizacijų fondo nuostatus (pridedama)</w:t>
                          </w:r>
                          <w:r>
                            <w:rPr>
                              <w:szCs w:val="24"/>
                              <w:lang w:eastAsia="lt-LT"/>
                            </w:rPr>
                            <w:t xml:space="preserve"> </w:t>
                          </w:r>
                          <w:r>
                            <w:rPr>
                              <w:b/>
                              <w:szCs w:val="24"/>
                              <w:lang w:eastAsia="lt-LT"/>
                            </w:rPr>
                            <w:t>pridedamus</w:t>
                          </w:r>
                          <w:r>
                            <w:rPr>
                              <w:szCs w:val="24"/>
                              <w:lang w:eastAsia="lt-LT"/>
                            </w:rPr>
                            <w:t>:</w:t>
                          </w:r>
                        </w:p>
                        <w:sdt>
                          <w:sdtPr>
                            <w:alias w:val="2.1 pp."/>
                            <w:tag w:val="part_a7fc873bf65f4cff919db808f4cee1c5"/>
                            <w:lock w:val="sdtLocked"/>
                            <w:richText/>
                          </w:sdtPr>
                          <w:sdtContent>
                            <w:p>
                              <w:pPr>
                                <w:tabs>
                                  <w:tab w:val="left" w:pos="1276"/>
                                </w:tabs>
                                <w:spacing w:line="276" w:lineRule="auto"/>
                                <w:ind w:firstLine="720"/>
                                <w:jc w:val="both"/>
                                <w:rPr>
                                  <w:b/>
                                  <w:szCs w:val="24"/>
                                  <w:lang w:eastAsia="lt-LT"/>
                                </w:rPr>
                              </w:pPr>
                              <w:sdt>
                                <w:sdtPr>
                                  <w:alias w:val="Numeris"/>
                                  <w:tag w:val="nr_a7fc873bf65f4cff919db808f4cee1c5"/>
                                  <w:lock w:val="sdtLocked"/>
                                  <w:richText/>
                                </w:sdtPr>
                                <w:sdtContent>
                                  <w:r>
                                    <w:rPr>
                                      <w:b/>
                                      <w:szCs w:val="24"/>
                                      <w:lang w:eastAsia="lt-LT"/>
                                    </w:rPr>
                                    <w:t>2.1</w:t>
                                  </w:r>
                                </w:sdtContent>
                              </w:sdt>
                              <w:r>
                                <w:rPr>
                                  <w:b/>
                                  <w:szCs w:val="24"/>
                                  <w:lang w:eastAsia="lt-LT"/>
                                </w:rPr>
                                <w:t>. Nevyriausybinių organizacijų fondo nuostatus;</w:t>
                              </w:r>
                            </w:p>
                          </w:sdtContent>
                        </w:sdt>
                        <w:sdt>
                          <w:sdtPr>
                            <w:alias w:val="2.2 pp."/>
                            <w:tag w:val="part_eee0fed4a82d4a27a5e56237bea51bc0"/>
                            <w:lock w:val="sdtLocked"/>
                            <w:richText/>
                          </w:sdtPr>
                          <w:sdtContent>
                            <w:p>
                              <w:pPr>
                                <w:tabs>
                                  <w:tab w:val="left" w:pos="993"/>
                                  <w:tab w:val="left" w:pos="1276"/>
                                </w:tabs>
                                <w:spacing w:line="276" w:lineRule="auto"/>
                                <w:ind w:firstLine="720"/>
                                <w:jc w:val="both"/>
                                <w:rPr>
                                  <w:rFonts w:eastAsia="Calibri"/>
                                  <w:szCs w:val="24"/>
                                  <w:lang w:eastAsia="lt-LT"/>
                                </w:rPr>
                              </w:pPr>
                              <w:sdt>
                                <w:sdtPr>
                                  <w:alias w:val="Numeris"/>
                                  <w:tag w:val="nr_eee0fed4a82d4a27a5e56237bea51bc0"/>
                                  <w:lock w:val="sdtLocked"/>
                                  <w:richText/>
                                </w:sdtPr>
                                <w:sdtContent>
                                  <w:r>
                                    <w:rPr>
                                      <w:b/>
                                      <w:szCs w:val="24"/>
                                      <w:lang w:eastAsia="lt-LT"/>
                                    </w:rPr>
                                    <w:t>2.2</w:t>
                                  </w:r>
                                </w:sdtContent>
                              </w:sdt>
                              <w:r>
                                <w:rPr>
                                  <w:b/>
                                  <w:szCs w:val="24"/>
                                  <w:lang w:eastAsia="lt-LT"/>
                                </w:rPr>
                                <w:t>. Nevyriausybinių organizacijų tarybos nuostatus</w:t>
                              </w:r>
                              <w:r>
                                <w:rPr>
                                  <w:szCs w:val="24"/>
                                  <w:lang w:eastAsia="lt-LT"/>
                                </w:rPr>
                                <w:t>.“</w:t>
                              </w:r>
                            </w:p>
                          </w:sdtContent>
                        </w:sdt>
                      </w:sdtContent>
                    </w:sdt>
                  </w:sdtContent>
                </w:sdt>
              </w:sdtContent>
            </w:sdt>
            <w:sdt>
              <w:sdtPr>
                <w:alias w:val="1.3 pp."/>
                <w:tag w:val="part_84903dae43f84389b4eb3e56388daf0a"/>
                <w:lock w:val="sdtLocked"/>
                <w:richText/>
              </w:sdtPr>
              <w:sdtContent>
                <w:p>
                  <w:pPr>
                    <w:tabs>
                      <w:tab w:val="left" w:pos="993"/>
                      <w:tab w:val="left" w:pos="1276"/>
                    </w:tabs>
                    <w:ind w:firstLine="720"/>
                    <w:jc w:val="both"/>
                    <w:rPr>
                      <w:szCs w:val="24"/>
                      <w:lang w:eastAsia="lt-LT"/>
                    </w:rPr>
                  </w:pPr>
                  <w:sdt>
                    <w:sdtPr>
                      <w:alias w:val="Numeris"/>
                      <w:tag w:val="nr_84903dae43f84389b4eb3e56388daf0a"/>
                      <w:lock w:val="sdtLocked"/>
                      <w:richText/>
                    </w:sdtPr>
                    <w:sdtContent>
                      <w:r>
                        <w:rPr>
                          <w:rFonts w:eastAsia="Calibri"/>
                          <w:szCs w:val="24"/>
                          <w:lang w:eastAsia="lt-LT"/>
                        </w:rPr>
                        <w:t>1.3</w:t>
                      </w:r>
                    </w:sdtContent>
                  </w:sdt>
                  <w:r>
                    <w:rPr>
                      <w:rFonts w:eastAsia="Calibri"/>
                      <w:szCs w:val="24"/>
                      <w:lang w:eastAsia="lt-LT"/>
                    </w:rPr>
                    <w:t>.</w:t>
                    <w:tab/>
                  </w:r>
                  <w:r>
                    <w:rPr>
                      <w:szCs w:val="24"/>
                      <w:lang w:eastAsia="lt-LT"/>
                    </w:rPr>
                    <w:t>Papildyti 5 punktu:</w:t>
                  </w:r>
                </w:p>
                <w:sdt>
                  <w:sdtPr>
                    <w:alias w:val="citata"/>
                    <w:tag w:val="part_92e7d9434f69411ab77fecb4190a6f68"/>
                    <w:lock w:val="sdtLocked"/>
                    <w:richText/>
                  </w:sdtPr>
                  <w:sdtContent>
                    <w:sdt>
                      <w:sdtPr>
                        <w:alias w:val="5 p."/>
                        <w:tag w:val="part_0639c52ce6214655bedd72500a4165b4"/>
                        <w:lock w:val="sdtLocked"/>
                        <w:richText/>
                      </w:sdtPr>
                      <w:sdtContent>
                        <w:p>
                          <w:pPr>
                            <w:tabs>
                              <w:tab w:val="left" w:pos="1276"/>
                            </w:tabs>
                            <w:spacing w:line="276" w:lineRule="auto"/>
                            <w:ind w:firstLine="720"/>
                            <w:jc w:val="both"/>
                            <w:rPr>
                              <w:b/>
                              <w:color w:val="000000"/>
                              <w:szCs w:val="24"/>
                              <w:lang w:eastAsia="lt-LT"/>
                            </w:rPr>
                          </w:pPr>
                          <w:r>
                            <w:rPr>
                              <w:szCs w:val="24"/>
                              <w:lang w:eastAsia="lt-LT"/>
                            </w:rPr>
                            <w:t>„</w:t>
                          </w:r>
                          <w:sdt>
                            <w:sdtPr>
                              <w:alias w:val="Numeris"/>
                              <w:tag w:val="nr_0639c52ce6214655bedd72500a4165b4"/>
                              <w:lock w:val="sdtLocked"/>
                              <w:richText/>
                            </w:sdtPr>
                            <w:sdtContent>
                              <w:r>
                                <w:rPr>
                                  <w:rFonts w:eastAsia="Calibri"/>
                                  <w:b/>
                                  <w:szCs w:val="24"/>
                                  <w:lang w:eastAsia="lt-LT"/>
                                </w:rPr>
                                <w:t>5</w:t>
                              </w:r>
                            </w:sdtContent>
                          </w:sdt>
                          <w:r>
                            <w:rPr>
                              <w:rFonts w:eastAsia="Calibri"/>
                              <w:b/>
                              <w:szCs w:val="24"/>
                              <w:lang w:eastAsia="lt-LT"/>
                            </w:rPr>
                            <w:t xml:space="preserve">. </w:t>
                          </w:r>
                          <w:r>
                            <w:rPr>
                              <w:b/>
                              <w:color w:val="000000"/>
                              <w:szCs w:val="24"/>
                              <w:lang w:eastAsia="lt-LT"/>
                            </w:rPr>
                            <w:t>Patvirtinti šią Nevyriausybinių organizacijų tarybos sudėtį:</w:t>
                          </w:r>
                        </w:p>
                      </w:sdtContent>
                    </w:sdt>
                    <w:sdt>
                      <w:sdtPr>
                        <w:alias w:val="skirsnis"/>
                        <w:tag w:val="part_61d865b5e96940b284be9b067705ab27"/>
                        <w:lock w:val="sdtLocked"/>
                        <w:richText/>
                      </w:sdtPr>
                      <w:sdtContent>
                        <w:sdt>
                          <w:sdtPr>
                            <w:alias w:val="Pavadinimas"/>
                            <w:tag w:val="title_61d865b5e96940b284be9b067705ab27"/>
                            <w:lock w:val="sdtLocked"/>
                            <w:richText/>
                          </w:sdtPr>
                          <w:sdtContent>
                            <w:p>
                              <w:pPr>
                                <w:tabs>
                                  <w:tab w:val="left" w:pos="1276"/>
                                </w:tabs>
                                <w:spacing w:line="276" w:lineRule="auto"/>
                                <w:ind w:firstLine="720"/>
                                <w:jc w:val="both"/>
                                <w:rPr>
                                  <w:b/>
                                  <w:color w:val="000000"/>
                                  <w:szCs w:val="24"/>
                                  <w:lang w:eastAsia="lt-LT"/>
                                </w:rPr>
                              </w:pPr>
                              <w:r>
                                <w:rPr>
                                  <w:b/>
                                  <w:color w:val="000000"/>
                                  <w:szCs w:val="24"/>
                                  <w:lang w:eastAsia="lt-LT"/>
                                </w:rPr>
                                <w:t>10 (dešimt) nevyriausybinių organizacijų deleguotų atstovų;</w:t>
                              </w:r>
                            </w:p>
                            <w:p>
                              <w:pPr>
                                <w:tabs>
                                  <w:tab w:val="left" w:pos="1276"/>
                                </w:tabs>
                                <w:spacing w:line="276" w:lineRule="auto"/>
                                <w:ind w:firstLine="720"/>
                                <w:jc w:val="both"/>
                                <w:rPr>
                                  <w:b/>
                                  <w:color w:val="000000"/>
                                  <w:szCs w:val="24"/>
                                  <w:lang w:eastAsia="lt-LT"/>
                                </w:rPr>
                              </w:pPr>
                              <w:r>
                                <w:rPr>
                                  <w:b/>
                                  <w:color w:val="000000"/>
                                  <w:szCs w:val="24"/>
                                  <w:lang w:eastAsia="lt-LT"/>
                                </w:rPr>
                                <w:t>Lietuvos Respublikos krašto apsaugos ministerijos deleguotas atstovas;</w:t>
                              </w:r>
                            </w:p>
                            <w:p>
                              <w:pPr>
                                <w:tabs>
                                  <w:tab w:val="left" w:pos="1276"/>
                                </w:tabs>
                                <w:spacing w:line="276" w:lineRule="auto"/>
                                <w:ind w:firstLine="720"/>
                                <w:jc w:val="both"/>
                                <w:rPr>
                                  <w:b/>
                                  <w:color w:val="000000"/>
                                  <w:szCs w:val="24"/>
                                  <w:lang w:eastAsia="lt-LT"/>
                                </w:rPr>
                              </w:pPr>
                              <w:r>
                                <w:rPr>
                                  <w:b/>
                                  <w:color w:val="000000"/>
                                  <w:szCs w:val="24"/>
                                  <w:lang w:eastAsia="lt-LT"/>
                                </w:rPr>
                                <w:t>Lietuvos Respublikos kultūros ministerijos deleguotas atstovas;</w:t>
                              </w:r>
                            </w:p>
                            <w:p>
                              <w:pPr>
                                <w:tabs>
                                  <w:tab w:val="left" w:pos="1276"/>
                                </w:tabs>
                                <w:spacing w:line="276" w:lineRule="auto"/>
                                <w:ind w:firstLine="720"/>
                                <w:jc w:val="both"/>
                                <w:rPr>
                                  <w:b/>
                                  <w:color w:val="000000"/>
                                  <w:szCs w:val="24"/>
                                  <w:lang w:eastAsia="lt-LT"/>
                                </w:rPr>
                              </w:pPr>
                              <w:r>
                                <w:rPr>
                                  <w:b/>
                                  <w:color w:val="000000"/>
                                  <w:szCs w:val="24"/>
                                  <w:lang w:eastAsia="lt-LT"/>
                                </w:rPr>
                                <w:t>Lietuvos Respublikos Prezidento kanceliarijos deleguotas atstovas;</w:t>
                              </w:r>
                            </w:p>
                            <w:p>
                              <w:pPr>
                                <w:tabs>
                                  <w:tab w:val="left" w:pos="1276"/>
                                </w:tabs>
                                <w:spacing w:line="276" w:lineRule="auto"/>
                                <w:ind w:firstLine="720"/>
                                <w:jc w:val="both"/>
                                <w:rPr>
                                  <w:b/>
                                  <w:color w:val="000000"/>
                                  <w:szCs w:val="24"/>
                                  <w:lang w:eastAsia="lt-LT"/>
                                </w:rPr>
                              </w:pPr>
                              <w:r>
                                <w:rPr>
                                  <w:b/>
                                  <w:color w:val="000000"/>
                                  <w:szCs w:val="24"/>
                                  <w:lang w:eastAsia="lt-LT"/>
                                </w:rPr>
                                <w:t>Lietuvos Respublikos socialinės apsaugos ir darbo ministerijos deleguotas atstovas;</w:t>
                              </w:r>
                            </w:p>
                            <w:p>
                              <w:pPr>
                                <w:tabs>
                                  <w:tab w:val="left" w:pos="1276"/>
                                </w:tabs>
                                <w:spacing w:line="276" w:lineRule="auto"/>
                                <w:ind w:firstLine="720"/>
                                <w:jc w:val="both"/>
                                <w:rPr>
                                  <w:b/>
                                  <w:color w:val="000000"/>
                                  <w:szCs w:val="24"/>
                                  <w:lang w:eastAsia="lt-LT"/>
                                </w:rPr>
                              </w:pPr>
                              <w:r>
                                <w:rPr>
                                  <w:b/>
                                  <w:color w:val="000000"/>
                                  <w:szCs w:val="24"/>
                                  <w:lang w:eastAsia="lt-LT"/>
                                </w:rPr>
                                <w:t>Lietuvos Respublikos švietimo, mokslo ir sporto ministerijos deleguotas atstovas;</w:t>
                              </w:r>
                            </w:p>
                            <w:p>
                              <w:pPr>
                                <w:tabs>
                                  <w:tab w:val="left" w:pos="1276"/>
                                </w:tabs>
                                <w:spacing w:line="276" w:lineRule="auto"/>
                                <w:ind w:firstLine="720"/>
                                <w:jc w:val="both"/>
                                <w:rPr>
                                  <w:b/>
                                  <w:color w:val="000000"/>
                                  <w:szCs w:val="24"/>
                                  <w:lang w:eastAsia="lt-LT"/>
                                </w:rPr>
                              </w:pPr>
                              <w:r>
                                <w:rPr>
                                  <w:b/>
                                  <w:color w:val="000000"/>
                                  <w:szCs w:val="24"/>
                                  <w:lang w:eastAsia="lt-LT"/>
                                </w:rPr>
                                <w:t>Lietuvos Respublikos teisingumo ministerijos deleguotas atstovas;</w:t>
                              </w:r>
                            </w:p>
                            <w:p>
                              <w:pPr>
                                <w:tabs>
                                  <w:tab w:val="left" w:pos="1276"/>
                                </w:tabs>
                                <w:spacing w:line="276" w:lineRule="auto"/>
                                <w:ind w:firstLine="720"/>
                                <w:jc w:val="both"/>
                                <w:rPr>
                                  <w:b/>
                                  <w:color w:val="000000"/>
                                  <w:szCs w:val="24"/>
                                  <w:lang w:eastAsia="lt-LT"/>
                                </w:rPr>
                              </w:pPr>
                              <w:r>
                                <w:rPr>
                                  <w:b/>
                                  <w:color w:val="000000"/>
                                  <w:szCs w:val="24"/>
                                  <w:lang w:eastAsia="lt-LT"/>
                                </w:rPr>
                                <w:t>Lietuvos Respublikos vidaus reikalų ministerijos deleguotas atstovas;</w:t>
                              </w:r>
                            </w:p>
                            <w:p>
                              <w:pPr>
                                <w:tabs>
                                  <w:tab w:val="left" w:pos="1276"/>
                                </w:tabs>
                                <w:spacing w:line="276" w:lineRule="auto"/>
                                <w:ind w:firstLine="720"/>
                                <w:jc w:val="both"/>
                                <w:rPr>
                                  <w:b/>
                                  <w:color w:val="000000"/>
                                  <w:szCs w:val="24"/>
                                  <w:lang w:eastAsia="lt-LT"/>
                                </w:rPr>
                              </w:pPr>
                              <w:r>
                                <w:rPr>
                                  <w:b/>
                                  <w:color w:val="000000"/>
                                  <w:szCs w:val="24"/>
                                  <w:lang w:eastAsia="lt-LT"/>
                                </w:rPr>
                                <w:t>Lietuvos Respublikos Vyriausybės kanceliarijos deleguotas atstovas;</w:t>
                              </w:r>
                            </w:p>
                            <w:p>
                              <w:pPr>
                                <w:tabs>
                                  <w:tab w:val="left" w:pos="1276"/>
                                </w:tabs>
                                <w:spacing w:line="276" w:lineRule="auto"/>
                                <w:ind w:firstLine="720"/>
                                <w:jc w:val="both"/>
                                <w:rPr>
                                  <w:b/>
                                  <w:color w:val="000000"/>
                                  <w:szCs w:val="24"/>
                                  <w:lang w:eastAsia="lt-LT"/>
                                </w:rPr>
                              </w:pPr>
                              <w:r>
                                <w:rPr>
                                  <w:b/>
                                  <w:color w:val="000000"/>
                                  <w:szCs w:val="24"/>
                                  <w:lang w:eastAsia="lt-LT"/>
                                </w:rPr>
                                <w:t xml:space="preserve">Lietuvos Respublikos žemės ūkio ministerijos deleguotas atstovas; </w:t>
                              </w:r>
                            </w:p>
                          </w:sdtContent>
                        </w:sdt>
                        <w:p>
                          <w:pPr>
                            <w:tabs>
                              <w:tab w:val="left" w:pos="993"/>
                              <w:tab w:val="left" w:pos="1276"/>
                            </w:tabs>
                            <w:spacing w:line="276" w:lineRule="auto"/>
                            <w:ind w:firstLine="720"/>
                            <w:jc w:val="both"/>
                            <w:rPr>
                              <w:rFonts w:eastAsia="Calibri"/>
                              <w:szCs w:val="24"/>
                              <w:lang w:eastAsia="lt-LT"/>
                            </w:rPr>
                          </w:pPr>
                          <w:r>
                            <w:rPr>
                              <w:b/>
                              <w:color w:val="000000"/>
                              <w:szCs w:val="24"/>
                              <w:lang w:eastAsia="lt-LT"/>
                            </w:rPr>
                            <w:t>Lietuvos savivaldybių asociacijos deleguotas atstovas</w:t>
                          </w:r>
                          <w:r>
                            <w:rPr>
                              <w:color w:val="000000"/>
                              <w:szCs w:val="24"/>
                              <w:lang w:eastAsia="lt-LT"/>
                            </w:rPr>
                            <w:t>.“</w:t>
                          </w:r>
                        </w:p>
                      </w:sdtContent>
                    </w:sdt>
                  </w:sdtContent>
                </w:sdt>
              </w:sdtContent>
            </w:sdt>
          </w:sdtContent>
        </w:sdt>
        <w:sdt>
          <w:sdtPr>
            <w:alias w:val="2 p."/>
            <w:tag w:val="part_6cb4cb9d9e9044b5be7770313fb765e8"/>
            <w:lock w:val="sdtLocked"/>
            <w:richText/>
          </w:sdtPr>
          <w:sdtContent>
            <w:p>
              <w:pPr>
                <w:tabs>
                  <w:tab w:val="left" w:pos="993"/>
                  <w:tab w:val="left" w:pos="1276"/>
                </w:tabs>
                <w:ind w:left="709"/>
                <w:jc w:val="both"/>
                <w:rPr>
                  <w:szCs w:val="24"/>
                  <w:lang w:eastAsia="lt-LT"/>
                </w:rPr>
              </w:pPr>
              <w:sdt>
                <w:sdtPr>
                  <w:alias w:val="Numeris"/>
                  <w:tag w:val="nr_6cb4cb9d9e9044b5be7770313fb765e8"/>
                  <w:lock w:val="sdtLocked"/>
                  <w:richText/>
                </w:sdtPr>
                <w:sdtContent>
                  <w:r>
                    <w:rPr>
                      <w:rFonts w:eastAsia="Calibri"/>
                      <w:szCs w:val="24"/>
                      <w:lang w:eastAsia="lt-LT"/>
                    </w:rPr>
                    <w:t>2</w:t>
                  </w:r>
                </w:sdtContent>
              </w:sdt>
              <w:r>
                <w:rPr>
                  <w:rFonts w:eastAsia="Calibri"/>
                  <w:szCs w:val="24"/>
                  <w:lang w:eastAsia="lt-LT"/>
                </w:rPr>
                <w:t>.</w:t>
                <w:tab/>
              </w:r>
              <w:r>
                <w:rPr>
                  <w:color w:val="000000"/>
                  <w:szCs w:val="24"/>
                  <w:lang w:eastAsia="lt-LT"/>
                </w:rPr>
                <w:t xml:space="preserve">Pavesti Lietuvos Respublikos krašto apsaugos ministerijai,  Lietuvos</w:t>
              </w:r>
            </w:p>
            <w:p>
              <w:pPr>
                <w:tabs>
                  <w:tab w:val="left" w:pos="993"/>
                  <w:tab w:val="left" w:pos="1276"/>
                </w:tabs>
                <w:spacing w:line="276" w:lineRule="auto"/>
                <w:jc w:val="both"/>
                <w:rPr>
                  <w:rFonts w:eastAsia="Calibri"/>
                  <w:szCs w:val="24"/>
                  <w:lang w:eastAsia="lt-LT"/>
                </w:rPr>
              </w:pPr>
              <w:r>
                <w:rPr>
                  <w:rFonts w:eastAsia="Calibri"/>
                  <w:color w:val="000000"/>
                  <w:szCs w:val="24"/>
                  <w:lang w:eastAsia="lt-LT"/>
                </w:rPr>
                <w:t xml:space="preserve">Respublikos kultūros ministerijai, Lietuvos Respublikos socialinės apsaugos ir darbo ministerijai, Lietuvos Respublikos švietimo, mokslo ir sporto ministerijai, Lietuvos Respublikos teisingumo ministerijai, Lietuvos Respublikos vidaus reikalų ministerijai, Lietuvos Respublikos žemės ūkio ministerijai ir Lietuvos Respublikos Vyriausybės kanceliarijai deleguoti savo atstovus bei pakaitinius atstovus į </w:t>
              </w:r>
              <w:r>
                <w:rPr>
                  <w:rFonts w:eastAsia="Calibri"/>
                  <w:szCs w:val="24"/>
                  <w:lang w:eastAsia="lt-LT"/>
                </w:rPr>
                <w:t xml:space="preserve">Nevyriausybinių organizacijų </w:t>
              </w:r>
              <w:r>
                <w:rPr>
                  <w:rFonts w:eastAsia="Calibri"/>
                  <w:color w:val="000000"/>
                  <w:szCs w:val="24"/>
                  <w:lang w:eastAsia="lt-LT"/>
                </w:rPr>
                <w:t>tarybą ne vėliau kaip per 14 kalendorinių dienų nuo šio nutarimo įsigaliojimo dienos.</w:t>
              </w:r>
            </w:p>
          </w:sdtContent>
        </w:sdt>
        <w:sdt>
          <w:sdtPr>
            <w:alias w:val="3 p."/>
            <w:tag w:val="part_535c48b568b54a049177f2c5fbe5d869"/>
            <w:lock w:val="sdtLocked"/>
            <w:richText/>
          </w:sdtPr>
          <w:sdtContent>
            <w:p>
              <w:pPr>
                <w:tabs>
                  <w:tab w:val="left" w:pos="993"/>
                  <w:tab w:val="left" w:pos="1276"/>
                </w:tabs>
                <w:ind w:firstLine="720"/>
                <w:jc w:val="both"/>
                <w:rPr>
                  <w:szCs w:val="24"/>
                  <w:lang w:eastAsia="lt-LT"/>
                </w:rPr>
              </w:pPr>
              <w:sdt>
                <w:sdtPr>
                  <w:alias w:val="Numeris"/>
                  <w:tag w:val="nr_535c48b568b54a049177f2c5fbe5d869"/>
                  <w:lock w:val="sdtLocked"/>
                  <w:richText/>
                </w:sdtPr>
                <w:sdtContent>
                  <w:r>
                    <w:rPr>
                      <w:rFonts w:eastAsia="Calibri"/>
                      <w:szCs w:val="24"/>
                      <w:lang w:eastAsia="lt-LT"/>
                    </w:rPr>
                    <w:t>3</w:t>
                  </w:r>
                </w:sdtContent>
              </w:sdt>
              <w:r>
                <w:rPr>
                  <w:rFonts w:eastAsia="Calibri"/>
                  <w:szCs w:val="24"/>
                  <w:lang w:eastAsia="lt-LT"/>
                </w:rPr>
                <w:t>.</w:t>
                <w:tab/>
              </w:r>
              <w:r>
                <w:rPr>
                  <w:szCs w:val="24"/>
                  <w:lang w:eastAsia="lt-LT"/>
                </w:rPr>
                <w:t xml:space="preserve"> </w:t>
              </w:r>
              <w:r>
                <w:rPr>
                  <w:color w:val="000000"/>
                  <w:szCs w:val="24"/>
                  <w:lang w:eastAsia="lt-LT"/>
                </w:rPr>
                <w:t xml:space="preserve">Rekomenduoti Lietuvos Respublikos Prezidento kanceliarijai, Lietuvos savivaldybių asociacijai ir skėtinėms nacionalinėms nevyriausybinėms organizacijoms deleguoti savo atstovus bei pakaitinius atstovus į </w:t>
              </w:r>
              <w:r>
                <w:rPr>
                  <w:szCs w:val="24"/>
                  <w:lang w:eastAsia="lt-LT"/>
                </w:rPr>
                <w:t xml:space="preserve">Nevyriausybinių organizacijų </w:t>
              </w:r>
              <w:r>
                <w:rPr>
                  <w:color w:val="000000"/>
                  <w:szCs w:val="24"/>
                  <w:lang w:eastAsia="lt-LT"/>
                </w:rPr>
                <w:t>tarybą ne vėliau kaip per 14 kalendorinių dienų nuo šio nutarimo įsigaliojimo dienos.</w:t>
              </w:r>
            </w:p>
          </w:sdtContent>
        </w:sdt>
        <w:sdt>
          <w:sdtPr>
            <w:alias w:val="4 p."/>
            <w:tag w:val="part_ff07f10ffb49473cab0d5ebf317bf4dc"/>
            <w:lock w:val="sdtLocked"/>
            <w:richText/>
          </w:sdtPr>
          <w:sdtContent>
            <w:p>
              <w:pPr>
                <w:tabs>
                  <w:tab w:val="left" w:pos="993"/>
                </w:tabs>
                <w:spacing w:line="276" w:lineRule="auto"/>
                <w:ind w:firstLine="709"/>
                <w:jc w:val="both"/>
                <w:rPr>
                  <w:lang w:eastAsia="lt-LT"/>
                </w:rPr>
              </w:pPr>
              <w:sdt>
                <w:sdtPr>
                  <w:alias w:val="Numeris"/>
                  <w:tag w:val="nr_ff07f10ffb49473cab0d5ebf317bf4dc"/>
                  <w:lock w:val="sdtLocked"/>
                  <w:richText/>
                </w:sdtPr>
                <w:sdtContent>
                  <w:r>
                    <w:rPr>
                      <w:lang w:eastAsia="lt-LT"/>
                    </w:rPr>
                    <w:t>4</w:t>
                  </w:r>
                </w:sdtContent>
              </w:sdt>
              <w:r>
                <w:rPr>
                  <w:lang w:eastAsia="lt-LT"/>
                </w:rPr>
                <w:t>.</w:t>
                <w:tab/>
                <w:t>Pripažinti netekusiu galios Lietuvos Respublikos Vyriausybės 2014 m. liepos 9 d. nutarimą Nr. 641 „Dėl nevyriausybinių organizacijų tarybos sudėties ir jos nuostatų patvirtinimo“ su visais pakeitimais ir papildymais.</w:t>
              </w:r>
            </w:p>
            <w:p>
              <w:pPr>
                <w:rPr>
                  <w:lang w:eastAsia="lt-LT"/>
                </w:rPr>
              </w:pPr>
            </w:p>
            <w:p>
              <w:pPr>
                <w:rPr>
                  <w:color w:val="000000"/>
                  <w:szCs w:val="24"/>
                  <w:lang w:eastAsia="lt-LT"/>
                </w:rPr>
              </w:pPr>
            </w:p>
          </w:sdtContent>
        </w:sdt>
        <w:sdt>
          <w:sdtPr>
            <w:alias w:val="signatura"/>
            <w:tag w:val="part_b2cf847d5e684a2bb23d9ac44d72b9f7"/>
            <w:lock w:val="sdtLocked"/>
            <w:richText/>
          </w:sdtPr>
          <w:sdtContent>
            <w:p>
              <w:pPr>
                <w:rPr>
                  <w:lang w:eastAsia="lt-LT"/>
                </w:rPr>
              </w:pPr>
              <w:r>
                <w:rPr>
                  <w:lang w:eastAsia="lt-LT"/>
                </w:rPr>
                <w:t>Ministras Pirmininkas                                                                   </w:t>
                <w:tab/>
                <w:tab/>
              </w:r>
            </w:p>
            <w:p>
              <w:pPr>
                <w:ind w:firstLine="62"/>
                <w:rPr>
                  <w:lang w:eastAsia="lt-LT"/>
                </w:rPr>
              </w:pPr>
            </w:p>
            <w:p>
              <w:pPr>
                <w:ind w:firstLine="62"/>
                <w:rPr>
                  <w:lang w:eastAsia="lt-LT"/>
                </w:rPr>
              </w:pPr>
            </w:p>
            <w:p>
              <w:pPr>
                <w:ind w:firstLine="62"/>
                <w:rPr>
                  <w:lang w:eastAsia="lt-LT"/>
                </w:rPr>
              </w:pPr>
            </w:p>
            <w:p>
              <w:pPr>
                <w:rPr>
                  <w:lang w:eastAsia="lt-LT"/>
                </w:rPr>
              </w:pPr>
              <w:r>
                <w:rPr>
                  <w:lang w:eastAsia="lt-LT"/>
                </w:rPr>
                <w:t>Socialinės apsaugos ir darbo ministras                                          </w:t>
                <w:tab/>
                <w:tab/>
                <w:t xml:space="preserve">  </w:t>
              </w:r>
            </w:p>
            <w:p>
              <w:pPr>
                <w:rPr>
                  <w:lang w:eastAsia="lt-LT"/>
                </w:rPr>
              </w:pPr>
            </w:p>
            <w:p>
              <w:pPr>
                <w:tabs>
                  <w:tab w:val="center" w:pos="-7800"/>
                  <w:tab w:val="left" w:pos="6237"/>
                  <w:tab w:val="right" w:pos="8306"/>
                </w:tabs>
                <w:ind w:firstLine="62"/>
                <w:rPr>
                  <w:lang w:eastAsia="lt-LT"/>
                </w:rPr>
              </w:pPr>
            </w:p>
            <w:p>
              <w:pPr>
                <w:spacing w:line="360" w:lineRule="atLeast"/>
                <w:jc w:val="both"/>
                <w:rPr>
                  <w:lang w:eastAsia="lt-LT"/>
                </w:rPr>
              </w:pPr>
            </w:p>
            <w:p>
              <w:pPr>
                <w:spacing w:line="360" w:lineRule="atLeast"/>
                <w:jc w:val="both"/>
                <w:rPr>
                  <w:lang w:eastAsia="lt-LT"/>
                </w:rPr>
              </w:pPr>
            </w:p>
            <w:p>
              <w:pPr>
                <w:tabs>
                  <w:tab w:val="center" w:pos="-7800"/>
                  <w:tab w:val="left" w:pos="6237"/>
                  <w:tab w:val="right" w:pos="8306"/>
                </w:tabs>
                <w:ind w:firstLine="6237"/>
                <w:rPr>
                  <w:lang w:eastAsia="lt-LT"/>
                </w:rPr>
              </w:pP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1134" w:left="1701" w:header="567" w:footer="567" w:gutter="0"/>
      <w:cols w:space="1296"/>
      <w:titlePg/>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pPr>
      <w:tabs>
        <w:tab w:val="center" w:pos="4153"/>
        <w:tab w:val="right" w:pos="8306"/>
      </w:tabs>
      <w:spacing w:after="160" w:line="259" w:lineRule="auto"/>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2</w:t>
    </w:r>
    <w:r>
      <w:rPr>
        <w:lang w:eastAsia="lt-LT"/>
      </w:rPr>
      <w:fldChar w:fldCharType="end"/>
    </w:r>
  </w:p>
  <w:p>
    <w:pPr>
      <w:tabs>
        <w:tab w:val="center" w:pos="4153"/>
        <w:tab w:val="right" w:pos="8306"/>
      </w:tabs>
      <w:spacing w:after="160" w:line="259" w:lineRule="auto"/>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spacing w:after="160" w:line="259" w:lineRule="auto"/>
      <w:rPr>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arts xmlns="http://lrs.lt/TAIS/DocParts">
  <Part Type="pagrindine" DocPartId="8b433992c465487d9fe800deb9f9b79b" PartId="46a19427ae5646cfab9cf800e0a8d7c0">
    <Part Type="preambule" DocPartId="51ce1f49a60540b0988ac513ebd81e6b" PartId="24e95e5dd4de436093af06f128a442a0"/>
    <Part Type="punktas" Nr="1" Abbr="1 p." DocPartId="133ad518bfd84483b0ea3baa7930da1e" PartId="867c51b4d39743d389d8f51f7a1bf32c">
      <Part Type="papunktis" Nr="1.1" Abbr="1.1 pp." DocPartId="84fb29ae13714298ab2fa35a2c7875ed" PartId="2b44ddcc9944453193f78798a48dd896">
        <Part Type="citata" DocPartId="48d07c58f08247dc90aebba568447763" PartId="84be805cf9724fcd9321c31003bf6c36">
          <Part Type="pastraipa" DocPartId="88e4df132c4047b393df9eda3781ae0e" PartId="a40ec344b0914920b472e364eed08041"/>
        </Part>
      </Part>
      <Part Type="papunktis" Nr="1.2" Abbr="1.2 pp." DocPartId="235ee268a3624d4398b2e7d5b069a83a" PartId="8cb550f1504343c5a8304e0fa04dedf0">
        <Part Type="citata" DocPartId="0f2d1dc5ddb84a21ad4b9546158a89a6" PartId="b7a1baa683ab44d99a0f17a2ca4c0eda">
          <Part Type="punktas" Nr="2" Abbr="2 p." DocPartId="754c74ef5bd3434f9d89f59adb78f551" PartId="8d7e0bc3ef9d472288a9a8bb98fce31c">
            <Part Type="papunktis" Nr="2.1" Abbr="2.1 pp." DocPartId="52568cbca82b4fc3911ce930967121ba" PartId="a7fc873bf65f4cff919db808f4cee1c5"/>
            <Part Type="papunktis" Nr="2.2" Abbr="2.2 pp." DocPartId="58bc8daf44564ba0b10df78c7b84ee8b" PartId="eee0fed4a82d4a27a5e56237bea51bc0"/>
          </Part>
        </Part>
      </Part>
      <Part Type="papunktis" Nr="1.3" Abbr="1.3 pp." DocPartId="67afab3c5eaa4f6c8efa192007bc7708" PartId="84903dae43f84389b4eb3e56388daf0a">
        <Part Type="citata" DocPartId="4f7dd867fa224707b6bf3a80976fa962" PartId="92e7d9434f69411ab77fecb4190a6f68">
          <Part Type="punktas" Nr="5" Abbr="5 p." DocPartId="ba9a02d1c09948cca32caca8ce169664" PartId="0639c52ce6214655bedd72500a4165b4"/>
          <Part Type="skirsnis" Title="10 (dešimt) nevyriausybinių organizacijų deleguotų atstovų; Lietuvos Respublikos krašto apsaugos ministerijos deleguotas atstovas; Lietuvos Respublikos kultūros ministerijos deleguotas atstovas; Lietuvos Respublikos Prezidento kanceliarijos deleguotas atstovas; Lietuvos Respublikos socialinės apsaugos ir darbo ministerijos deleguotas atstovas; Lietuvos Respublikos švietimo, mokslo ir sporto ministerijos deleguotas atstovas; Lietuvos Respublikos teisingumo ministerijos deleguotas atstovas; Lietuvos Respublikos vidaus reikalų ministerijos deleguotas atstovas; Lietuvos Respublikos Vyriausybės kanceliarijos deleguotas atstovas; Lietuvos Respublikos žemės ūkio ministerijos deleguotas atstovas;" DocPartId="9bb577e39b8846c49675fa6d218aca26" PartId="61d865b5e96940b284be9b067705ab27"/>
        </Part>
      </Part>
    </Part>
    <Part Type="punktas" Nr="2" Abbr="2 p." DocPartId="5496e651ab6a479ca9f8978180ef407b" PartId="6cb4cb9d9e9044b5be7770313fb765e8"/>
    <Part Type="punktas" Nr="3" Abbr="3 p." DocPartId="6255a9ee15654e7ba8fb03e67acbf41c" PartId="535c48b568b54a049177f2c5fbe5d869"/>
    <Part Type="punktas" Nr="4" Abbr="4 p." DocPartId="c53678bc4dfb4249a3384691f7692616" PartId="ff07f10ffb49473cab0d5ebf317bf4dc"/>
    <Part Type="signatura" DocPartId="bc9c3c8f3af14895bb10d1bf55a4e868" PartId="b2cf847d5e684a2bb23d9ac44d72b9f7"/>
  </Part>
</Parts>
</file>

<file path=customXml/itemProps1.xml><?xml version="1.0" encoding="utf-8"?>
<ds:datastoreItem xmlns:ds="http://schemas.openxmlformats.org/officeDocument/2006/customXml" ds:itemID="{2F0D44F7-187C-419A-90EA-F92E2A94C8FC}">
  <ds:schemaRefs>
    <ds:schemaRef ds:uri="http://schemas.openxmlformats.org/officeDocument/2006/bibliography"/>
  </ds:schemaRefs>
</ds:datastoreItem>
</file>

<file path=customXml/itemProps2.xml><?xml version="1.0" encoding="utf-8"?>
<ds:datastoreItem xmlns:ds="http://schemas.openxmlformats.org/officeDocument/2006/customXml" ds:itemID="{6E77BC46-5A13-45BE-B784-28B0335D9E8F}">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2766</Characters>
  <Application>Microsoft Office Word</Application>
  <DocSecurity>4</DocSecurity>
  <Lines>64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3080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2021-05-11T07:56:00Z</dcterms:created>
  <dc:creator>lrvk</dc:creator>
  <cp:lastModifiedBy>adlibuser</cp:lastModifiedBy>
  <cp:lastPrinted>2017-06-01T05:28:00Z</cp:lastPrinted>
  <dcterms:modified xsi:type="dcterms:W3CDTF">2021-05-11T07:56:00Z</dcterms:modified>
  <cp:revision>2</cp:revision>
</cp:coreProperties>
</file>