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theme/themeOverride3.xml" ContentType="application/vnd.openxmlformats-officedocument.themeOverride+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theme/themeOverride4.xml" ContentType="application/vnd.openxmlformats-officedocument.themeOverride+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03" w:rsidRPr="00DF3F93" w:rsidRDefault="00B86403" w:rsidP="00D65621">
      <w:pPr>
        <w:jc w:val="both"/>
        <w:rPr>
          <w:szCs w:val="24"/>
        </w:rPr>
      </w:pPr>
      <w:bookmarkStart w:id="0" w:name="_Toc473644121"/>
      <w:r w:rsidRPr="00DF3F93">
        <w:rPr>
          <w:rFonts w:eastAsia="Calibri"/>
          <w:b/>
          <w:noProof/>
          <w:color w:val="0070C0"/>
          <w:szCs w:val="24"/>
          <w:lang w:eastAsia="lt-LT"/>
        </w:rPr>
        <w:drawing>
          <wp:inline distT="0" distB="0" distL="0" distR="0" wp14:anchorId="4BCFF62D" wp14:editId="04240C12">
            <wp:extent cx="2914650" cy="1149350"/>
            <wp:effectExtent l="0" t="0" r="0" b="0"/>
            <wp:docPr id="387" name="Paveikslėlis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4650" cy="1149350"/>
                    </a:xfrm>
                    <a:prstGeom prst="rect">
                      <a:avLst/>
                    </a:prstGeom>
                    <a:noFill/>
                    <a:ln>
                      <a:noFill/>
                    </a:ln>
                  </pic:spPr>
                </pic:pic>
              </a:graphicData>
            </a:graphic>
          </wp:inline>
        </w:drawing>
      </w:r>
    </w:p>
    <w:p w:rsidR="00B86403" w:rsidRPr="00DF3F93" w:rsidRDefault="00B86403" w:rsidP="00D65621">
      <w:pPr>
        <w:jc w:val="both"/>
        <w:rPr>
          <w:szCs w:val="24"/>
        </w:rPr>
      </w:pPr>
    </w:p>
    <w:p w:rsidR="00B86403" w:rsidRPr="00DF3F93" w:rsidRDefault="00B86403" w:rsidP="00D65621">
      <w:pPr>
        <w:jc w:val="both"/>
        <w:rPr>
          <w:szCs w:val="24"/>
        </w:rPr>
      </w:pPr>
    </w:p>
    <w:p w:rsidR="00B86403" w:rsidRPr="00DF3F93" w:rsidRDefault="00B86403" w:rsidP="00D65621">
      <w:pPr>
        <w:jc w:val="both"/>
        <w:rPr>
          <w:szCs w:val="24"/>
        </w:rPr>
      </w:pPr>
    </w:p>
    <w:p w:rsidR="00B86403" w:rsidRPr="00DF3F93" w:rsidRDefault="00B86403" w:rsidP="00D65621">
      <w:pPr>
        <w:jc w:val="both"/>
        <w:rPr>
          <w:szCs w:val="24"/>
        </w:rPr>
      </w:pPr>
    </w:p>
    <w:p w:rsidR="00C42339" w:rsidRPr="00DF3F93" w:rsidRDefault="00C42339" w:rsidP="00D65621">
      <w:pPr>
        <w:jc w:val="both"/>
        <w:rPr>
          <w:szCs w:val="24"/>
        </w:rPr>
      </w:pPr>
    </w:p>
    <w:p w:rsidR="00B86403" w:rsidRPr="00DF3F93" w:rsidRDefault="00B86403" w:rsidP="00D65621">
      <w:pPr>
        <w:jc w:val="both"/>
        <w:rPr>
          <w:szCs w:val="24"/>
        </w:rPr>
      </w:pPr>
      <w:r w:rsidRPr="00DF3F93">
        <w:rPr>
          <w:noProof/>
          <w:szCs w:val="24"/>
          <w:lang w:eastAsia="lt-LT"/>
        </w:rPr>
        <mc:AlternateContent>
          <mc:Choice Requires="wps">
            <w:drawing>
              <wp:anchor distT="0" distB="0" distL="114300" distR="114300" simplePos="0" relativeHeight="251659264" behindDoc="0" locked="0" layoutInCell="1" allowOverlap="1" wp14:anchorId="75EFBB58" wp14:editId="08F310A3">
                <wp:simplePos x="0" y="0"/>
                <wp:positionH relativeFrom="column">
                  <wp:posOffset>73925</wp:posOffset>
                </wp:positionH>
                <wp:positionV relativeFrom="paragraph">
                  <wp:posOffset>374214</wp:posOffset>
                </wp:positionV>
                <wp:extent cx="6209665" cy="2169994"/>
                <wp:effectExtent l="0" t="0" r="0" b="0"/>
                <wp:wrapNone/>
                <wp:docPr id="388" name="Teksto laukas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216999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748D" w:rsidRPr="00BD3E54" w:rsidRDefault="00B9748D" w:rsidP="00D65621">
                            <w:pPr>
                              <w:ind w:left="-142"/>
                              <w:jc w:val="center"/>
                              <w:rPr>
                                <w:rFonts w:ascii="Calibri" w:hAnsi="Calibri"/>
                                <w:b/>
                                <w:color w:val="D9D9D9"/>
                                <w:sz w:val="48"/>
                                <w:szCs w:val="48"/>
                              </w:rPr>
                            </w:pPr>
                            <w:r w:rsidRPr="00BD3E54">
                              <w:rPr>
                                <w:rFonts w:ascii="Calibri" w:hAnsi="Calibri"/>
                                <w:b/>
                                <w:color w:val="D9D9D9"/>
                                <w:sz w:val="48"/>
                                <w:szCs w:val="48"/>
                              </w:rPr>
                              <w:t xml:space="preserve">2014–2020 M. EUROPOS SĄJUNGOS FONDŲ INVESTICIJŲ </w:t>
                            </w:r>
                            <w:r>
                              <w:rPr>
                                <w:rFonts w:ascii="Calibri" w:hAnsi="Calibri"/>
                                <w:b/>
                                <w:color w:val="D9D9D9"/>
                                <w:sz w:val="48"/>
                                <w:szCs w:val="48"/>
                              </w:rPr>
                              <w:t>VEIKSMŲ PROGRAMOS</w:t>
                            </w:r>
                            <w:r w:rsidRPr="00BD3E54">
                              <w:rPr>
                                <w:rFonts w:ascii="Calibri" w:hAnsi="Calibri"/>
                                <w:b/>
                                <w:color w:val="D9D9D9"/>
                                <w:sz w:val="48"/>
                                <w:szCs w:val="48"/>
                              </w:rPr>
                              <w:t xml:space="preserve"> ĮGYVENDINIMO KETVIRTINĖ ATASKAITA</w:t>
                            </w:r>
                          </w:p>
                          <w:p w:rsidR="00B9748D" w:rsidRDefault="00B9748D" w:rsidP="00B86403">
                            <w:pPr>
                              <w:rPr>
                                <w:rFonts w:ascii="Calibri" w:hAnsi="Calibri"/>
                                <w:b/>
                                <w:color w:val="D9D9D9"/>
                                <w:sz w:val="48"/>
                                <w:szCs w:val="48"/>
                              </w:rPr>
                            </w:pPr>
                          </w:p>
                          <w:p w:rsidR="00B9748D" w:rsidRPr="00BD3E54" w:rsidRDefault="00B9748D" w:rsidP="00B86403">
                            <w:pPr>
                              <w:rPr>
                                <w:rFonts w:ascii="Calibri" w:hAnsi="Calibri"/>
                                <w:b/>
                                <w:color w:val="D9D9D9"/>
                                <w:sz w:val="48"/>
                                <w:szCs w:val="48"/>
                              </w:rPr>
                            </w:pPr>
                          </w:p>
                          <w:p w:rsidR="00B9748D" w:rsidRPr="00A40881" w:rsidRDefault="00B9748D" w:rsidP="00D65621">
                            <w:pPr>
                              <w:jc w:val="center"/>
                              <w:rPr>
                                <w:sz w:val="28"/>
                                <w:szCs w:val="28"/>
                              </w:rPr>
                            </w:pPr>
                            <w:r>
                              <w:rPr>
                                <w:rFonts w:ascii="Calibri" w:hAnsi="Calibri"/>
                                <w:b/>
                                <w:color w:val="D9D9D9"/>
                                <w:sz w:val="28"/>
                                <w:szCs w:val="28"/>
                              </w:rPr>
                              <w:t xml:space="preserve">2020 metų metinė, 2021 metų I </w:t>
                            </w:r>
                            <w:proofErr w:type="spellStart"/>
                            <w:r>
                              <w:rPr>
                                <w:rFonts w:ascii="Calibri" w:hAnsi="Calibri"/>
                                <w:b/>
                                <w:color w:val="D9D9D9"/>
                                <w:sz w:val="28"/>
                                <w:szCs w:val="28"/>
                              </w:rPr>
                              <w:t>ketv</w:t>
                            </w:r>
                            <w:proofErr w:type="spellEnd"/>
                            <w:r>
                              <w:rPr>
                                <w:rFonts w:ascii="Calibri" w:hAnsi="Calibri"/>
                                <w:b/>
                                <w:color w:val="D9D9D9"/>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o laukas 388" o:spid="_x0000_s1026" type="#_x0000_t202" style="position:absolute;left:0;text-align:left;margin-left:5.8pt;margin-top:29.45pt;width:488.95pt;height:1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" stroked="f">
                <v:fill opacity="0"/>
                <v:textbox>
                  <w:txbxContent>
                    <w:p w:rsidR="00B9748D" w:rsidRPr="00BD3E54" w:rsidRDefault="00B9748D" w:rsidP="00D65621">
                      <w:pPr>
                        <w:ind w:left="-142"/>
                        <w:jc w:val="center"/>
                        <w:rPr>
                          <w:rFonts w:ascii="Calibri" w:hAnsi="Calibri"/>
                          <w:b/>
                          <w:color w:val="D9D9D9"/>
                          <w:sz w:val="48"/>
                          <w:szCs w:val="48"/>
                        </w:rPr>
                      </w:pPr>
                      <w:r w:rsidRPr="00BD3E54">
                        <w:rPr>
                          <w:rFonts w:ascii="Calibri" w:hAnsi="Calibri"/>
                          <w:b/>
                          <w:color w:val="D9D9D9"/>
                          <w:sz w:val="48"/>
                          <w:szCs w:val="48"/>
                        </w:rPr>
                        <w:t xml:space="preserve">2014–2020 M. EUROPOS SĄJUNGOS FONDŲ INVESTICIJŲ </w:t>
                      </w:r>
                      <w:r>
                        <w:rPr>
                          <w:rFonts w:ascii="Calibri" w:hAnsi="Calibri"/>
                          <w:b/>
                          <w:color w:val="D9D9D9"/>
                          <w:sz w:val="48"/>
                          <w:szCs w:val="48"/>
                        </w:rPr>
                        <w:t>VEIKSMŲ PROGRAMOS</w:t>
                      </w:r>
                      <w:r w:rsidRPr="00BD3E54">
                        <w:rPr>
                          <w:rFonts w:ascii="Calibri" w:hAnsi="Calibri"/>
                          <w:b/>
                          <w:color w:val="D9D9D9"/>
                          <w:sz w:val="48"/>
                          <w:szCs w:val="48"/>
                        </w:rPr>
                        <w:t xml:space="preserve"> ĮGYVENDINIMO KETVIRTINĖ ATASKAITA</w:t>
                      </w:r>
                    </w:p>
                    <w:p w:rsidR="00B9748D" w:rsidRDefault="00B9748D" w:rsidP="00B86403">
                      <w:pPr>
                        <w:rPr>
                          <w:rFonts w:ascii="Calibri" w:hAnsi="Calibri"/>
                          <w:b/>
                          <w:color w:val="D9D9D9"/>
                          <w:sz w:val="48"/>
                          <w:szCs w:val="48"/>
                        </w:rPr>
                      </w:pPr>
                    </w:p>
                    <w:p w:rsidR="00B9748D" w:rsidRPr="00BD3E54" w:rsidRDefault="00B9748D" w:rsidP="00B86403">
                      <w:pPr>
                        <w:rPr>
                          <w:rFonts w:ascii="Calibri" w:hAnsi="Calibri"/>
                          <w:b/>
                          <w:color w:val="D9D9D9"/>
                          <w:sz w:val="48"/>
                          <w:szCs w:val="48"/>
                        </w:rPr>
                      </w:pPr>
                    </w:p>
                    <w:p w:rsidR="00B9748D" w:rsidRPr="00A40881" w:rsidRDefault="00B9748D" w:rsidP="00D65621">
                      <w:pPr>
                        <w:jc w:val="center"/>
                        <w:rPr>
                          <w:sz w:val="28"/>
                          <w:szCs w:val="28"/>
                        </w:rPr>
                      </w:pPr>
                      <w:r>
                        <w:rPr>
                          <w:rFonts w:ascii="Calibri" w:hAnsi="Calibri"/>
                          <w:b/>
                          <w:color w:val="D9D9D9"/>
                          <w:sz w:val="28"/>
                          <w:szCs w:val="28"/>
                        </w:rPr>
                        <w:t xml:space="preserve">2020 metų metinė, 2021 metų I </w:t>
                      </w:r>
                      <w:proofErr w:type="spellStart"/>
                      <w:r>
                        <w:rPr>
                          <w:rFonts w:ascii="Calibri" w:hAnsi="Calibri"/>
                          <w:b/>
                          <w:color w:val="D9D9D9"/>
                          <w:sz w:val="28"/>
                          <w:szCs w:val="28"/>
                        </w:rPr>
                        <w:t>ketv</w:t>
                      </w:r>
                      <w:proofErr w:type="spellEnd"/>
                      <w:r>
                        <w:rPr>
                          <w:rFonts w:ascii="Calibri" w:hAnsi="Calibri"/>
                          <w:b/>
                          <w:color w:val="D9D9D9"/>
                          <w:sz w:val="28"/>
                          <w:szCs w:val="28"/>
                        </w:rPr>
                        <w:t>.</w:t>
                      </w:r>
                    </w:p>
                  </w:txbxContent>
                </v:textbox>
              </v:shape>
            </w:pict>
          </mc:Fallback>
        </mc:AlternateContent>
      </w:r>
    </w:p>
    <w:p w:rsidR="00B86403" w:rsidRPr="00DF3F93" w:rsidRDefault="00B86403" w:rsidP="00D65621">
      <w:pPr>
        <w:jc w:val="both"/>
        <w:rPr>
          <w:szCs w:val="24"/>
        </w:rPr>
      </w:pPr>
      <w:r w:rsidRPr="00DF3F93">
        <w:rPr>
          <w:noProof/>
          <w:szCs w:val="24"/>
          <w:lang w:eastAsia="lt-LT"/>
        </w:rPr>
        <mc:AlternateContent>
          <mc:Choice Requires="wps">
            <w:drawing>
              <wp:anchor distT="0" distB="0" distL="114300" distR="114300" simplePos="0" relativeHeight="251657216" behindDoc="1" locked="0" layoutInCell="1" allowOverlap="1" wp14:anchorId="6FD205D1" wp14:editId="67362380">
                <wp:simplePos x="0" y="0"/>
                <wp:positionH relativeFrom="column">
                  <wp:posOffset>76835</wp:posOffset>
                </wp:positionH>
                <wp:positionV relativeFrom="paragraph">
                  <wp:posOffset>143510</wp:posOffset>
                </wp:positionV>
                <wp:extent cx="6510655" cy="3155315"/>
                <wp:effectExtent l="635" t="4445" r="3810" b="2540"/>
                <wp:wrapSquare wrapText="bothSides"/>
                <wp:docPr id="390" name="Teksto laukas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315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48D" w:rsidRDefault="00B9748D" w:rsidP="00670A6A">
                            <w:pPr>
                              <w:ind w:left="-567"/>
                              <w:jc w:val="center"/>
                            </w:pPr>
                            <w:r>
                              <w:rPr>
                                <w:noProof/>
                                <w:lang w:eastAsia="lt-LT"/>
                              </w:rPr>
                              <w:drawing>
                                <wp:inline distT="0" distB="0" distL="0" distR="0" wp14:anchorId="57F944F7" wp14:editId="10D791B9">
                                  <wp:extent cx="6564517" cy="2790967"/>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1219" cy="279381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ksto laukas 390" o:spid="_x0000_s1027" type="#_x0000_t202" style="position:absolute;left:0;text-align:left;margin-left:6.05pt;margin-top:11.3pt;width:512.65pt;height:248.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" filled="f" stroked="f">
                <v:textbox style="mso-fit-shape-to-text:t">
                  <w:txbxContent>
                    <w:p w:rsidR="00B9748D" w:rsidRDefault="00B9748D" w:rsidP="00670A6A">
                      <w:pPr>
                        <w:ind w:left="-567"/>
                        <w:jc w:val="center"/>
                      </w:pPr>
                      <w:r>
                        <w:rPr>
                          <w:noProof/>
                          <w:lang w:eastAsia="lt-LT"/>
                        </w:rPr>
                        <w:drawing>
                          <wp:inline distT="0" distB="0" distL="0" distR="0" wp14:anchorId="57F944F7" wp14:editId="10D791B9">
                            <wp:extent cx="6564517" cy="2790967"/>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1219" cy="2793816"/>
                                    </a:xfrm>
                                    <a:prstGeom prst="rect">
                                      <a:avLst/>
                                    </a:prstGeom>
                                    <a:noFill/>
                                    <a:ln>
                                      <a:noFill/>
                                    </a:ln>
                                  </pic:spPr>
                                </pic:pic>
                              </a:graphicData>
                            </a:graphic>
                          </wp:inline>
                        </w:drawing>
                      </w:r>
                    </w:p>
                  </w:txbxContent>
                </v:textbox>
                <w10:wrap type="square"/>
              </v:shape>
            </w:pict>
          </mc:Fallback>
        </mc:AlternateContent>
      </w:r>
    </w:p>
    <w:p w:rsidR="00A40881" w:rsidRPr="00DF3F93" w:rsidRDefault="000C4C16" w:rsidP="00D65621">
      <w:pPr>
        <w:rPr>
          <w:rFonts w:eastAsia="Calibri"/>
          <w:b/>
          <w:color w:val="0070C0"/>
          <w:szCs w:val="24"/>
          <w:lang w:eastAsia="lt-LT"/>
        </w:rPr>
      </w:pPr>
      <w:r w:rsidRPr="00DF3F93">
        <w:rPr>
          <w:rFonts w:eastAsia="Calibri"/>
          <w:b/>
          <w:color w:val="0070C0"/>
          <w:szCs w:val="24"/>
          <w:lang w:eastAsia="lt-LT"/>
        </w:rPr>
        <w:br w:type="page"/>
      </w:r>
    </w:p>
    <w:sdt>
      <w:sdtPr>
        <w:rPr>
          <w:rFonts w:eastAsia="Calibri"/>
          <w:bCs/>
          <w:color w:val="7F7F7F" w:themeColor="text1" w:themeTint="80"/>
          <w:szCs w:val="24"/>
        </w:rPr>
        <w:id w:val="-865983546"/>
        <w:docPartObj>
          <w:docPartGallery w:val="Table of Contents"/>
          <w:docPartUnique/>
        </w:docPartObj>
      </w:sdtPr>
      <w:sdtEndPr>
        <w:rPr>
          <w:bCs w:val="0"/>
          <w:color w:val="595959" w:themeColor="text1" w:themeTint="A6"/>
        </w:rPr>
      </w:sdtEndPr>
      <w:sdtContent>
        <w:p w:rsidR="00B86403" w:rsidRPr="00C4777B" w:rsidRDefault="00B86403" w:rsidP="00D65621">
          <w:pPr>
            <w:rPr>
              <w:color w:val="595959" w:themeColor="text1" w:themeTint="A6"/>
              <w:szCs w:val="24"/>
              <w:lang w:eastAsia="lt-LT"/>
            </w:rPr>
          </w:pPr>
          <w:r w:rsidRPr="00C4777B">
            <w:rPr>
              <w:color w:val="595959" w:themeColor="text1" w:themeTint="A6"/>
              <w:szCs w:val="24"/>
              <w:lang w:eastAsia="lt-LT"/>
            </w:rPr>
            <w:t>Turinys</w:t>
          </w:r>
        </w:p>
        <w:p w:rsidR="00F86D84" w:rsidRPr="00047E42" w:rsidRDefault="00B86403">
          <w:pPr>
            <w:pStyle w:val="Turinys1"/>
            <w:tabs>
              <w:tab w:val="left" w:pos="440"/>
              <w:tab w:val="right" w:leader="dot" w:pos="9628"/>
            </w:tabs>
            <w:rPr>
              <w:rStyle w:val="Hipersaitas"/>
              <w:noProof/>
              <w:color w:val="595959" w:themeColor="text1" w:themeTint="A6"/>
            </w:rPr>
          </w:pPr>
          <w:r w:rsidRPr="00047E42">
            <w:rPr>
              <w:color w:val="595959" w:themeColor="text1" w:themeTint="A6"/>
              <w:szCs w:val="24"/>
              <w:lang w:eastAsia="lt-LT"/>
            </w:rPr>
            <w:fldChar w:fldCharType="begin"/>
          </w:r>
          <w:r w:rsidRPr="00047E42">
            <w:rPr>
              <w:color w:val="595959" w:themeColor="text1" w:themeTint="A6"/>
              <w:szCs w:val="24"/>
              <w:lang w:eastAsia="lt-LT"/>
            </w:rPr>
            <w:instrText xml:space="preserve"> TOC \o "1-3" \h \z \u </w:instrText>
          </w:r>
          <w:r w:rsidRPr="00047E42">
            <w:rPr>
              <w:color w:val="595959" w:themeColor="text1" w:themeTint="A6"/>
              <w:szCs w:val="24"/>
              <w:lang w:eastAsia="lt-LT"/>
            </w:rPr>
            <w:fldChar w:fldCharType="separate"/>
          </w:r>
          <w:hyperlink w:anchor="_Toc69114247" w:history="1">
            <w:r w:rsidR="00F86D84" w:rsidRPr="00047E42">
              <w:rPr>
                <w:rStyle w:val="Hipersaitas"/>
                <w:noProof/>
                <w:color w:val="595959" w:themeColor="text1" w:themeTint="A6"/>
              </w:rPr>
              <w:t>I.</w:t>
            </w:r>
            <w:r w:rsidR="00F86D84" w:rsidRPr="00047E42">
              <w:rPr>
                <w:rStyle w:val="Hipersaitas"/>
                <w:noProof/>
                <w:color w:val="595959" w:themeColor="text1" w:themeTint="A6"/>
              </w:rPr>
              <w:tab/>
              <w:t>Bendra Veiksmų programos įgyvendinimo apžvalga</w:t>
            </w:r>
            <w:r w:rsidR="00F86D84" w:rsidRPr="00047E42">
              <w:rPr>
                <w:rStyle w:val="Hipersaitas"/>
                <w:noProof/>
                <w:webHidden/>
                <w:color w:val="595959" w:themeColor="text1" w:themeTint="A6"/>
              </w:rPr>
              <w:tab/>
            </w:r>
            <w:r w:rsidR="00F86D84" w:rsidRPr="00047E42">
              <w:rPr>
                <w:rStyle w:val="Hipersaitas"/>
                <w:noProof/>
                <w:webHidden/>
                <w:color w:val="595959" w:themeColor="text1" w:themeTint="A6"/>
              </w:rPr>
              <w:fldChar w:fldCharType="begin"/>
            </w:r>
            <w:r w:rsidR="00F86D84" w:rsidRPr="00047E42">
              <w:rPr>
                <w:rStyle w:val="Hipersaitas"/>
                <w:noProof/>
                <w:webHidden/>
                <w:color w:val="595959" w:themeColor="text1" w:themeTint="A6"/>
              </w:rPr>
              <w:instrText xml:space="preserve"> PAGEREF _Toc69114247 \h </w:instrText>
            </w:r>
            <w:r w:rsidR="00F86D84" w:rsidRPr="00047E42">
              <w:rPr>
                <w:rStyle w:val="Hipersaitas"/>
                <w:noProof/>
                <w:webHidden/>
                <w:color w:val="595959" w:themeColor="text1" w:themeTint="A6"/>
              </w:rPr>
            </w:r>
            <w:r w:rsidR="00F86D84" w:rsidRPr="00047E42">
              <w:rPr>
                <w:rStyle w:val="Hipersaitas"/>
                <w:noProof/>
                <w:webHidden/>
                <w:color w:val="595959" w:themeColor="text1" w:themeTint="A6"/>
              </w:rPr>
              <w:fldChar w:fldCharType="separate"/>
            </w:r>
            <w:r w:rsidR="00047E42" w:rsidRPr="00047E42">
              <w:rPr>
                <w:rStyle w:val="Hipersaitas"/>
                <w:noProof/>
                <w:webHidden/>
                <w:color w:val="595959" w:themeColor="text1" w:themeTint="A6"/>
              </w:rPr>
              <w:t>5</w:t>
            </w:r>
            <w:r w:rsidR="00F86D84" w:rsidRPr="00047E42">
              <w:rPr>
                <w:rStyle w:val="Hipersaitas"/>
                <w:noProof/>
                <w:webHidden/>
                <w:color w:val="595959" w:themeColor="text1" w:themeTint="A6"/>
              </w:rPr>
              <w:fldChar w:fldCharType="end"/>
            </w:r>
          </w:hyperlink>
        </w:p>
        <w:p w:rsidR="00F86D84" w:rsidRPr="00047E42" w:rsidRDefault="00AE0220">
          <w:pPr>
            <w:pStyle w:val="Turinys1"/>
            <w:tabs>
              <w:tab w:val="left" w:pos="660"/>
              <w:tab w:val="right" w:leader="dot" w:pos="9628"/>
            </w:tabs>
            <w:rPr>
              <w:rStyle w:val="Hipersaitas"/>
              <w:noProof/>
              <w:color w:val="595959" w:themeColor="text1" w:themeTint="A6"/>
            </w:rPr>
          </w:pPr>
          <w:hyperlink w:anchor="_Toc69114248" w:history="1">
            <w:r w:rsidR="00F86D84" w:rsidRPr="00047E42">
              <w:rPr>
                <w:rStyle w:val="Hipersaitas"/>
                <w:noProof/>
                <w:color w:val="595959" w:themeColor="text1" w:themeTint="A6"/>
              </w:rPr>
              <w:t>II.</w:t>
            </w:r>
            <w:r w:rsidR="00F86D84" w:rsidRPr="00047E42">
              <w:rPr>
                <w:rStyle w:val="Hipersaitas"/>
                <w:noProof/>
                <w:color w:val="595959" w:themeColor="text1" w:themeTint="A6"/>
              </w:rPr>
              <w:tab/>
              <w:t>Situacijos sektoriuose analizė ir siūlymai</w:t>
            </w:r>
            <w:r w:rsidR="00F86D84" w:rsidRPr="00047E42">
              <w:rPr>
                <w:rStyle w:val="Hipersaitas"/>
                <w:noProof/>
                <w:webHidden/>
                <w:color w:val="595959" w:themeColor="text1" w:themeTint="A6"/>
              </w:rPr>
              <w:tab/>
            </w:r>
            <w:r w:rsidR="00F86D84" w:rsidRPr="00047E42">
              <w:rPr>
                <w:rStyle w:val="Hipersaitas"/>
                <w:noProof/>
                <w:webHidden/>
                <w:color w:val="595959" w:themeColor="text1" w:themeTint="A6"/>
              </w:rPr>
              <w:fldChar w:fldCharType="begin"/>
            </w:r>
            <w:r w:rsidR="00F86D84" w:rsidRPr="00047E42">
              <w:rPr>
                <w:rStyle w:val="Hipersaitas"/>
                <w:noProof/>
                <w:webHidden/>
                <w:color w:val="595959" w:themeColor="text1" w:themeTint="A6"/>
              </w:rPr>
              <w:instrText xml:space="preserve"> PAGEREF _Toc69114248 \h </w:instrText>
            </w:r>
            <w:r w:rsidR="00F86D84" w:rsidRPr="00047E42">
              <w:rPr>
                <w:rStyle w:val="Hipersaitas"/>
                <w:noProof/>
                <w:webHidden/>
                <w:color w:val="595959" w:themeColor="text1" w:themeTint="A6"/>
              </w:rPr>
            </w:r>
            <w:r w:rsidR="00F86D84" w:rsidRPr="00047E42">
              <w:rPr>
                <w:rStyle w:val="Hipersaitas"/>
                <w:noProof/>
                <w:webHidden/>
                <w:color w:val="595959" w:themeColor="text1" w:themeTint="A6"/>
              </w:rPr>
              <w:fldChar w:fldCharType="separate"/>
            </w:r>
            <w:r w:rsidR="00047E42" w:rsidRPr="00047E42">
              <w:rPr>
                <w:rStyle w:val="Hipersaitas"/>
                <w:noProof/>
                <w:webHidden/>
                <w:color w:val="595959" w:themeColor="text1" w:themeTint="A6"/>
              </w:rPr>
              <w:t>8</w:t>
            </w:r>
            <w:r w:rsidR="00F86D84" w:rsidRPr="00047E42">
              <w:rPr>
                <w:rStyle w:val="Hipersaitas"/>
                <w:noProof/>
                <w:webHidden/>
                <w:color w:val="595959" w:themeColor="text1" w:themeTint="A6"/>
              </w:rPr>
              <w:fldChar w:fldCharType="end"/>
            </w:r>
          </w:hyperlink>
        </w:p>
        <w:p w:rsidR="00F86D84" w:rsidRPr="00047E42" w:rsidRDefault="00AE0220">
          <w:pPr>
            <w:pStyle w:val="Turinys2"/>
            <w:tabs>
              <w:tab w:val="right" w:leader="dot" w:pos="9628"/>
            </w:tabs>
            <w:rPr>
              <w:rStyle w:val="Hipersaitas"/>
              <w:noProof/>
              <w:color w:val="595959" w:themeColor="text1" w:themeTint="A6"/>
            </w:rPr>
          </w:pPr>
          <w:hyperlink w:anchor="_Toc69114249" w:history="1">
            <w:r w:rsidR="00F86D84" w:rsidRPr="00047E42">
              <w:rPr>
                <w:rStyle w:val="Hipersaitas"/>
                <w:noProof/>
                <w:color w:val="595959" w:themeColor="text1" w:themeTint="A6"/>
              </w:rPr>
              <w:t>1 prioritetas. Mokslinių tyrimų, eksperimentinės plėtros ir inovacijų skatinimas</w:t>
            </w:r>
            <w:r w:rsidR="00F86D84" w:rsidRPr="00047E42">
              <w:rPr>
                <w:rStyle w:val="Hipersaitas"/>
                <w:noProof/>
                <w:webHidden/>
                <w:color w:val="595959" w:themeColor="text1" w:themeTint="A6"/>
              </w:rPr>
              <w:tab/>
            </w:r>
            <w:r w:rsidR="00F86D84" w:rsidRPr="00047E42">
              <w:rPr>
                <w:rStyle w:val="Hipersaitas"/>
                <w:noProof/>
                <w:webHidden/>
                <w:color w:val="595959" w:themeColor="text1" w:themeTint="A6"/>
              </w:rPr>
              <w:fldChar w:fldCharType="begin"/>
            </w:r>
            <w:r w:rsidR="00F86D84" w:rsidRPr="00047E42">
              <w:rPr>
                <w:rStyle w:val="Hipersaitas"/>
                <w:noProof/>
                <w:webHidden/>
                <w:color w:val="595959" w:themeColor="text1" w:themeTint="A6"/>
              </w:rPr>
              <w:instrText xml:space="preserve"> PAGEREF _Toc69114249 \h </w:instrText>
            </w:r>
            <w:r w:rsidR="00F86D84" w:rsidRPr="00047E42">
              <w:rPr>
                <w:rStyle w:val="Hipersaitas"/>
                <w:noProof/>
                <w:webHidden/>
                <w:color w:val="595959" w:themeColor="text1" w:themeTint="A6"/>
              </w:rPr>
            </w:r>
            <w:r w:rsidR="00F86D84" w:rsidRPr="00047E42">
              <w:rPr>
                <w:rStyle w:val="Hipersaitas"/>
                <w:noProof/>
                <w:webHidden/>
                <w:color w:val="595959" w:themeColor="text1" w:themeTint="A6"/>
              </w:rPr>
              <w:fldChar w:fldCharType="separate"/>
            </w:r>
            <w:r w:rsidR="00047E42" w:rsidRPr="00047E42">
              <w:rPr>
                <w:rStyle w:val="Hipersaitas"/>
                <w:noProof/>
                <w:webHidden/>
                <w:color w:val="595959" w:themeColor="text1" w:themeTint="A6"/>
              </w:rPr>
              <w:t>8</w:t>
            </w:r>
            <w:r w:rsidR="00F86D84" w:rsidRPr="00047E42">
              <w:rPr>
                <w:rStyle w:val="Hipersaitas"/>
                <w:noProof/>
                <w:webHidden/>
                <w:color w:val="595959" w:themeColor="text1" w:themeTint="A6"/>
              </w:rPr>
              <w:fldChar w:fldCharType="end"/>
            </w:r>
          </w:hyperlink>
        </w:p>
        <w:p w:rsidR="00F86D84" w:rsidRPr="00047E42" w:rsidRDefault="00AE0220">
          <w:pPr>
            <w:pStyle w:val="Turinys2"/>
            <w:tabs>
              <w:tab w:val="right" w:leader="dot" w:pos="9628"/>
            </w:tabs>
            <w:rPr>
              <w:rStyle w:val="Hipersaitas"/>
              <w:noProof/>
              <w:color w:val="595959" w:themeColor="text1" w:themeTint="A6"/>
            </w:rPr>
          </w:pPr>
          <w:hyperlink w:anchor="_Toc69114250" w:history="1">
            <w:r w:rsidR="00F86D84" w:rsidRPr="00047E42">
              <w:rPr>
                <w:rStyle w:val="Hipersaitas"/>
                <w:noProof/>
                <w:color w:val="595959" w:themeColor="text1" w:themeTint="A6"/>
              </w:rPr>
              <w:t>2 prioritetas. Informacinės visuomenės skatinimas</w:t>
            </w:r>
            <w:r w:rsidR="00F86D84" w:rsidRPr="00047E42">
              <w:rPr>
                <w:rStyle w:val="Hipersaitas"/>
                <w:noProof/>
                <w:webHidden/>
                <w:color w:val="595959" w:themeColor="text1" w:themeTint="A6"/>
              </w:rPr>
              <w:tab/>
            </w:r>
            <w:r w:rsidR="00F86D84" w:rsidRPr="00047E42">
              <w:rPr>
                <w:rStyle w:val="Hipersaitas"/>
                <w:noProof/>
                <w:webHidden/>
                <w:color w:val="595959" w:themeColor="text1" w:themeTint="A6"/>
              </w:rPr>
              <w:fldChar w:fldCharType="begin"/>
            </w:r>
            <w:r w:rsidR="00F86D84" w:rsidRPr="00047E42">
              <w:rPr>
                <w:rStyle w:val="Hipersaitas"/>
                <w:noProof/>
                <w:webHidden/>
                <w:color w:val="595959" w:themeColor="text1" w:themeTint="A6"/>
              </w:rPr>
              <w:instrText xml:space="preserve"> PAGEREF _Toc69114250 \h </w:instrText>
            </w:r>
            <w:r w:rsidR="00F86D84" w:rsidRPr="00047E42">
              <w:rPr>
                <w:rStyle w:val="Hipersaitas"/>
                <w:noProof/>
                <w:webHidden/>
                <w:color w:val="595959" w:themeColor="text1" w:themeTint="A6"/>
              </w:rPr>
            </w:r>
            <w:r w:rsidR="00F86D84" w:rsidRPr="00047E42">
              <w:rPr>
                <w:rStyle w:val="Hipersaitas"/>
                <w:noProof/>
                <w:webHidden/>
                <w:color w:val="595959" w:themeColor="text1" w:themeTint="A6"/>
              </w:rPr>
              <w:fldChar w:fldCharType="separate"/>
            </w:r>
            <w:r w:rsidR="00047E42" w:rsidRPr="00047E42">
              <w:rPr>
                <w:rStyle w:val="Hipersaitas"/>
                <w:noProof/>
                <w:webHidden/>
                <w:color w:val="595959" w:themeColor="text1" w:themeTint="A6"/>
              </w:rPr>
              <w:t>11</w:t>
            </w:r>
            <w:r w:rsidR="00F86D84" w:rsidRPr="00047E42">
              <w:rPr>
                <w:rStyle w:val="Hipersaitas"/>
                <w:noProof/>
                <w:webHidden/>
                <w:color w:val="595959" w:themeColor="text1" w:themeTint="A6"/>
              </w:rPr>
              <w:fldChar w:fldCharType="end"/>
            </w:r>
          </w:hyperlink>
        </w:p>
        <w:p w:rsidR="00F86D84" w:rsidRPr="00047E42" w:rsidRDefault="00AE0220">
          <w:pPr>
            <w:pStyle w:val="Turinys2"/>
            <w:tabs>
              <w:tab w:val="right" w:leader="dot" w:pos="9628"/>
            </w:tabs>
            <w:rPr>
              <w:rStyle w:val="Hipersaitas"/>
              <w:noProof/>
              <w:color w:val="595959" w:themeColor="text1" w:themeTint="A6"/>
            </w:rPr>
          </w:pPr>
          <w:hyperlink w:anchor="_Toc69114251" w:history="1">
            <w:r w:rsidR="00F86D84" w:rsidRPr="00047E42">
              <w:rPr>
                <w:rStyle w:val="Hipersaitas"/>
                <w:noProof/>
                <w:color w:val="595959" w:themeColor="text1" w:themeTint="A6"/>
              </w:rPr>
              <w:t>3 prioritetas. Smulkiojo ir vidutinio verslo konkurencingumo skatinimas</w:t>
            </w:r>
            <w:r w:rsidR="00F86D84" w:rsidRPr="00047E42">
              <w:rPr>
                <w:rStyle w:val="Hipersaitas"/>
                <w:noProof/>
                <w:webHidden/>
                <w:color w:val="595959" w:themeColor="text1" w:themeTint="A6"/>
              </w:rPr>
              <w:tab/>
            </w:r>
            <w:r w:rsidR="00F86D84" w:rsidRPr="00047E42">
              <w:rPr>
                <w:rStyle w:val="Hipersaitas"/>
                <w:noProof/>
                <w:webHidden/>
                <w:color w:val="595959" w:themeColor="text1" w:themeTint="A6"/>
              </w:rPr>
              <w:fldChar w:fldCharType="begin"/>
            </w:r>
            <w:r w:rsidR="00F86D84" w:rsidRPr="00047E42">
              <w:rPr>
                <w:rStyle w:val="Hipersaitas"/>
                <w:noProof/>
                <w:webHidden/>
                <w:color w:val="595959" w:themeColor="text1" w:themeTint="A6"/>
              </w:rPr>
              <w:instrText xml:space="preserve"> PAGEREF _Toc69114251 \h </w:instrText>
            </w:r>
            <w:r w:rsidR="00F86D84" w:rsidRPr="00047E42">
              <w:rPr>
                <w:rStyle w:val="Hipersaitas"/>
                <w:noProof/>
                <w:webHidden/>
                <w:color w:val="595959" w:themeColor="text1" w:themeTint="A6"/>
              </w:rPr>
            </w:r>
            <w:r w:rsidR="00F86D84" w:rsidRPr="00047E42">
              <w:rPr>
                <w:rStyle w:val="Hipersaitas"/>
                <w:noProof/>
                <w:webHidden/>
                <w:color w:val="595959" w:themeColor="text1" w:themeTint="A6"/>
              </w:rPr>
              <w:fldChar w:fldCharType="separate"/>
            </w:r>
            <w:r w:rsidR="00047E42" w:rsidRPr="00047E42">
              <w:rPr>
                <w:rStyle w:val="Hipersaitas"/>
                <w:noProof/>
                <w:webHidden/>
                <w:color w:val="595959" w:themeColor="text1" w:themeTint="A6"/>
              </w:rPr>
              <w:t>12</w:t>
            </w:r>
            <w:r w:rsidR="00F86D84" w:rsidRPr="00047E42">
              <w:rPr>
                <w:rStyle w:val="Hipersaitas"/>
                <w:noProof/>
                <w:webHidden/>
                <w:color w:val="595959" w:themeColor="text1" w:themeTint="A6"/>
              </w:rPr>
              <w:fldChar w:fldCharType="end"/>
            </w:r>
          </w:hyperlink>
        </w:p>
        <w:p w:rsidR="00F86D84" w:rsidRPr="00047E42" w:rsidRDefault="00AE0220">
          <w:pPr>
            <w:pStyle w:val="Turinys2"/>
            <w:tabs>
              <w:tab w:val="right" w:leader="dot" w:pos="9628"/>
            </w:tabs>
            <w:rPr>
              <w:rStyle w:val="Hipersaitas"/>
              <w:noProof/>
              <w:color w:val="595959" w:themeColor="text1" w:themeTint="A6"/>
            </w:rPr>
          </w:pPr>
          <w:hyperlink w:anchor="_Toc69114252" w:history="1">
            <w:r w:rsidR="00F86D84" w:rsidRPr="00047E42">
              <w:rPr>
                <w:rStyle w:val="Hipersaitas"/>
                <w:noProof/>
                <w:color w:val="595959" w:themeColor="text1" w:themeTint="A6"/>
              </w:rPr>
              <w:t>4 prioritetas. Energijos efektyvumo ir atsinaujinančių išteklių energijos gamybos ir naudojimo skatinimas</w:t>
            </w:r>
            <w:r w:rsidR="00F86D84" w:rsidRPr="00047E42">
              <w:rPr>
                <w:rStyle w:val="Hipersaitas"/>
                <w:noProof/>
                <w:webHidden/>
                <w:color w:val="595959" w:themeColor="text1" w:themeTint="A6"/>
              </w:rPr>
              <w:tab/>
            </w:r>
            <w:r w:rsidR="00F86D84" w:rsidRPr="00047E42">
              <w:rPr>
                <w:rStyle w:val="Hipersaitas"/>
                <w:noProof/>
                <w:webHidden/>
                <w:color w:val="595959" w:themeColor="text1" w:themeTint="A6"/>
              </w:rPr>
              <w:fldChar w:fldCharType="begin"/>
            </w:r>
            <w:r w:rsidR="00F86D84" w:rsidRPr="00047E42">
              <w:rPr>
                <w:rStyle w:val="Hipersaitas"/>
                <w:noProof/>
                <w:webHidden/>
                <w:color w:val="595959" w:themeColor="text1" w:themeTint="A6"/>
              </w:rPr>
              <w:instrText xml:space="preserve"> PAGEREF _Toc69114252 \h </w:instrText>
            </w:r>
            <w:r w:rsidR="00F86D84" w:rsidRPr="00047E42">
              <w:rPr>
                <w:rStyle w:val="Hipersaitas"/>
                <w:noProof/>
                <w:webHidden/>
                <w:color w:val="595959" w:themeColor="text1" w:themeTint="A6"/>
              </w:rPr>
            </w:r>
            <w:r w:rsidR="00F86D84" w:rsidRPr="00047E42">
              <w:rPr>
                <w:rStyle w:val="Hipersaitas"/>
                <w:noProof/>
                <w:webHidden/>
                <w:color w:val="595959" w:themeColor="text1" w:themeTint="A6"/>
              </w:rPr>
              <w:fldChar w:fldCharType="separate"/>
            </w:r>
            <w:r w:rsidR="00047E42" w:rsidRPr="00047E42">
              <w:rPr>
                <w:rStyle w:val="Hipersaitas"/>
                <w:noProof/>
                <w:webHidden/>
                <w:color w:val="595959" w:themeColor="text1" w:themeTint="A6"/>
              </w:rPr>
              <w:t>12</w:t>
            </w:r>
            <w:r w:rsidR="00F86D84" w:rsidRPr="00047E42">
              <w:rPr>
                <w:rStyle w:val="Hipersaitas"/>
                <w:noProof/>
                <w:webHidden/>
                <w:color w:val="595959" w:themeColor="text1" w:themeTint="A6"/>
              </w:rPr>
              <w:fldChar w:fldCharType="end"/>
            </w:r>
          </w:hyperlink>
        </w:p>
        <w:p w:rsidR="00F86D84" w:rsidRPr="00047E42" w:rsidRDefault="00AE0220">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69114253" w:history="1">
            <w:r w:rsidR="00F86D84" w:rsidRPr="00047E42">
              <w:rPr>
                <w:rStyle w:val="Hipersaitas"/>
                <w:noProof/>
                <w:color w:val="595959" w:themeColor="text1" w:themeTint="A6"/>
              </w:rPr>
              <w:t>5 prioritetas. Aplinkosauga, gamtos išteklių darnus naudojimas ir prisitaikymas prie klimato kaitos</w:t>
            </w:r>
            <w:r w:rsidR="00F86D84" w:rsidRPr="00047E42">
              <w:rPr>
                <w:rStyle w:val="Hipersaitas"/>
                <w:noProof/>
                <w:webHidden/>
                <w:color w:val="595959" w:themeColor="text1" w:themeTint="A6"/>
              </w:rPr>
              <w:tab/>
            </w:r>
            <w:r w:rsidR="00F86D84" w:rsidRPr="00047E42">
              <w:rPr>
                <w:rStyle w:val="Hipersaitas"/>
                <w:noProof/>
                <w:webHidden/>
                <w:color w:val="595959" w:themeColor="text1" w:themeTint="A6"/>
              </w:rPr>
              <w:fldChar w:fldCharType="begin"/>
            </w:r>
            <w:r w:rsidR="00F86D84" w:rsidRPr="00047E42">
              <w:rPr>
                <w:rStyle w:val="Hipersaitas"/>
                <w:noProof/>
                <w:webHidden/>
                <w:color w:val="595959" w:themeColor="text1" w:themeTint="A6"/>
              </w:rPr>
              <w:instrText xml:space="preserve"> PAGEREF _Toc69114253 \h </w:instrText>
            </w:r>
            <w:r w:rsidR="00F86D84" w:rsidRPr="00047E42">
              <w:rPr>
                <w:rStyle w:val="Hipersaitas"/>
                <w:noProof/>
                <w:webHidden/>
                <w:color w:val="595959" w:themeColor="text1" w:themeTint="A6"/>
              </w:rPr>
            </w:r>
            <w:r w:rsidR="00F86D84" w:rsidRPr="00047E42">
              <w:rPr>
                <w:rStyle w:val="Hipersaitas"/>
                <w:noProof/>
                <w:webHidden/>
                <w:color w:val="595959" w:themeColor="text1" w:themeTint="A6"/>
              </w:rPr>
              <w:fldChar w:fldCharType="separate"/>
            </w:r>
            <w:r w:rsidR="00047E42" w:rsidRPr="00047E42">
              <w:rPr>
                <w:rStyle w:val="Hipersaitas"/>
                <w:noProof/>
                <w:webHidden/>
                <w:color w:val="595959" w:themeColor="text1" w:themeTint="A6"/>
              </w:rPr>
              <w:t>16</w:t>
            </w:r>
            <w:r w:rsidR="00F86D84" w:rsidRPr="00047E42">
              <w:rPr>
                <w:rStyle w:val="Hipersaitas"/>
                <w:noProof/>
                <w:webHidden/>
                <w:color w:val="595959" w:themeColor="text1" w:themeTint="A6"/>
              </w:rPr>
              <w:fldChar w:fldCharType="end"/>
            </w:r>
          </w:hyperlink>
        </w:p>
        <w:p w:rsidR="00F86D84" w:rsidRPr="00047E42" w:rsidRDefault="00AE0220">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69114254" w:history="1">
            <w:r w:rsidR="00F86D84" w:rsidRPr="00047E42">
              <w:rPr>
                <w:rStyle w:val="Hipersaitas"/>
                <w:noProof/>
                <w:color w:val="595959" w:themeColor="text1" w:themeTint="A6"/>
              </w:rPr>
              <w:t>6 prioritetas. Darnaus transporto ir pagrindinių tinklų infrastruktūros plėtra</w:t>
            </w:r>
            <w:r w:rsidR="00F86D84" w:rsidRPr="00047E42">
              <w:rPr>
                <w:noProof/>
                <w:webHidden/>
                <w:color w:val="595959" w:themeColor="text1" w:themeTint="A6"/>
              </w:rPr>
              <w:tab/>
            </w:r>
            <w:r w:rsidR="00F86D84" w:rsidRPr="00047E42">
              <w:rPr>
                <w:noProof/>
                <w:webHidden/>
                <w:color w:val="595959" w:themeColor="text1" w:themeTint="A6"/>
              </w:rPr>
              <w:fldChar w:fldCharType="begin"/>
            </w:r>
            <w:r w:rsidR="00F86D84" w:rsidRPr="00047E42">
              <w:rPr>
                <w:noProof/>
                <w:webHidden/>
                <w:color w:val="595959" w:themeColor="text1" w:themeTint="A6"/>
              </w:rPr>
              <w:instrText xml:space="preserve"> PAGEREF _Toc69114254 \h </w:instrText>
            </w:r>
            <w:r w:rsidR="00F86D84" w:rsidRPr="00047E42">
              <w:rPr>
                <w:noProof/>
                <w:webHidden/>
                <w:color w:val="595959" w:themeColor="text1" w:themeTint="A6"/>
              </w:rPr>
            </w:r>
            <w:r w:rsidR="00F86D84" w:rsidRPr="00047E42">
              <w:rPr>
                <w:noProof/>
                <w:webHidden/>
                <w:color w:val="595959" w:themeColor="text1" w:themeTint="A6"/>
              </w:rPr>
              <w:fldChar w:fldCharType="separate"/>
            </w:r>
            <w:r w:rsidR="00047E42" w:rsidRPr="00047E42">
              <w:rPr>
                <w:noProof/>
                <w:webHidden/>
                <w:color w:val="595959" w:themeColor="text1" w:themeTint="A6"/>
              </w:rPr>
              <w:t>19</w:t>
            </w:r>
            <w:r w:rsidR="00F86D84" w:rsidRPr="00047E42">
              <w:rPr>
                <w:noProof/>
                <w:webHidden/>
                <w:color w:val="595959" w:themeColor="text1" w:themeTint="A6"/>
              </w:rPr>
              <w:fldChar w:fldCharType="end"/>
            </w:r>
          </w:hyperlink>
        </w:p>
        <w:p w:rsidR="00F86D84" w:rsidRPr="00047E42" w:rsidRDefault="00AE0220">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69114255" w:history="1">
            <w:r w:rsidR="00F86D84" w:rsidRPr="00047E42">
              <w:rPr>
                <w:rStyle w:val="Hipersaitas"/>
                <w:noProof/>
                <w:color w:val="595959" w:themeColor="text1" w:themeTint="A6"/>
              </w:rPr>
              <w:t>7 prioritetas. Kokybiško užimtumo ir dalyvavimo darbo rinkoje skatinimas</w:t>
            </w:r>
            <w:r w:rsidR="00F86D84" w:rsidRPr="00047E42">
              <w:rPr>
                <w:noProof/>
                <w:webHidden/>
                <w:color w:val="595959" w:themeColor="text1" w:themeTint="A6"/>
              </w:rPr>
              <w:tab/>
            </w:r>
            <w:r w:rsidR="00F86D84" w:rsidRPr="00047E42">
              <w:rPr>
                <w:noProof/>
                <w:webHidden/>
                <w:color w:val="595959" w:themeColor="text1" w:themeTint="A6"/>
              </w:rPr>
              <w:fldChar w:fldCharType="begin"/>
            </w:r>
            <w:r w:rsidR="00F86D84" w:rsidRPr="00047E42">
              <w:rPr>
                <w:noProof/>
                <w:webHidden/>
                <w:color w:val="595959" w:themeColor="text1" w:themeTint="A6"/>
              </w:rPr>
              <w:instrText xml:space="preserve"> PAGEREF _Toc69114255 \h </w:instrText>
            </w:r>
            <w:r w:rsidR="00F86D84" w:rsidRPr="00047E42">
              <w:rPr>
                <w:noProof/>
                <w:webHidden/>
                <w:color w:val="595959" w:themeColor="text1" w:themeTint="A6"/>
              </w:rPr>
            </w:r>
            <w:r w:rsidR="00F86D84" w:rsidRPr="00047E42">
              <w:rPr>
                <w:noProof/>
                <w:webHidden/>
                <w:color w:val="595959" w:themeColor="text1" w:themeTint="A6"/>
              </w:rPr>
              <w:fldChar w:fldCharType="separate"/>
            </w:r>
            <w:r w:rsidR="00047E42" w:rsidRPr="00047E42">
              <w:rPr>
                <w:noProof/>
                <w:webHidden/>
                <w:color w:val="595959" w:themeColor="text1" w:themeTint="A6"/>
              </w:rPr>
              <w:t>21</w:t>
            </w:r>
            <w:r w:rsidR="00F86D84" w:rsidRPr="00047E42">
              <w:rPr>
                <w:noProof/>
                <w:webHidden/>
                <w:color w:val="595959" w:themeColor="text1" w:themeTint="A6"/>
              </w:rPr>
              <w:fldChar w:fldCharType="end"/>
            </w:r>
          </w:hyperlink>
        </w:p>
        <w:p w:rsidR="00F86D84" w:rsidRPr="00047E42" w:rsidRDefault="00AE0220">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69114256" w:history="1">
            <w:r w:rsidR="00F86D84" w:rsidRPr="00047E42">
              <w:rPr>
                <w:rStyle w:val="Hipersaitas"/>
                <w:noProof/>
                <w:color w:val="595959" w:themeColor="text1" w:themeTint="A6"/>
              </w:rPr>
              <w:t>8 prioritetas. Socialinės įtraukties didinimas ir kova su skurdu</w:t>
            </w:r>
            <w:r w:rsidR="00F86D84" w:rsidRPr="00047E42">
              <w:rPr>
                <w:noProof/>
                <w:webHidden/>
                <w:color w:val="595959" w:themeColor="text1" w:themeTint="A6"/>
              </w:rPr>
              <w:tab/>
            </w:r>
            <w:r w:rsidR="00F86D84" w:rsidRPr="00047E42">
              <w:rPr>
                <w:noProof/>
                <w:webHidden/>
                <w:color w:val="595959" w:themeColor="text1" w:themeTint="A6"/>
              </w:rPr>
              <w:fldChar w:fldCharType="begin"/>
            </w:r>
            <w:r w:rsidR="00F86D84" w:rsidRPr="00047E42">
              <w:rPr>
                <w:noProof/>
                <w:webHidden/>
                <w:color w:val="595959" w:themeColor="text1" w:themeTint="A6"/>
              </w:rPr>
              <w:instrText xml:space="preserve"> PAGEREF _Toc69114256 \h </w:instrText>
            </w:r>
            <w:r w:rsidR="00F86D84" w:rsidRPr="00047E42">
              <w:rPr>
                <w:noProof/>
                <w:webHidden/>
                <w:color w:val="595959" w:themeColor="text1" w:themeTint="A6"/>
              </w:rPr>
            </w:r>
            <w:r w:rsidR="00F86D84" w:rsidRPr="00047E42">
              <w:rPr>
                <w:noProof/>
                <w:webHidden/>
                <w:color w:val="595959" w:themeColor="text1" w:themeTint="A6"/>
              </w:rPr>
              <w:fldChar w:fldCharType="separate"/>
            </w:r>
            <w:r w:rsidR="00047E42" w:rsidRPr="00047E42">
              <w:rPr>
                <w:noProof/>
                <w:webHidden/>
                <w:color w:val="595959" w:themeColor="text1" w:themeTint="A6"/>
              </w:rPr>
              <w:t>25</w:t>
            </w:r>
            <w:r w:rsidR="00F86D84" w:rsidRPr="00047E42">
              <w:rPr>
                <w:noProof/>
                <w:webHidden/>
                <w:color w:val="595959" w:themeColor="text1" w:themeTint="A6"/>
              </w:rPr>
              <w:fldChar w:fldCharType="end"/>
            </w:r>
          </w:hyperlink>
        </w:p>
        <w:p w:rsidR="00F86D84" w:rsidRPr="00047E42" w:rsidRDefault="00AE0220">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69114257" w:history="1">
            <w:r w:rsidR="00F86D84" w:rsidRPr="00047E42">
              <w:rPr>
                <w:rStyle w:val="Hipersaitas"/>
                <w:noProof/>
                <w:color w:val="595959" w:themeColor="text1" w:themeTint="A6"/>
              </w:rPr>
              <w:t>9 prioritetas. Visuomenės švietimas ir žmogiškųjų išteklių potencialo didinimas</w:t>
            </w:r>
            <w:r w:rsidR="00F86D84" w:rsidRPr="00047E42">
              <w:rPr>
                <w:noProof/>
                <w:webHidden/>
                <w:color w:val="595959" w:themeColor="text1" w:themeTint="A6"/>
              </w:rPr>
              <w:tab/>
            </w:r>
            <w:r w:rsidR="00F86D84" w:rsidRPr="00047E42">
              <w:rPr>
                <w:noProof/>
                <w:webHidden/>
                <w:color w:val="595959" w:themeColor="text1" w:themeTint="A6"/>
              </w:rPr>
              <w:fldChar w:fldCharType="begin"/>
            </w:r>
            <w:r w:rsidR="00F86D84" w:rsidRPr="00047E42">
              <w:rPr>
                <w:noProof/>
                <w:webHidden/>
                <w:color w:val="595959" w:themeColor="text1" w:themeTint="A6"/>
              </w:rPr>
              <w:instrText xml:space="preserve"> PAGEREF _Toc69114257 \h </w:instrText>
            </w:r>
            <w:r w:rsidR="00F86D84" w:rsidRPr="00047E42">
              <w:rPr>
                <w:noProof/>
                <w:webHidden/>
                <w:color w:val="595959" w:themeColor="text1" w:themeTint="A6"/>
              </w:rPr>
            </w:r>
            <w:r w:rsidR="00F86D84" w:rsidRPr="00047E42">
              <w:rPr>
                <w:noProof/>
                <w:webHidden/>
                <w:color w:val="595959" w:themeColor="text1" w:themeTint="A6"/>
              </w:rPr>
              <w:fldChar w:fldCharType="separate"/>
            </w:r>
            <w:r w:rsidR="00047E42" w:rsidRPr="00047E42">
              <w:rPr>
                <w:noProof/>
                <w:webHidden/>
                <w:color w:val="595959" w:themeColor="text1" w:themeTint="A6"/>
              </w:rPr>
              <w:t>29</w:t>
            </w:r>
            <w:r w:rsidR="00F86D84" w:rsidRPr="00047E42">
              <w:rPr>
                <w:noProof/>
                <w:webHidden/>
                <w:color w:val="595959" w:themeColor="text1" w:themeTint="A6"/>
              </w:rPr>
              <w:fldChar w:fldCharType="end"/>
            </w:r>
          </w:hyperlink>
        </w:p>
        <w:p w:rsidR="00F86D84" w:rsidRPr="00047E42" w:rsidRDefault="00AE0220">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69114258" w:history="1">
            <w:r w:rsidR="00F86D84" w:rsidRPr="00047E42">
              <w:rPr>
                <w:rStyle w:val="Hipersaitas"/>
                <w:noProof/>
                <w:color w:val="595959" w:themeColor="text1" w:themeTint="A6"/>
              </w:rPr>
              <w:t>10 prioritetas. Visuomenės poreikius atitinkantis ir pažangus viešasis valdymas</w:t>
            </w:r>
            <w:r w:rsidR="00F86D84" w:rsidRPr="00047E42">
              <w:rPr>
                <w:noProof/>
                <w:webHidden/>
                <w:color w:val="595959" w:themeColor="text1" w:themeTint="A6"/>
              </w:rPr>
              <w:tab/>
            </w:r>
            <w:r w:rsidR="00F86D84" w:rsidRPr="00047E42">
              <w:rPr>
                <w:noProof/>
                <w:webHidden/>
                <w:color w:val="595959" w:themeColor="text1" w:themeTint="A6"/>
              </w:rPr>
              <w:fldChar w:fldCharType="begin"/>
            </w:r>
            <w:r w:rsidR="00F86D84" w:rsidRPr="00047E42">
              <w:rPr>
                <w:noProof/>
                <w:webHidden/>
                <w:color w:val="595959" w:themeColor="text1" w:themeTint="A6"/>
              </w:rPr>
              <w:instrText xml:space="preserve"> PAGEREF _Toc69114258 \h </w:instrText>
            </w:r>
            <w:r w:rsidR="00F86D84" w:rsidRPr="00047E42">
              <w:rPr>
                <w:noProof/>
                <w:webHidden/>
                <w:color w:val="595959" w:themeColor="text1" w:themeTint="A6"/>
              </w:rPr>
            </w:r>
            <w:r w:rsidR="00F86D84" w:rsidRPr="00047E42">
              <w:rPr>
                <w:noProof/>
                <w:webHidden/>
                <w:color w:val="595959" w:themeColor="text1" w:themeTint="A6"/>
              </w:rPr>
              <w:fldChar w:fldCharType="separate"/>
            </w:r>
            <w:r w:rsidR="00047E42" w:rsidRPr="00047E42">
              <w:rPr>
                <w:noProof/>
                <w:webHidden/>
                <w:color w:val="595959" w:themeColor="text1" w:themeTint="A6"/>
              </w:rPr>
              <w:t>32</w:t>
            </w:r>
            <w:r w:rsidR="00F86D84" w:rsidRPr="00047E42">
              <w:rPr>
                <w:noProof/>
                <w:webHidden/>
                <w:color w:val="595959" w:themeColor="text1" w:themeTint="A6"/>
              </w:rPr>
              <w:fldChar w:fldCharType="end"/>
            </w:r>
          </w:hyperlink>
        </w:p>
        <w:p w:rsidR="00F86D84" w:rsidRPr="00047E42" w:rsidRDefault="00AE0220">
          <w:pPr>
            <w:pStyle w:val="Turinys1"/>
            <w:tabs>
              <w:tab w:val="left" w:pos="660"/>
              <w:tab w:val="right" w:leader="dot" w:pos="9628"/>
            </w:tabs>
            <w:rPr>
              <w:rFonts w:asciiTheme="minorHAnsi" w:eastAsiaTheme="minorEastAsia" w:hAnsiTheme="minorHAnsi" w:cstheme="minorBidi"/>
              <w:noProof/>
              <w:color w:val="595959" w:themeColor="text1" w:themeTint="A6"/>
              <w:sz w:val="22"/>
              <w:szCs w:val="22"/>
              <w:lang w:eastAsia="lt-LT"/>
            </w:rPr>
          </w:pPr>
          <w:hyperlink w:anchor="_Toc69114259" w:history="1">
            <w:r w:rsidR="00F86D84" w:rsidRPr="00047E42">
              <w:rPr>
                <w:rStyle w:val="Hipersaitas"/>
                <w:noProof/>
                <w:color w:val="595959" w:themeColor="text1" w:themeTint="A6"/>
              </w:rPr>
              <w:t>III.</w:t>
            </w:r>
            <w:r w:rsidR="00F86D84" w:rsidRPr="00047E42">
              <w:rPr>
                <w:rFonts w:asciiTheme="minorHAnsi" w:eastAsiaTheme="minorEastAsia" w:hAnsiTheme="minorHAnsi" w:cstheme="minorBidi"/>
                <w:noProof/>
                <w:color w:val="595959" w:themeColor="text1" w:themeTint="A6"/>
                <w:sz w:val="22"/>
                <w:szCs w:val="22"/>
                <w:lang w:eastAsia="lt-LT"/>
              </w:rPr>
              <w:tab/>
            </w:r>
            <w:r w:rsidR="00F86D84" w:rsidRPr="00047E42">
              <w:rPr>
                <w:rStyle w:val="Hipersaitas"/>
                <w:noProof/>
                <w:color w:val="595959" w:themeColor="text1" w:themeTint="A6"/>
              </w:rPr>
              <w:t>REACT-EU iniciatyva</w:t>
            </w:r>
            <w:r w:rsidR="00F86D84" w:rsidRPr="00047E42">
              <w:rPr>
                <w:noProof/>
                <w:webHidden/>
                <w:color w:val="595959" w:themeColor="text1" w:themeTint="A6"/>
              </w:rPr>
              <w:tab/>
            </w:r>
            <w:r w:rsidR="00F86D84" w:rsidRPr="00047E42">
              <w:rPr>
                <w:noProof/>
                <w:webHidden/>
                <w:color w:val="595959" w:themeColor="text1" w:themeTint="A6"/>
              </w:rPr>
              <w:fldChar w:fldCharType="begin"/>
            </w:r>
            <w:r w:rsidR="00F86D84" w:rsidRPr="00047E42">
              <w:rPr>
                <w:noProof/>
                <w:webHidden/>
                <w:color w:val="595959" w:themeColor="text1" w:themeTint="A6"/>
              </w:rPr>
              <w:instrText xml:space="preserve"> PAGEREF _Toc69114259 \h </w:instrText>
            </w:r>
            <w:r w:rsidR="00F86D84" w:rsidRPr="00047E42">
              <w:rPr>
                <w:noProof/>
                <w:webHidden/>
                <w:color w:val="595959" w:themeColor="text1" w:themeTint="A6"/>
              </w:rPr>
            </w:r>
            <w:r w:rsidR="00F86D84" w:rsidRPr="00047E42">
              <w:rPr>
                <w:noProof/>
                <w:webHidden/>
                <w:color w:val="595959" w:themeColor="text1" w:themeTint="A6"/>
              </w:rPr>
              <w:fldChar w:fldCharType="separate"/>
            </w:r>
            <w:r w:rsidR="00047E42" w:rsidRPr="00047E42">
              <w:rPr>
                <w:noProof/>
                <w:webHidden/>
                <w:color w:val="595959" w:themeColor="text1" w:themeTint="A6"/>
              </w:rPr>
              <w:t>33</w:t>
            </w:r>
            <w:r w:rsidR="00F86D84" w:rsidRPr="00047E42">
              <w:rPr>
                <w:noProof/>
                <w:webHidden/>
                <w:color w:val="595959" w:themeColor="text1" w:themeTint="A6"/>
              </w:rPr>
              <w:fldChar w:fldCharType="end"/>
            </w:r>
          </w:hyperlink>
        </w:p>
        <w:p w:rsidR="00F86D84" w:rsidRPr="00047E42" w:rsidRDefault="00AE0220">
          <w:pPr>
            <w:pStyle w:val="Turinys1"/>
            <w:tabs>
              <w:tab w:val="left" w:pos="660"/>
              <w:tab w:val="right" w:leader="dot" w:pos="9628"/>
            </w:tabs>
            <w:rPr>
              <w:rFonts w:asciiTheme="minorHAnsi" w:eastAsiaTheme="minorEastAsia" w:hAnsiTheme="minorHAnsi" w:cstheme="minorBidi"/>
              <w:noProof/>
              <w:color w:val="595959" w:themeColor="text1" w:themeTint="A6"/>
              <w:sz w:val="22"/>
              <w:szCs w:val="22"/>
              <w:lang w:eastAsia="lt-LT"/>
            </w:rPr>
          </w:pPr>
          <w:hyperlink w:anchor="_Toc69114260" w:history="1">
            <w:r w:rsidR="00F86D84" w:rsidRPr="00047E42">
              <w:rPr>
                <w:rStyle w:val="Hipersaitas"/>
                <w:noProof/>
                <w:color w:val="595959" w:themeColor="text1" w:themeTint="A6"/>
              </w:rPr>
              <w:t>IV.</w:t>
            </w:r>
            <w:r w:rsidR="00F86D84" w:rsidRPr="00047E42">
              <w:rPr>
                <w:rFonts w:asciiTheme="minorHAnsi" w:eastAsiaTheme="minorEastAsia" w:hAnsiTheme="minorHAnsi" w:cstheme="minorBidi"/>
                <w:noProof/>
                <w:color w:val="595959" w:themeColor="text1" w:themeTint="A6"/>
                <w:sz w:val="22"/>
                <w:szCs w:val="22"/>
                <w:lang w:eastAsia="lt-LT"/>
              </w:rPr>
              <w:tab/>
            </w:r>
            <w:r w:rsidR="00F86D84" w:rsidRPr="00047E42">
              <w:rPr>
                <w:rStyle w:val="Hipersaitas"/>
                <w:noProof/>
                <w:color w:val="595959" w:themeColor="text1" w:themeTint="A6"/>
              </w:rPr>
              <w:t>Pasirengimas 2021–2027 m. periodui</w:t>
            </w:r>
            <w:r w:rsidR="00F86D84" w:rsidRPr="00047E42">
              <w:rPr>
                <w:noProof/>
                <w:webHidden/>
                <w:color w:val="595959" w:themeColor="text1" w:themeTint="A6"/>
              </w:rPr>
              <w:tab/>
            </w:r>
            <w:r w:rsidR="00F86D84" w:rsidRPr="00047E42">
              <w:rPr>
                <w:noProof/>
                <w:webHidden/>
                <w:color w:val="595959" w:themeColor="text1" w:themeTint="A6"/>
              </w:rPr>
              <w:fldChar w:fldCharType="begin"/>
            </w:r>
            <w:r w:rsidR="00F86D84" w:rsidRPr="00047E42">
              <w:rPr>
                <w:noProof/>
                <w:webHidden/>
                <w:color w:val="595959" w:themeColor="text1" w:themeTint="A6"/>
              </w:rPr>
              <w:instrText xml:space="preserve"> PAGEREF _Toc69114260 \h </w:instrText>
            </w:r>
            <w:r w:rsidR="00F86D84" w:rsidRPr="00047E42">
              <w:rPr>
                <w:noProof/>
                <w:webHidden/>
                <w:color w:val="595959" w:themeColor="text1" w:themeTint="A6"/>
              </w:rPr>
            </w:r>
            <w:r w:rsidR="00F86D84" w:rsidRPr="00047E42">
              <w:rPr>
                <w:noProof/>
                <w:webHidden/>
                <w:color w:val="595959" w:themeColor="text1" w:themeTint="A6"/>
              </w:rPr>
              <w:fldChar w:fldCharType="separate"/>
            </w:r>
            <w:r w:rsidR="00047E42" w:rsidRPr="00047E42">
              <w:rPr>
                <w:noProof/>
                <w:webHidden/>
                <w:color w:val="595959" w:themeColor="text1" w:themeTint="A6"/>
              </w:rPr>
              <w:t>34</w:t>
            </w:r>
            <w:r w:rsidR="00F86D84" w:rsidRPr="00047E42">
              <w:rPr>
                <w:noProof/>
                <w:webHidden/>
                <w:color w:val="595959" w:themeColor="text1" w:themeTint="A6"/>
              </w:rPr>
              <w:fldChar w:fldCharType="end"/>
            </w:r>
          </w:hyperlink>
        </w:p>
        <w:p w:rsidR="00B86403" w:rsidRPr="00740305" w:rsidRDefault="00B86403" w:rsidP="00D65621">
          <w:pPr>
            <w:pStyle w:val="Turinys2"/>
            <w:tabs>
              <w:tab w:val="right" w:leader="dot" w:pos="9628"/>
            </w:tabs>
            <w:spacing w:after="0"/>
            <w:ind w:left="0"/>
            <w:rPr>
              <w:rFonts w:eastAsia="Calibri"/>
              <w:color w:val="595959" w:themeColor="text1" w:themeTint="A6"/>
              <w:szCs w:val="24"/>
              <w:lang w:eastAsia="lt-LT"/>
            </w:rPr>
          </w:pPr>
          <w:r w:rsidRPr="00047E42">
            <w:rPr>
              <w:color w:val="595959" w:themeColor="text1" w:themeTint="A6"/>
              <w:szCs w:val="24"/>
              <w:lang w:eastAsia="lt-LT"/>
            </w:rPr>
            <w:fldChar w:fldCharType="end"/>
          </w:r>
        </w:p>
      </w:sdtContent>
    </w:sdt>
    <w:p w:rsidR="00C42339" w:rsidRPr="00DF3F93" w:rsidRDefault="00C42339" w:rsidP="00D65621">
      <w:pPr>
        <w:rPr>
          <w:rFonts w:eastAsiaTheme="majorEastAsia"/>
          <w:b/>
          <w:bCs/>
          <w:color w:val="666666"/>
          <w:szCs w:val="24"/>
          <w:lang w:eastAsia="lt-LT"/>
        </w:rPr>
      </w:pPr>
      <w:r w:rsidRPr="00DF3F93">
        <w:rPr>
          <w:color w:val="666666"/>
          <w:szCs w:val="24"/>
          <w:lang w:eastAsia="lt-LT"/>
        </w:rPr>
        <w:br w:type="page"/>
      </w:r>
    </w:p>
    <w:p w:rsidR="00901533" w:rsidRPr="0040787A" w:rsidRDefault="00D86482" w:rsidP="00FC6139">
      <w:pPr>
        <w:pStyle w:val="Pavadinimas"/>
        <w:rPr>
          <w:rFonts w:ascii="Times New Roman" w:hAnsi="Times New Roman" w:cs="Times New Roman"/>
          <w:color w:val="365F91" w:themeColor="accent1" w:themeShade="BF"/>
        </w:rPr>
      </w:pPr>
      <w:r w:rsidRPr="0040787A">
        <w:rPr>
          <w:rFonts w:ascii="Times New Roman" w:hAnsi="Times New Roman" w:cs="Times New Roman"/>
          <w:color w:val="365F91" w:themeColor="accent1" w:themeShade="BF"/>
        </w:rPr>
        <w:lastRenderedPageBreak/>
        <w:t>TRUMPINIAI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619"/>
      </w:tblGrid>
      <w:tr w:rsidR="00180DE1" w:rsidRPr="00180DE1" w:rsidTr="00C75C43">
        <w:tc>
          <w:tcPr>
            <w:tcW w:w="2235" w:type="dxa"/>
          </w:tcPr>
          <w:p w:rsidR="00D634AC" w:rsidRPr="00180DE1" w:rsidRDefault="00D634AC" w:rsidP="007D34BF">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APVA</w:t>
            </w:r>
          </w:p>
          <w:p w:rsidR="00F275BB" w:rsidRPr="00180DE1" w:rsidRDefault="00F275BB" w:rsidP="007D34BF">
            <w:pPr>
              <w:pStyle w:val="tekstas"/>
              <w:spacing w:line="360" w:lineRule="auto"/>
              <w:ind w:firstLine="0"/>
              <w:rPr>
                <w:rFonts w:ascii="Times New Roman" w:hAnsi="Times New Roman"/>
                <w:color w:val="595959" w:themeColor="text1" w:themeTint="A6"/>
              </w:rPr>
            </w:pPr>
            <w:r>
              <w:rPr>
                <w:rFonts w:ascii="Times New Roman" w:hAnsi="Times New Roman"/>
                <w:color w:val="595959" w:themeColor="text1" w:themeTint="A6"/>
              </w:rPr>
              <w:t>BF</w:t>
            </w:r>
          </w:p>
          <w:p w:rsidR="006F2E6A" w:rsidRPr="00180DE1" w:rsidRDefault="006F2E6A" w:rsidP="007D34BF">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CPVA</w:t>
            </w:r>
          </w:p>
          <w:p w:rsidR="00CA2B8C" w:rsidRPr="00180DE1" w:rsidRDefault="00CA2B8C" w:rsidP="007D34BF">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EK</w:t>
            </w:r>
          </w:p>
          <w:p w:rsidR="00DF3F93" w:rsidRPr="00180DE1" w:rsidRDefault="00DF3F93" w:rsidP="007D34BF">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EP</w:t>
            </w:r>
          </w:p>
          <w:p w:rsidR="006B0C8E" w:rsidRPr="00180DE1" w:rsidRDefault="006B0C8E" w:rsidP="007D34BF">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ENEF</w:t>
            </w:r>
          </w:p>
          <w:p w:rsidR="00927F2C" w:rsidRPr="00180DE1" w:rsidRDefault="00927F2C" w:rsidP="007D34BF">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ES</w:t>
            </w:r>
          </w:p>
          <w:p w:rsidR="00927F2C" w:rsidRPr="00180DE1" w:rsidRDefault="00927F2C" w:rsidP="007D34BF">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ES fondai</w:t>
            </w:r>
          </w:p>
          <w:p w:rsidR="00927F2C" w:rsidRPr="00180DE1" w:rsidRDefault="00927F2C" w:rsidP="007D34BF">
            <w:pPr>
              <w:pStyle w:val="tekstas"/>
              <w:spacing w:line="360" w:lineRule="auto"/>
              <w:ind w:firstLine="0"/>
              <w:rPr>
                <w:rFonts w:ascii="Times New Roman" w:hAnsi="Times New Roman"/>
                <w:color w:val="595959" w:themeColor="text1" w:themeTint="A6"/>
              </w:rPr>
            </w:pPr>
          </w:p>
          <w:p w:rsidR="00927F2C" w:rsidRPr="00180DE1" w:rsidRDefault="00927F2C" w:rsidP="007D34BF">
            <w:pPr>
              <w:pStyle w:val="tekstas"/>
              <w:spacing w:line="360" w:lineRule="auto"/>
              <w:ind w:firstLine="0"/>
              <w:rPr>
                <w:rFonts w:ascii="Times New Roman" w:hAnsi="Times New Roman"/>
                <w:color w:val="595959" w:themeColor="text1" w:themeTint="A6"/>
              </w:rPr>
            </w:pPr>
          </w:p>
          <w:p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EIB</w:t>
            </w:r>
          </w:p>
          <w:p w:rsidR="00927F2C" w:rsidRPr="00180DE1" w:rsidRDefault="00927F2C" w:rsidP="007D34BF">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ERPF</w:t>
            </w:r>
          </w:p>
          <w:p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ESF</w:t>
            </w:r>
          </w:p>
          <w:p w:rsidR="00927F2C"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ESFA</w:t>
            </w:r>
          </w:p>
          <w:p w:rsidR="009C1170" w:rsidRPr="00180DE1" w:rsidRDefault="009C1170" w:rsidP="00927F2C">
            <w:pPr>
              <w:pStyle w:val="tekstas"/>
              <w:spacing w:line="360" w:lineRule="auto"/>
              <w:ind w:firstLine="0"/>
              <w:rPr>
                <w:rFonts w:ascii="Times New Roman" w:hAnsi="Times New Roman"/>
                <w:color w:val="595959" w:themeColor="text1" w:themeTint="A6"/>
              </w:rPr>
            </w:pPr>
            <w:r>
              <w:rPr>
                <w:rFonts w:ascii="Times New Roman" w:hAnsi="Times New Roman"/>
                <w:color w:val="595959" w:themeColor="text1" w:themeTint="A6"/>
              </w:rPr>
              <w:t>INVEGA</w:t>
            </w:r>
          </w:p>
          <w:p w:rsidR="00C75C43" w:rsidRPr="00180DE1" w:rsidRDefault="00C75C43"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Investicijų programa</w:t>
            </w:r>
          </w:p>
          <w:p w:rsidR="00F41C82" w:rsidRDefault="00F41C82" w:rsidP="00927F2C">
            <w:pPr>
              <w:pStyle w:val="tekstas"/>
              <w:spacing w:line="360" w:lineRule="auto"/>
              <w:ind w:firstLine="0"/>
              <w:rPr>
                <w:rFonts w:ascii="Times New Roman" w:hAnsi="Times New Roman"/>
                <w:color w:val="595959" w:themeColor="text1" w:themeTint="A6"/>
              </w:rPr>
            </w:pPr>
            <w:r>
              <w:rPr>
                <w:rFonts w:ascii="Times New Roman" w:hAnsi="Times New Roman"/>
                <w:color w:val="595959" w:themeColor="text1" w:themeTint="A6"/>
              </w:rPr>
              <w:t>LMT</w:t>
            </w:r>
          </w:p>
          <w:p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LVPA</w:t>
            </w:r>
          </w:p>
          <w:p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MITA</w:t>
            </w:r>
          </w:p>
          <w:p w:rsidR="00927F2C"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MTEP</w:t>
            </w:r>
          </w:p>
          <w:p w:rsidR="007B5134" w:rsidRDefault="007B5134" w:rsidP="00927F2C">
            <w:pPr>
              <w:pStyle w:val="tekstas"/>
              <w:spacing w:line="360" w:lineRule="auto"/>
              <w:ind w:firstLine="0"/>
              <w:rPr>
                <w:rFonts w:ascii="Times New Roman" w:hAnsi="Times New Roman"/>
                <w:color w:val="595959" w:themeColor="text1" w:themeTint="A6"/>
              </w:rPr>
            </w:pPr>
            <w:r>
              <w:rPr>
                <w:rFonts w:ascii="Times New Roman" w:hAnsi="Times New Roman"/>
                <w:color w:val="595959" w:themeColor="text1" w:themeTint="A6"/>
              </w:rPr>
              <w:t>MVĮ</w:t>
            </w:r>
          </w:p>
          <w:p w:rsidR="007B5134" w:rsidRPr="00180DE1" w:rsidRDefault="007B5134" w:rsidP="00927F2C">
            <w:pPr>
              <w:pStyle w:val="tekstas"/>
              <w:spacing w:line="360" w:lineRule="auto"/>
              <w:ind w:firstLine="0"/>
              <w:rPr>
                <w:rFonts w:ascii="Times New Roman" w:hAnsi="Times New Roman"/>
                <w:color w:val="595959" w:themeColor="text1" w:themeTint="A6"/>
              </w:rPr>
            </w:pPr>
            <w:r>
              <w:rPr>
                <w:rFonts w:ascii="Times New Roman" w:hAnsi="Times New Roman"/>
                <w:color w:val="595959" w:themeColor="text1" w:themeTint="A6"/>
              </w:rPr>
              <w:t>NVO</w:t>
            </w:r>
          </w:p>
          <w:p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VIPA</w:t>
            </w:r>
          </w:p>
          <w:p w:rsidR="00927F2C" w:rsidRPr="00180DE1" w:rsidRDefault="00927F2C" w:rsidP="00927F2C">
            <w:pPr>
              <w:pStyle w:val="tekstas"/>
              <w:spacing w:line="360" w:lineRule="auto"/>
              <w:ind w:firstLine="0"/>
              <w:rPr>
                <w:rFonts w:ascii="Times New Roman" w:hAnsi="Times New Roman"/>
                <w:color w:val="595959" w:themeColor="text1" w:themeTint="A6"/>
              </w:rPr>
            </w:pPr>
            <w:proofErr w:type="spellStart"/>
            <w:r w:rsidRPr="00180DE1">
              <w:rPr>
                <w:rFonts w:ascii="Times New Roman" w:hAnsi="Times New Roman"/>
                <w:color w:val="595959" w:themeColor="text1" w:themeTint="A6"/>
              </w:rPr>
              <w:t>Sa</w:t>
            </w:r>
            <w:r w:rsidR="00927B56" w:rsidRPr="00180DE1">
              <w:rPr>
                <w:rFonts w:ascii="Times New Roman" w:hAnsi="Times New Roman"/>
                <w:color w:val="595959" w:themeColor="text1" w:themeTint="A6"/>
              </w:rPr>
              <w:t>F</w:t>
            </w:r>
            <w:proofErr w:type="spellEnd"/>
          </w:p>
          <w:p w:rsidR="00994A27" w:rsidRPr="00180DE1" w:rsidRDefault="00994A27"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TPF</w:t>
            </w:r>
          </w:p>
          <w:p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Veiksmų programa</w:t>
            </w:r>
          </w:p>
          <w:p w:rsidR="00927F2C" w:rsidRPr="00180DE1" w:rsidRDefault="00927F2C" w:rsidP="00C75C43">
            <w:pPr>
              <w:pStyle w:val="tekstas"/>
              <w:spacing w:line="360" w:lineRule="auto"/>
              <w:ind w:firstLine="0"/>
              <w:rPr>
                <w:rFonts w:ascii="Times New Roman" w:hAnsi="Times New Roman"/>
                <w:color w:val="595959" w:themeColor="text1" w:themeTint="A6"/>
              </w:rPr>
            </w:pPr>
          </w:p>
        </w:tc>
        <w:tc>
          <w:tcPr>
            <w:tcW w:w="7619" w:type="dxa"/>
          </w:tcPr>
          <w:p w:rsidR="00D634AC" w:rsidRPr="00180DE1" w:rsidRDefault="00D634AC" w:rsidP="00CA2B8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Aplinkos projektų valdymo agentūra</w:t>
            </w:r>
          </w:p>
          <w:p w:rsidR="00F275BB" w:rsidRPr="00180DE1" w:rsidRDefault="00F275BB" w:rsidP="00F275BB">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w:t>
            </w:r>
            <w:r>
              <w:rPr>
                <w:rFonts w:ascii="Times New Roman" w:hAnsi="Times New Roman"/>
                <w:color w:val="595959" w:themeColor="text1" w:themeTint="A6"/>
              </w:rPr>
              <w:t xml:space="preserve"> Valstybės biudžeto bendrojo finansavimo lėšos</w:t>
            </w:r>
          </w:p>
          <w:p w:rsidR="006F2E6A" w:rsidRPr="00180DE1" w:rsidRDefault="006F2E6A" w:rsidP="00CA2B8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xml:space="preserve">– </w:t>
            </w:r>
            <w:proofErr w:type="spellStart"/>
            <w:r w:rsidRPr="00180DE1">
              <w:rPr>
                <w:rFonts w:ascii="Times New Roman" w:hAnsi="Times New Roman"/>
                <w:color w:val="595959" w:themeColor="text1" w:themeTint="A6"/>
              </w:rPr>
              <w:t>VšĮ</w:t>
            </w:r>
            <w:proofErr w:type="spellEnd"/>
            <w:r w:rsidRPr="00180DE1">
              <w:rPr>
                <w:rFonts w:ascii="Times New Roman" w:hAnsi="Times New Roman"/>
                <w:color w:val="595959" w:themeColor="text1" w:themeTint="A6"/>
              </w:rPr>
              <w:t xml:space="preserve"> Centrinė projektų valdymo agentūra</w:t>
            </w:r>
          </w:p>
          <w:p w:rsidR="00CA2B8C" w:rsidRPr="00180DE1" w:rsidRDefault="00CA2B8C" w:rsidP="00CA2B8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Europos Komisija</w:t>
            </w:r>
          </w:p>
          <w:p w:rsidR="00DF3F93" w:rsidRPr="00180DE1" w:rsidRDefault="00DF3F93" w:rsidP="00CA2B8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Europos Parlamentas</w:t>
            </w:r>
          </w:p>
          <w:p w:rsidR="006B0C8E" w:rsidRPr="00180DE1" w:rsidRDefault="006B0C8E" w:rsidP="00CA2B8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Energijos efektyvumo fondas</w:t>
            </w:r>
          </w:p>
          <w:p w:rsidR="00927F2C" w:rsidRPr="00180DE1" w:rsidRDefault="00927F2C" w:rsidP="00CA2B8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Europos Sąjunga</w:t>
            </w:r>
          </w:p>
          <w:p w:rsidR="00927F2C" w:rsidRPr="00180DE1" w:rsidRDefault="00927F2C" w:rsidP="00CA2B8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Europos Sąjungos struktūriniai fondai (Europos socialinis fondas, įskaitant „Jaunimo užimtumo iniciatyvą“, Europos regioninės plėtros fondas, Sanglaudos fondas)</w:t>
            </w:r>
          </w:p>
          <w:p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Europos investicijų bankas</w:t>
            </w:r>
          </w:p>
          <w:p w:rsidR="00927F2C" w:rsidRPr="00180DE1" w:rsidRDefault="00927F2C" w:rsidP="00CA2B8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Europos regioninės plėtros fondas</w:t>
            </w:r>
          </w:p>
          <w:p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Europos socialinis fondas</w:t>
            </w:r>
          </w:p>
          <w:p w:rsidR="00927F2C"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Europos socialinio fondo agentūra</w:t>
            </w:r>
          </w:p>
          <w:p w:rsidR="009C1170" w:rsidRPr="00180DE1" w:rsidRDefault="009C1170"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w:t>
            </w:r>
            <w:r>
              <w:rPr>
                <w:rFonts w:ascii="Times New Roman" w:hAnsi="Times New Roman"/>
                <w:color w:val="595959" w:themeColor="text1" w:themeTint="A6"/>
              </w:rPr>
              <w:t xml:space="preserve"> UAB Investicijų ir verslo garantijos</w:t>
            </w:r>
          </w:p>
          <w:p w:rsidR="00C75C43" w:rsidRPr="00180DE1" w:rsidRDefault="00C75C43"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2021 –2027 m. ES struktūrinių fondų investicijų programa</w:t>
            </w:r>
          </w:p>
          <w:p w:rsidR="00F41C82" w:rsidRDefault="00F41C82" w:rsidP="00F41C82">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w:t>
            </w:r>
            <w:r>
              <w:rPr>
                <w:rFonts w:ascii="Times New Roman" w:hAnsi="Times New Roman"/>
                <w:color w:val="595959" w:themeColor="text1" w:themeTint="A6"/>
              </w:rPr>
              <w:t xml:space="preserve"> Lietuvos mokslo taryba</w:t>
            </w:r>
          </w:p>
          <w:p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xml:space="preserve">– </w:t>
            </w:r>
            <w:proofErr w:type="spellStart"/>
            <w:r w:rsidRPr="00180DE1">
              <w:rPr>
                <w:rFonts w:ascii="Times New Roman" w:hAnsi="Times New Roman"/>
                <w:color w:val="595959" w:themeColor="text1" w:themeTint="A6"/>
              </w:rPr>
              <w:t>VšĮ</w:t>
            </w:r>
            <w:proofErr w:type="spellEnd"/>
            <w:r w:rsidRPr="00180DE1">
              <w:rPr>
                <w:rFonts w:ascii="Times New Roman" w:hAnsi="Times New Roman"/>
                <w:color w:val="595959" w:themeColor="text1" w:themeTint="A6"/>
              </w:rPr>
              <w:t xml:space="preserve"> Lietuvos verslo paramos agentūra</w:t>
            </w:r>
          </w:p>
          <w:p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Mokslo, inovacijų ir technologijų agentūra</w:t>
            </w:r>
          </w:p>
          <w:p w:rsidR="00927F2C"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Moksliniai tyrimai ir eksperimentinė plėtra</w:t>
            </w:r>
          </w:p>
          <w:p w:rsidR="007B5134" w:rsidRDefault="007B5134"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M</w:t>
            </w:r>
            <w:r>
              <w:rPr>
                <w:rFonts w:ascii="Times New Roman" w:hAnsi="Times New Roman"/>
                <w:color w:val="595959" w:themeColor="text1" w:themeTint="A6"/>
              </w:rPr>
              <w:t>ažos ir vidutinės įmonės</w:t>
            </w:r>
          </w:p>
          <w:p w:rsidR="007B5134" w:rsidRPr="00180DE1" w:rsidRDefault="007B5134" w:rsidP="00927F2C">
            <w:pPr>
              <w:pStyle w:val="tekstas"/>
              <w:spacing w:line="360" w:lineRule="auto"/>
              <w:ind w:firstLine="0"/>
              <w:rPr>
                <w:rFonts w:ascii="Times New Roman" w:hAnsi="Times New Roman"/>
                <w:color w:val="595959" w:themeColor="text1" w:themeTint="A6"/>
              </w:rPr>
            </w:pPr>
            <w:r>
              <w:rPr>
                <w:rFonts w:ascii="Times New Roman" w:hAnsi="Times New Roman"/>
                <w:color w:val="595959" w:themeColor="text1" w:themeTint="A6"/>
              </w:rPr>
              <w:t>– Nevyriausybinė organizacija</w:t>
            </w:r>
          </w:p>
          <w:p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UAB Viešųjų investicijų plėtros agentūra</w:t>
            </w:r>
          </w:p>
          <w:p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Sanglaudos fondas</w:t>
            </w:r>
          </w:p>
          <w:p w:rsidR="00994A27" w:rsidRPr="00180DE1" w:rsidRDefault="00994A27"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Teisingos pertvarkos fondas</w:t>
            </w:r>
          </w:p>
          <w:p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2014–2020 m. ES fondų investicijų veiksmų programa</w:t>
            </w:r>
          </w:p>
          <w:p w:rsidR="00927F2C" w:rsidRPr="00180DE1" w:rsidRDefault="00927F2C" w:rsidP="00C75C43">
            <w:pPr>
              <w:pStyle w:val="tekstas"/>
              <w:spacing w:line="360" w:lineRule="auto"/>
              <w:ind w:firstLine="0"/>
              <w:rPr>
                <w:rFonts w:ascii="Times New Roman" w:hAnsi="Times New Roman"/>
                <w:color w:val="595959" w:themeColor="text1" w:themeTint="A6"/>
              </w:rPr>
            </w:pPr>
          </w:p>
        </w:tc>
      </w:tr>
    </w:tbl>
    <w:p w:rsidR="003206B5" w:rsidRPr="000E52E6" w:rsidRDefault="003206B5" w:rsidP="000C62AE">
      <w:pPr>
        <w:spacing w:after="200" w:line="276" w:lineRule="auto"/>
        <w:rPr>
          <w:color w:val="595959" w:themeColor="text1" w:themeTint="A6"/>
        </w:rPr>
      </w:pPr>
    </w:p>
    <w:p w:rsidR="003206B5" w:rsidRPr="00DF3F93" w:rsidRDefault="003206B5">
      <w:pPr>
        <w:spacing w:after="200" w:line="276" w:lineRule="auto"/>
      </w:pPr>
      <w:r w:rsidRPr="00DF3F93">
        <w:br w:type="page"/>
      </w:r>
    </w:p>
    <w:p w:rsidR="005A4426" w:rsidRPr="0040787A" w:rsidRDefault="003206B5" w:rsidP="003206B5">
      <w:pPr>
        <w:pStyle w:val="Pavadinimas"/>
        <w:rPr>
          <w:rFonts w:ascii="Times New Roman" w:hAnsi="Times New Roman" w:cs="Times New Roman"/>
          <w:color w:val="365F91" w:themeColor="accent1" w:themeShade="BF"/>
        </w:rPr>
      </w:pPr>
      <w:r w:rsidRPr="0040787A">
        <w:rPr>
          <w:rFonts w:ascii="Times New Roman" w:hAnsi="Times New Roman" w:cs="Times New Roman"/>
          <w:color w:val="365F91" w:themeColor="accent1" w:themeShade="BF"/>
        </w:rPr>
        <w:lastRenderedPageBreak/>
        <w:t>SANTRAUKA</w:t>
      </w:r>
    </w:p>
    <w:p w:rsidR="00740305" w:rsidRDefault="00740305" w:rsidP="00C8708A">
      <w:pPr>
        <w:ind w:firstLine="426"/>
        <w:jc w:val="both"/>
        <w:rPr>
          <w:color w:val="595959" w:themeColor="text1" w:themeTint="A6"/>
        </w:rPr>
      </w:pPr>
      <w:r w:rsidRPr="0013780C">
        <w:rPr>
          <w:color w:val="595959" w:themeColor="text1" w:themeTint="A6"/>
        </w:rPr>
        <w:t xml:space="preserve">Lietuva pagal </w:t>
      </w:r>
      <w:r w:rsidR="00B27131">
        <w:rPr>
          <w:color w:val="595959" w:themeColor="text1" w:themeTint="A6"/>
        </w:rPr>
        <w:t>Europos</w:t>
      </w:r>
      <w:r w:rsidR="00A262D6">
        <w:rPr>
          <w:color w:val="595959" w:themeColor="text1" w:themeTint="A6"/>
        </w:rPr>
        <w:t xml:space="preserve"> </w:t>
      </w:r>
      <w:r w:rsidR="00B27131">
        <w:rPr>
          <w:color w:val="595959" w:themeColor="text1" w:themeTint="A6"/>
        </w:rPr>
        <w:t>Komisijos</w:t>
      </w:r>
      <w:r w:rsidR="00B27131" w:rsidRPr="0013780C">
        <w:rPr>
          <w:color w:val="595959" w:themeColor="text1" w:themeTint="A6"/>
        </w:rPr>
        <w:t xml:space="preserve"> </w:t>
      </w:r>
      <w:r w:rsidRPr="0013780C">
        <w:rPr>
          <w:color w:val="595959" w:themeColor="text1" w:themeTint="A6"/>
        </w:rPr>
        <w:t>išmokėtas lėšas (</w:t>
      </w:r>
      <w:r>
        <w:rPr>
          <w:color w:val="595959" w:themeColor="text1" w:themeTint="A6"/>
        </w:rPr>
        <w:t>62</w:t>
      </w:r>
      <w:r w:rsidRPr="0013780C">
        <w:rPr>
          <w:color w:val="595959" w:themeColor="text1" w:themeTint="A6"/>
        </w:rPr>
        <w:t xml:space="preserve"> proc. nuo 2014–2020 m. Lietuvai skirto finansavimo</w:t>
      </w:r>
      <w:r>
        <w:rPr>
          <w:color w:val="595959" w:themeColor="text1" w:themeTint="A6"/>
        </w:rPr>
        <w:t>, įskaitant išmokėtą avansą</w:t>
      </w:r>
      <w:r w:rsidRPr="0013780C">
        <w:rPr>
          <w:color w:val="595959" w:themeColor="text1" w:themeTint="A6"/>
        </w:rPr>
        <w:t xml:space="preserve">) užima </w:t>
      </w:r>
      <w:r w:rsidR="00A262D6">
        <w:rPr>
          <w:color w:val="595959" w:themeColor="text1" w:themeTint="A6"/>
        </w:rPr>
        <w:t>6</w:t>
      </w:r>
      <w:r w:rsidRPr="0013780C">
        <w:rPr>
          <w:color w:val="595959" w:themeColor="text1" w:themeTint="A6"/>
        </w:rPr>
        <w:t>-ąją vietą tarp visų šalių narių ir viršija ES vidurkį</w:t>
      </w:r>
      <w:r w:rsidR="00C8708A">
        <w:rPr>
          <w:color w:val="595959" w:themeColor="text1" w:themeTint="A6"/>
        </w:rPr>
        <w:t>.</w:t>
      </w:r>
    </w:p>
    <w:p w:rsidR="00C8708A" w:rsidRDefault="00C8708A" w:rsidP="00C8708A">
      <w:pPr>
        <w:ind w:firstLine="426"/>
        <w:jc w:val="both"/>
        <w:rPr>
          <w:color w:val="595959" w:themeColor="text1" w:themeTint="A6"/>
        </w:rPr>
      </w:pPr>
      <w:r w:rsidRPr="00C8708A">
        <w:rPr>
          <w:color w:val="595959" w:themeColor="text1" w:themeTint="A6"/>
        </w:rPr>
        <w:t>Nuo finansavi</w:t>
      </w:r>
      <w:r w:rsidR="00A262D6">
        <w:rPr>
          <w:color w:val="595959" w:themeColor="text1" w:themeTint="A6"/>
        </w:rPr>
        <w:t>mo laikotarpio pradžios iki 2021</w:t>
      </w:r>
      <w:r w:rsidRPr="00C8708A">
        <w:rPr>
          <w:color w:val="595959" w:themeColor="text1" w:themeTint="A6"/>
        </w:rPr>
        <w:t xml:space="preserve"> m. </w:t>
      </w:r>
      <w:r w:rsidR="00A262D6">
        <w:rPr>
          <w:color w:val="595959" w:themeColor="text1" w:themeTint="A6"/>
        </w:rPr>
        <w:t>kovo</w:t>
      </w:r>
      <w:r w:rsidRPr="00C8708A">
        <w:rPr>
          <w:color w:val="595959" w:themeColor="text1" w:themeTint="A6"/>
        </w:rPr>
        <w:t xml:space="preserve"> 31 d. projektams paskirstyta </w:t>
      </w:r>
      <w:r w:rsidR="00A262D6">
        <w:rPr>
          <w:color w:val="595959" w:themeColor="text1" w:themeTint="A6"/>
        </w:rPr>
        <w:t>6,8 mlrd. (101</w:t>
      </w:r>
      <w:r w:rsidRPr="00C8708A">
        <w:rPr>
          <w:color w:val="595959" w:themeColor="text1" w:themeTint="A6"/>
        </w:rPr>
        <w:t xml:space="preserve"> proc.) eurų ES fondų lėšų.</w:t>
      </w:r>
      <w:r>
        <w:rPr>
          <w:color w:val="595959" w:themeColor="text1" w:themeTint="A6"/>
        </w:rPr>
        <w:t xml:space="preserve"> Įvertinus suderintus sutarčių sudarymo atidėjimus, tikslas iki 2020 m. pabaigos sudaryti visas projektų sutartis, Veiksmų programos lygiu, yra pasiektas.</w:t>
      </w:r>
    </w:p>
    <w:p w:rsidR="00C8708A" w:rsidRDefault="00C8708A" w:rsidP="00C8708A">
      <w:pPr>
        <w:pStyle w:val="tekstas"/>
        <w:rPr>
          <w:rFonts w:ascii="Times New Roman" w:hAnsi="Times New Roman"/>
          <w:color w:val="595959" w:themeColor="text1" w:themeTint="A6"/>
          <w:lang w:eastAsia="lt-LT"/>
        </w:rPr>
      </w:pPr>
      <w:r w:rsidRPr="0013780C">
        <w:rPr>
          <w:rFonts w:ascii="Times New Roman" w:hAnsi="Times New Roman"/>
          <w:color w:val="595959" w:themeColor="text1" w:themeTint="A6"/>
          <w:lang w:eastAsia="lt-LT"/>
        </w:rPr>
        <w:t xml:space="preserve">Įgyvendinant projektus, iš viso investuota </w:t>
      </w:r>
      <w:r w:rsidR="00A262D6">
        <w:rPr>
          <w:rFonts w:ascii="Times New Roman" w:hAnsi="Times New Roman"/>
          <w:color w:val="595959" w:themeColor="text1" w:themeTint="A6"/>
          <w:lang w:eastAsia="lt-LT"/>
        </w:rPr>
        <w:t>4,3 mlrd. eurų (65</w:t>
      </w:r>
      <w:r>
        <w:rPr>
          <w:rFonts w:ascii="Times New Roman" w:hAnsi="Times New Roman"/>
          <w:color w:val="595959" w:themeColor="text1" w:themeTint="A6"/>
          <w:lang w:eastAsia="lt-LT"/>
        </w:rPr>
        <w:t xml:space="preserve"> proc.). Per 2020 metus</w:t>
      </w:r>
      <w:r w:rsidRPr="0013780C">
        <w:rPr>
          <w:rFonts w:ascii="Times New Roman" w:hAnsi="Times New Roman"/>
          <w:color w:val="595959" w:themeColor="text1" w:themeTint="A6"/>
          <w:lang w:eastAsia="lt-LT"/>
        </w:rPr>
        <w:t xml:space="preserve"> investuota </w:t>
      </w:r>
      <w:r>
        <w:rPr>
          <w:rFonts w:ascii="Times New Roman" w:hAnsi="Times New Roman"/>
          <w:color w:val="595959" w:themeColor="text1" w:themeTint="A6"/>
          <w:lang w:eastAsia="lt-LT"/>
        </w:rPr>
        <w:t>1,18 mlrd</w:t>
      </w:r>
      <w:r w:rsidRPr="0013780C">
        <w:rPr>
          <w:rFonts w:ascii="Times New Roman" w:hAnsi="Times New Roman"/>
          <w:color w:val="595959" w:themeColor="text1" w:themeTint="A6"/>
          <w:lang w:eastAsia="lt-LT"/>
        </w:rPr>
        <w:t>. eurų ES fondų lėšų (</w:t>
      </w:r>
      <w:r>
        <w:rPr>
          <w:rFonts w:ascii="Times New Roman" w:hAnsi="Times New Roman"/>
          <w:color w:val="595959" w:themeColor="text1" w:themeTint="A6"/>
          <w:lang w:eastAsia="lt-LT"/>
        </w:rPr>
        <w:t xml:space="preserve">18 proc.) ir tai yra </w:t>
      </w:r>
      <w:r w:rsidRPr="00C8708A">
        <w:rPr>
          <w:rFonts w:ascii="Times New Roman" w:hAnsi="Times New Roman"/>
          <w:color w:val="595959" w:themeColor="text1" w:themeTint="A6"/>
          <w:lang w:eastAsia="lt-LT"/>
        </w:rPr>
        <w:t xml:space="preserve">didžiausios </w:t>
      </w:r>
      <w:r>
        <w:rPr>
          <w:rFonts w:ascii="Times New Roman" w:hAnsi="Times New Roman"/>
          <w:color w:val="595959" w:themeColor="text1" w:themeTint="A6"/>
          <w:lang w:eastAsia="lt-LT"/>
        </w:rPr>
        <w:t xml:space="preserve">metinės investicijos </w:t>
      </w:r>
      <w:r w:rsidRPr="00C8708A">
        <w:rPr>
          <w:rFonts w:ascii="Times New Roman" w:hAnsi="Times New Roman"/>
          <w:color w:val="595959" w:themeColor="text1" w:themeTint="A6"/>
          <w:lang w:eastAsia="lt-LT"/>
        </w:rPr>
        <w:t xml:space="preserve">lyginant su ankstesniais </w:t>
      </w:r>
      <w:r w:rsidR="00B27131">
        <w:rPr>
          <w:rFonts w:ascii="Times New Roman" w:hAnsi="Times New Roman"/>
          <w:color w:val="595959" w:themeColor="text1" w:themeTint="A6"/>
          <w:lang w:eastAsia="lt-LT"/>
        </w:rPr>
        <w:t>V</w:t>
      </w:r>
      <w:r w:rsidRPr="00C8708A">
        <w:rPr>
          <w:rFonts w:ascii="Times New Roman" w:hAnsi="Times New Roman"/>
          <w:color w:val="595959" w:themeColor="text1" w:themeTint="A6"/>
          <w:lang w:eastAsia="lt-LT"/>
        </w:rPr>
        <w:t>eiksmų programos įgyvendinimo metais.</w:t>
      </w:r>
      <w:r w:rsidR="0000692F" w:rsidRPr="0000692F">
        <w:rPr>
          <w:rFonts w:ascii="Times New Roman" w:hAnsi="Times New Roman"/>
          <w:color w:val="595959" w:themeColor="text1" w:themeTint="A6"/>
          <w:lang w:eastAsia="lt-LT"/>
        </w:rPr>
        <w:t xml:space="preserve"> Tačiau dar neinvestuotoms Veiksmų programos lėšoms ir papildomoms </w:t>
      </w:r>
      <w:proofErr w:type="spellStart"/>
      <w:r w:rsidR="0000692F" w:rsidRPr="0000692F">
        <w:rPr>
          <w:rFonts w:ascii="Times New Roman" w:hAnsi="Times New Roman"/>
          <w:color w:val="595959" w:themeColor="text1" w:themeTint="A6"/>
          <w:lang w:eastAsia="lt-LT"/>
        </w:rPr>
        <w:t>React-EU</w:t>
      </w:r>
      <w:proofErr w:type="spellEnd"/>
      <w:r w:rsidR="0000692F" w:rsidRPr="0000692F">
        <w:rPr>
          <w:rFonts w:ascii="Times New Roman" w:hAnsi="Times New Roman"/>
          <w:color w:val="595959" w:themeColor="text1" w:themeTint="A6"/>
          <w:lang w:eastAsia="lt-LT"/>
        </w:rPr>
        <w:t xml:space="preserve"> iniciatyvos lėšoms investuoti yra likę mažiau nei 3 metai, todėl būtina užtikrinti ne mažesnę investicijų spartą nei pasiekta 2020 m.</w:t>
      </w:r>
    </w:p>
    <w:p w:rsidR="00C8708A" w:rsidRPr="0013780C" w:rsidRDefault="00A262D6" w:rsidP="0000692F">
      <w:pPr>
        <w:ind w:firstLine="426"/>
        <w:jc w:val="both"/>
        <w:rPr>
          <w:color w:val="595959" w:themeColor="text1" w:themeTint="A6"/>
        </w:rPr>
      </w:pPr>
      <w:r>
        <w:rPr>
          <w:color w:val="595959" w:themeColor="text1" w:themeTint="A6"/>
        </w:rPr>
        <w:t>EK iš viso deklaruota 3,7 mlrd. eurų (55</w:t>
      </w:r>
      <w:r w:rsidR="00C8708A">
        <w:rPr>
          <w:color w:val="595959" w:themeColor="text1" w:themeTint="A6"/>
        </w:rPr>
        <w:t xml:space="preserve"> </w:t>
      </w:r>
      <w:r>
        <w:rPr>
          <w:color w:val="595959" w:themeColor="text1" w:themeTint="A6"/>
        </w:rPr>
        <w:t>proc.), iš kurių trečdalis (1,3</w:t>
      </w:r>
      <w:r w:rsidR="00C8708A">
        <w:rPr>
          <w:color w:val="595959" w:themeColor="text1" w:themeTint="A6"/>
        </w:rPr>
        <w:t xml:space="preserve"> mlrd. eurų) deklaruota 2020 metais.</w:t>
      </w:r>
    </w:p>
    <w:p w:rsidR="00C8708A" w:rsidRDefault="00C8708A" w:rsidP="0000692F">
      <w:pPr>
        <w:ind w:firstLine="426"/>
        <w:jc w:val="both"/>
        <w:rPr>
          <w:color w:val="595959" w:themeColor="text1" w:themeTint="A6"/>
        </w:rPr>
      </w:pPr>
      <w:r w:rsidRPr="00C8708A">
        <w:rPr>
          <w:color w:val="595959" w:themeColor="text1" w:themeTint="A6"/>
        </w:rPr>
        <w:t xml:space="preserve">2020 m. </w:t>
      </w:r>
      <w:r w:rsidR="00B27131">
        <w:rPr>
          <w:color w:val="595959" w:themeColor="text1" w:themeTint="A6"/>
        </w:rPr>
        <w:t xml:space="preserve">valstybės </w:t>
      </w:r>
      <w:r w:rsidRPr="00C8708A">
        <w:rPr>
          <w:color w:val="595959" w:themeColor="text1" w:themeTint="A6"/>
        </w:rPr>
        <w:t>biudžete buvo numatyta investuoti 1,1</w:t>
      </w:r>
      <w:r w:rsidR="00A404A2">
        <w:rPr>
          <w:color w:val="595959" w:themeColor="text1" w:themeTint="A6"/>
        </w:rPr>
        <w:t>7</w:t>
      </w:r>
      <w:r w:rsidRPr="00C8708A">
        <w:rPr>
          <w:color w:val="595959" w:themeColor="text1" w:themeTint="A6"/>
        </w:rPr>
        <w:t xml:space="preserve"> mlrd. eurų ES fondų lėšų. Per praėjusius metus investuota 1,18 mlrd. eurų ES fondų lėšų. Bendras asignavimų plano įvykdymas – </w:t>
      </w:r>
      <w:r w:rsidR="00A404A2">
        <w:rPr>
          <w:color w:val="595959" w:themeColor="text1" w:themeTint="A6"/>
        </w:rPr>
        <w:t>100</w:t>
      </w:r>
      <w:r w:rsidR="00A404A2" w:rsidRPr="00C8708A">
        <w:rPr>
          <w:color w:val="595959" w:themeColor="text1" w:themeTint="A6"/>
        </w:rPr>
        <w:t xml:space="preserve"> </w:t>
      </w:r>
      <w:r w:rsidRPr="00C8708A">
        <w:rPr>
          <w:color w:val="595959" w:themeColor="text1" w:themeTint="A6"/>
        </w:rPr>
        <w:t>proc.</w:t>
      </w:r>
    </w:p>
    <w:p w:rsidR="00C8708A" w:rsidRDefault="0000692F" w:rsidP="0000692F">
      <w:pPr>
        <w:ind w:firstLine="426"/>
        <w:jc w:val="both"/>
        <w:rPr>
          <w:color w:val="595959" w:themeColor="text1" w:themeTint="A6"/>
        </w:rPr>
      </w:pPr>
      <w:r w:rsidRPr="0000692F">
        <w:rPr>
          <w:color w:val="595959" w:themeColor="text1" w:themeTint="A6"/>
        </w:rPr>
        <w:t>Taip pat, ataskaitoje apžvelgiamas kiekvieno prioriteto įgyvendinimas, svarbesni įvykiai bei pateikiami siūlymai ministerijoms dėl įgyvendinimo ir investicijų spartinimo.</w:t>
      </w:r>
    </w:p>
    <w:p w:rsidR="00C8708A" w:rsidRDefault="00C8708A" w:rsidP="00CC3206">
      <w:pPr>
        <w:pStyle w:val="tekstas"/>
        <w:spacing w:line="276" w:lineRule="auto"/>
        <w:rPr>
          <w:rFonts w:ascii="Times New Roman" w:hAnsi="Times New Roman"/>
          <w:color w:val="595959" w:themeColor="text1" w:themeTint="A6"/>
        </w:rPr>
      </w:pPr>
    </w:p>
    <w:p w:rsidR="00D86482" w:rsidRDefault="00D86482" w:rsidP="00CC3206">
      <w:pPr>
        <w:pStyle w:val="tekstas"/>
        <w:spacing w:line="276" w:lineRule="auto"/>
        <w:rPr>
          <w:rFonts w:ascii="Times New Roman" w:hAnsi="Times New Roman"/>
          <w:color w:val="595959" w:themeColor="text1" w:themeTint="A6"/>
        </w:rPr>
      </w:pPr>
      <w:r w:rsidRPr="00180DE1">
        <w:rPr>
          <w:rFonts w:ascii="Times New Roman" w:hAnsi="Times New Roman"/>
          <w:color w:val="595959" w:themeColor="text1" w:themeTint="A6"/>
        </w:rPr>
        <w:br w:type="page"/>
      </w:r>
    </w:p>
    <w:p w:rsidR="00740305" w:rsidRPr="00180DE1" w:rsidRDefault="00740305" w:rsidP="00740305">
      <w:pPr>
        <w:pStyle w:val="tekstas"/>
        <w:spacing w:line="276" w:lineRule="auto"/>
        <w:ind w:firstLine="0"/>
        <w:rPr>
          <w:rFonts w:ascii="Times New Roman" w:hAnsi="Times New Roman"/>
          <w:color w:val="595959" w:themeColor="text1" w:themeTint="A6"/>
        </w:rPr>
      </w:pPr>
    </w:p>
    <w:p w:rsidR="00BC54FE" w:rsidRPr="0040787A" w:rsidRDefault="00BC54FE" w:rsidP="00BB6B89">
      <w:pPr>
        <w:pStyle w:val="Antrat1"/>
        <w:spacing w:before="0" w:after="0"/>
        <w:ind w:left="426"/>
        <w:rPr>
          <w:rFonts w:ascii="Times New Roman" w:hAnsi="Times New Roman" w:cs="Times New Roman"/>
        </w:rPr>
      </w:pPr>
      <w:bookmarkStart w:id="1" w:name="_Toc508103860"/>
      <w:bookmarkStart w:id="2" w:name="_Toc508106019"/>
      <w:bookmarkStart w:id="3" w:name="_Toc508103861"/>
      <w:bookmarkStart w:id="4" w:name="_Toc508106020"/>
      <w:bookmarkStart w:id="5" w:name="_Toc69114247"/>
      <w:bookmarkStart w:id="6" w:name="_Toc480280394"/>
      <w:bookmarkStart w:id="7" w:name="_Toc481668445"/>
      <w:bookmarkEnd w:id="1"/>
      <w:bookmarkEnd w:id="2"/>
      <w:bookmarkEnd w:id="3"/>
      <w:bookmarkEnd w:id="4"/>
      <w:r w:rsidRPr="0040787A">
        <w:rPr>
          <w:rFonts w:ascii="Times New Roman" w:hAnsi="Times New Roman" w:cs="Times New Roman"/>
        </w:rPr>
        <w:t xml:space="preserve">Bendra </w:t>
      </w:r>
      <w:r w:rsidR="003A66E5" w:rsidRPr="0040787A">
        <w:rPr>
          <w:rFonts w:ascii="Times New Roman" w:hAnsi="Times New Roman" w:cs="Times New Roman"/>
        </w:rPr>
        <w:t>Veiksmų programos</w:t>
      </w:r>
      <w:r w:rsidRPr="0040787A">
        <w:rPr>
          <w:rFonts w:ascii="Times New Roman" w:hAnsi="Times New Roman" w:cs="Times New Roman"/>
        </w:rPr>
        <w:t xml:space="preserve"> įgyvendinimo apžvalga</w:t>
      </w:r>
      <w:bookmarkEnd w:id="5"/>
    </w:p>
    <w:p w:rsidR="00913684" w:rsidRPr="009D738C" w:rsidRDefault="00913684" w:rsidP="00BC54FE">
      <w:pPr>
        <w:pStyle w:val="tekstas"/>
        <w:rPr>
          <w:rFonts w:ascii="Times New Roman" w:hAnsi="Times New Roman"/>
          <w:color w:val="595959" w:themeColor="text1" w:themeTint="A6"/>
          <w:lang w:eastAsia="lt-LT"/>
        </w:rPr>
      </w:pPr>
    </w:p>
    <w:p w:rsidR="00A061E6" w:rsidRPr="0013780C" w:rsidRDefault="00A061E6" w:rsidP="00A061E6">
      <w:pPr>
        <w:pStyle w:val="tekstas"/>
        <w:rPr>
          <w:rFonts w:ascii="Times New Roman" w:hAnsi="Times New Roman"/>
          <w:color w:val="595959" w:themeColor="text1" w:themeTint="A6"/>
          <w:lang w:eastAsia="lt-LT"/>
        </w:rPr>
      </w:pPr>
      <w:r w:rsidRPr="0013780C">
        <w:rPr>
          <w:rFonts w:ascii="Times New Roman" w:hAnsi="Times New Roman"/>
          <w:color w:val="595959" w:themeColor="text1" w:themeTint="A6"/>
          <w:lang w:eastAsia="lt-LT"/>
        </w:rPr>
        <w:t>Lietuva pagal ES išmokėtas Lietuvai lėšas (</w:t>
      </w:r>
      <w:r w:rsidR="00D71B46">
        <w:rPr>
          <w:rFonts w:ascii="Times New Roman" w:hAnsi="Times New Roman"/>
          <w:color w:val="595959" w:themeColor="text1" w:themeTint="A6"/>
          <w:lang w:eastAsia="lt-LT"/>
        </w:rPr>
        <w:t>62</w:t>
      </w:r>
      <w:r w:rsidRPr="0013780C">
        <w:rPr>
          <w:rFonts w:ascii="Times New Roman" w:hAnsi="Times New Roman"/>
          <w:color w:val="595959" w:themeColor="text1" w:themeTint="A6"/>
          <w:lang w:eastAsia="lt-LT"/>
        </w:rPr>
        <w:t xml:space="preserve"> proc. </w:t>
      </w:r>
      <w:r w:rsidR="007329AF" w:rsidRPr="0013780C">
        <w:rPr>
          <w:rFonts w:ascii="Times New Roman" w:hAnsi="Times New Roman"/>
          <w:color w:val="595959" w:themeColor="text1" w:themeTint="A6"/>
          <w:lang w:eastAsia="lt-LT"/>
        </w:rPr>
        <w:t>nuo 2014–2020 m. Lietuvai skirto</w:t>
      </w:r>
      <w:r w:rsidRPr="0013780C">
        <w:rPr>
          <w:rFonts w:ascii="Times New Roman" w:hAnsi="Times New Roman"/>
          <w:color w:val="595959" w:themeColor="text1" w:themeTint="A6"/>
          <w:lang w:eastAsia="lt-LT"/>
        </w:rPr>
        <w:t xml:space="preserve"> finansavimo</w:t>
      </w:r>
      <w:r w:rsidR="002E6DDB">
        <w:rPr>
          <w:rFonts w:ascii="Times New Roman" w:hAnsi="Times New Roman"/>
          <w:color w:val="595959" w:themeColor="text1" w:themeTint="A6"/>
          <w:lang w:eastAsia="lt-LT"/>
        </w:rPr>
        <w:t>, įskaitant išmokėtą avansą</w:t>
      </w:r>
      <w:r w:rsidRPr="0013780C">
        <w:rPr>
          <w:rFonts w:ascii="Times New Roman" w:hAnsi="Times New Roman"/>
          <w:color w:val="595959" w:themeColor="text1" w:themeTint="A6"/>
          <w:lang w:eastAsia="lt-LT"/>
        </w:rPr>
        <w:t xml:space="preserve">) užima </w:t>
      </w:r>
      <w:r w:rsidR="00A262D6">
        <w:rPr>
          <w:rFonts w:ascii="Times New Roman" w:hAnsi="Times New Roman"/>
          <w:color w:val="595959" w:themeColor="text1" w:themeTint="A6"/>
          <w:lang w:eastAsia="lt-LT"/>
        </w:rPr>
        <w:t>6</w:t>
      </w:r>
      <w:r w:rsidRPr="0013780C">
        <w:rPr>
          <w:rFonts w:ascii="Times New Roman" w:hAnsi="Times New Roman"/>
          <w:color w:val="595959" w:themeColor="text1" w:themeTint="A6"/>
          <w:lang w:eastAsia="lt-LT"/>
        </w:rPr>
        <w:t xml:space="preserve">-ąją vietą tarp visų šalių narių ir viršija ES vidurkį, kuris yra </w:t>
      </w:r>
      <w:r w:rsidR="00D71B46">
        <w:rPr>
          <w:rFonts w:ascii="Times New Roman" w:hAnsi="Times New Roman"/>
          <w:color w:val="595959" w:themeColor="text1" w:themeTint="A6"/>
          <w:lang w:eastAsia="lt-LT"/>
        </w:rPr>
        <w:t>53</w:t>
      </w:r>
      <w:r w:rsidRPr="0013780C">
        <w:rPr>
          <w:rFonts w:ascii="Times New Roman" w:hAnsi="Times New Roman"/>
          <w:color w:val="595959" w:themeColor="text1" w:themeTint="A6"/>
          <w:lang w:eastAsia="lt-LT"/>
        </w:rPr>
        <w:t xml:space="preserve"> proc. (1 grafikas).</w:t>
      </w:r>
    </w:p>
    <w:p w:rsidR="00A061E6" w:rsidRPr="0013780C" w:rsidRDefault="00A061E6" w:rsidP="00A061E6">
      <w:pPr>
        <w:pStyle w:val="tekstas"/>
        <w:rPr>
          <w:rFonts w:ascii="Times New Roman" w:hAnsi="Times New Roman"/>
          <w:color w:val="595959" w:themeColor="text1" w:themeTint="A6"/>
          <w:lang w:eastAsia="lt-LT"/>
        </w:rPr>
      </w:pPr>
    </w:p>
    <w:p w:rsidR="00A061E6" w:rsidRPr="00A061E6" w:rsidRDefault="00A061E6" w:rsidP="00A061E6">
      <w:pPr>
        <w:pStyle w:val="tekstas"/>
        <w:jc w:val="center"/>
        <w:rPr>
          <w:rFonts w:ascii="Times New Roman" w:eastAsia="Calibri" w:hAnsi="Times New Roman"/>
          <w:b/>
          <w:bCs/>
          <w:color w:val="365F91" w:themeColor="accent1" w:themeShade="BF"/>
          <w:sz w:val="22"/>
          <w:szCs w:val="22"/>
        </w:rPr>
      </w:pPr>
      <w:r w:rsidRPr="00A061E6">
        <w:rPr>
          <w:rFonts w:ascii="Times New Roman" w:eastAsia="Calibri" w:hAnsi="Times New Roman"/>
          <w:b/>
          <w:bCs/>
          <w:color w:val="365F91" w:themeColor="accent1" w:themeShade="BF"/>
          <w:sz w:val="22"/>
          <w:szCs w:val="22"/>
        </w:rPr>
        <w:t>1 grafikas. E</w:t>
      </w:r>
      <w:r>
        <w:rPr>
          <w:rFonts w:ascii="Times New Roman" w:eastAsia="Calibri" w:hAnsi="Times New Roman"/>
          <w:b/>
          <w:bCs/>
          <w:color w:val="365F91" w:themeColor="accent1" w:themeShade="BF"/>
          <w:sz w:val="22"/>
          <w:szCs w:val="22"/>
        </w:rPr>
        <w:t>S išmokėjimai valstybėms narėms</w:t>
      </w:r>
      <w:r w:rsidR="00DB31F9">
        <w:rPr>
          <w:rFonts w:ascii="Times New Roman" w:eastAsia="Calibri" w:hAnsi="Times New Roman"/>
          <w:b/>
          <w:bCs/>
          <w:color w:val="365F91" w:themeColor="accent1" w:themeShade="BF"/>
          <w:sz w:val="22"/>
          <w:szCs w:val="22"/>
        </w:rPr>
        <w:t xml:space="preserve"> </w:t>
      </w:r>
      <w:r w:rsidRPr="00A061E6">
        <w:rPr>
          <w:rFonts w:ascii="Times New Roman" w:eastAsia="Calibri" w:hAnsi="Times New Roman"/>
          <w:b/>
          <w:bCs/>
          <w:color w:val="365F91" w:themeColor="accent1" w:themeShade="BF"/>
          <w:sz w:val="22"/>
          <w:szCs w:val="22"/>
        </w:rPr>
        <w:t xml:space="preserve">(proc. </w:t>
      </w:r>
      <w:r>
        <w:rPr>
          <w:rFonts w:ascii="Times New Roman" w:eastAsia="Calibri" w:hAnsi="Times New Roman"/>
          <w:b/>
          <w:bCs/>
          <w:color w:val="365F91" w:themeColor="accent1" w:themeShade="BF"/>
          <w:sz w:val="22"/>
          <w:szCs w:val="22"/>
        </w:rPr>
        <w:t xml:space="preserve">nuo valstybei narei skirtų </w:t>
      </w:r>
      <w:r w:rsidR="00DB31F9">
        <w:rPr>
          <w:rFonts w:ascii="Times New Roman" w:eastAsia="Calibri" w:hAnsi="Times New Roman"/>
          <w:b/>
          <w:bCs/>
          <w:color w:val="365F91" w:themeColor="accent1" w:themeShade="BF"/>
          <w:sz w:val="22"/>
          <w:szCs w:val="22"/>
        </w:rPr>
        <w:t xml:space="preserve">ES </w:t>
      </w:r>
      <w:r w:rsidR="00D71B46">
        <w:rPr>
          <w:rFonts w:ascii="Times New Roman" w:eastAsia="Calibri" w:hAnsi="Times New Roman"/>
          <w:b/>
          <w:bCs/>
          <w:color w:val="365F91" w:themeColor="accent1" w:themeShade="BF"/>
          <w:sz w:val="22"/>
          <w:szCs w:val="22"/>
        </w:rPr>
        <w:t>lėšų, 2021</w:t>
      </w:r>
      <w:r w:rsidRPr="00A061E6">
        <w:rPr>
          <w:rFonts w:ascii="Times New Roman" w:eastAsia="Calibri" w:hAnsi="Times New Roman"/>
          <w:b/>
          <w:bCs/>
          <w:color w:val="365F91" w:themeColor="accent1" w:themeShade="BF"/>
          <w:sz w:val="22"/>
          <w:szCs w:val="22"/>
        </w:rPr>
        <w:t xml:space="preserve"> m. </w:t>
      </w:r>
      <w:r w:rsidR="00A262D6">
        <w:rPr>
          <w:rFonts w:ascii="Times New Roman" w:eastAsia="Calibri" w:hAnsi="Times New Roman"/>
          <w:b/>
          <w:bCs/>
          <w:color w:val="365F91" w:themeColor="accent1" w:themeShade="BF"/>
          <w:sz w:val="22"/>
          <w:szCs w:val="22"/>
        </w:rPr>
        <w:t>balandžio 6</w:t>
      </w:r>
      <w:r w:rsidRPr="00A061E6">
        <w:rPr>
          <w:rFonts w:ascii="Times New Roman" w:eastAsia="Calibri" w:hAnsi="Times New Roman"/>
          <w:b/>
          <w:bCs/>
          <w:color w:val="365F91" w:themeColor="accent1" w:themeShade="BF"/>
          <w:sz w:val="22"/>
          <w:szCs w:val="22"/>
        </w:rPr>
        <w:t xml:space="preserve"> d.</w:t>
      </w:r>
      <w:r>
        <w:rPr>
          <w:rFonts w:ascii="Times New Roman" w:eastAsia="Calibri" w:hAnsi="Times New Roman"/>
          <w:b/>
          <w:bCs/>
          <w:color w:val="365F91" w:themeColor="accent1" w:themeShade="BF"/>
          <w:sz w:val="22"/>
          <w:szCs w:val="22"/>
        </w:rPr>
        <w:t xml:space="preserve"> duomenys)</w:t>
      </w:r>
    </w:p>
    <w:p w:rsidR="00A061E6" w:rsidRPr="00A061E6" w:rsidRDefault="00A061E6" w:rsidP="00A061E6">
      <w:pPr>
        <w:pStyle w:val="tekstas"/>
        <w:ind w:firstLine="0"/>
        <w:jc w:val="center"/>
        <w:rPr>
          <w:rFonts w:ascii="Times New Roman" w:eastAsia="Calibri" w:hAnsi="Times New Roman"/>
          <w:b/>
          <w:bCs/>
          <w:color w:val="365F91" w:themeColor="accent1" w:themeShade="BF"/>
          <w:sz w:val="16"/>
          <w:szCs w:val="16"/>
        </w:rPr>
      </w:pPr>
    </w:p>
    <w:p w:rsidR="00A061E6" w:rsidRDefault="00A262D6" w:rsidP="00F96E4E">
      <w:pPr>
        <w:pStyle w:val="tekstas"/>
        <w:ind w:firstLine="0"/>
        <w:rPr>
          <w:rFonts w:ascii="Times New Roman" w:hAnsi="Times New Roman"/>
          <w:color w:val="595959" w:themeColor="text1" w:themeTint="A6"/>
          <w:lang w:eastAsia="lt-LT"/>
        </w:rPr>
      </w:pPr>
      <w:r w:rsidRPr="00A262D6">
        <w:rPr>
          <w:rFonts w:ascii="Times New Roman" w:hAnsi="Times New Roman"/>
          <w:noProof/>
          <w:color w:val="auto"/>
          <w:szCs w:val="20"/>
          <w:lang w:eastAsia="lt-LT"/>
        </w:rPr>
        <mc:AlternateContent>
          <mc:Choice Requires="wps">
            <w:drawing>
              <wp:anchor distT="0" distB="0" distL="114300" distR="114300" simplePos="0" relativeHeight="251661312" behindDoc="0" locked="0" layoutInCell="1" allowOverlap="1" wp14:anchorId="7CAA3A7F" wp14:editId="299326A1">
                <wp:simplePos x="0" y="0"/>
                <wp:positionH relativeFrom="column">
                  <wp:posOffset>4815840</wp:posOffset>
                </wp:positionH>
                <wp:positionV relativeFrom="paragraph">
                  <wp:posOffset>388620</wp:posOffset>
                </wp:positionV>
                <wp:extent cx="1090930" cy="264160"/>
                <wp:effectExtent l="0" t="0" r="0" b="0"/>
                <wp:wrapNone/>
                <wp:docPr id="15" name="TextBox 4"/>
                <wp:cNvGraphicFramePr/>
                <a:graphic xmlns:a="http://schemas.openxmlformats.org/drawingml/2006/main">
                  <a:graphicData uri="http://schemas.microsoft.com/office/word/2010/wordprocessingShape">
                    <wps:wsp>
                      <wps:cNvSpPr txBox="1"/>
                      <wps:spPr>
                        <a:xfrm>
                          <a:off x="0" y="0"/>
                          <a:ext cx="1090930" cy="26416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9748D" w:rsidRDefault="00B9748D" w:rsidP="00A262D6">
                            <w:pPr>
                              <w:pStyle w:val="prastasistinklapis"/>
                              <w:spacing w:before="0" w:beforeAutospacing="0" w:after="0" w:afterAutospacing="0"/>
                            </w:pPr>
                            <w:r>
                              <w:rPr>
                                <w:rFonts w:asciiTheme="minorHAnsi" w:hAnsi="Calibri" w:cstheme="minorBidi"/>
                                <w:b/>
                                <w:bCs/>
                                <w:color w:val="E36C0A" w:themeColor="accent6" w:themeShade="BF"/>
                                <w:sz w:val="22"/>
                                <w:szCs w:val="22"/>
                                <w:lang w:val="en-US"/>
                              </w:rPr>
                              <w:t xml:space="preserve">ES </w:t>
                            </w:r>
                            <w:proofErr w:type="spellStart"/>
                            <w:r>
                              <w:rPr>
                                <w:rFonts w:asciiTheme="minorHAnsi" w:hAnsi="Calibri" w:cstheme="minorBidi"/>
                                <w:b/>
                                <w:bCs/>
                                <w:color w:val="E36C0A" w:themeColor="accent6" w:themeShade="BF"/>
                                <w:sz w:val="22"/>
                                <w:szCs w:val="22"/>
                                <w:lang w:val="en-US"/>
                              </w:rPr>
                              <w:t>vidurkis</w:t>
                            </w:r>
                            <w:proofErr w:type="spellEnd"/>
                            <w:r>
                              <w:rPr>
                                <w:rFonts w:asciiTheme="minorHAnsi" w:hAnsi="Calibri" w:cstheme="minorBidi"/>
                                <w:b/>
                                <w:bCs/>
                                <w:color w:val="E36C0A" w:themeColor="accent6" w:themeShade="BF"/>
                                <w:sz w:val="22"/>
                                <w:szCs w:val="22"/>
                                <w:lang w:val="en-US"/>
                              </w:rPr>
                              <w:t xml:space="preserve"> 56%</w:t>
                            </w:r>
                          </w:p>
                        </w:txbxContent>
                      </wps:txbx>
                      <wps:bodyPr vertOverflow="clip" horzOverflow="clip" wrap="none" rtlCol="0" anchor="t">
                        <a:spAutoFit/>
                      </wps:bodyPr>
                    </wps:wsp>
                  </a:graphicData>
                </a:graphic>
              </wp:anchor>
            </w:drawing>
          </mc:Choice>
          <mc:Fallback>
            <w:pict>
              <v:shape id="TextBox 4" o:spid="_x0000_s1028" type="#_x0000_t202" style="position:absolute;left:0;text-align:left;margin-left:379.2pt;margin-top:30.6pt;width:85.9pt;height:20.8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" filled="f" stroked="f">
                <v:textbox style="mso-fit-shape-to-text:t">
                  <w:txbxContent>
                    <w:p w:rsidR="00B9748D" w:rsidRDefault="00B9748D" w:rsidP="00A262D6">
                      <w:pPr>
                        <w:pStyle w:val="prastasistinklapis"/>
                        <w:spacing w:before="0" w:beforeAutospacing="0" w:after="0" w:afterAutospacing="0"/>
                      </w:pPr>
                      <w:r>
                        <w:rPr>
                          <w:rFonts w:asciiTheme="minorHAnsi" w:hAnsi="Calibri" w:cstheme="minorBidi"/>
                          <w:b/>
                          <w:bCs/>
                          <w:color w:val="E36C0A" w:themeColor="accent6" w:themeShade="BF"/>
                          <w:sz w:val="22"/>
                          <w:szCs w:val="22"/>
                          <w:lang w:val="en-US"/>
                        </w:rPr>
                        <w:t xml:space="preserve">ES </w:t>
                      </w:r>
                      <w:proofErr w:type="spellStart"/>
                      <w:r>
                        <w:rPr>
                          <w:rFonts w:asciiTheme="minorHAnsi" w:hAnsi="Calibri" w:cstheme="minorBidi"/>
                          <w:b/>
                          <w:bCs/>
                          <w:color w:val="E36C0A" w:themeColor="accent6" w:themeShade="BF"/>
                          <w:sz w:val="22"/>
                          <w:szCs w:val="22"/>
                          <w:lang w:val="en-US"/>
                        </w:rPr>
                        <w:t>vidurkis</w:t>
                      </w:r>
                      <w:proofErr w:type="spellEnd"/>
                      <w:r>
                        <w:rPr>
                          <w:rFonts w:asciiTheme="minorHAnsi" w:hAnsi="Calibri" w:cstheme="minorBidi"/>
                          <w:b/>
                          <w:bCs/>
                          <w:color w:val="E36C0A" w:themeColor="accent6" w:themeShade="BF"/>
                          <w:sz w:val="22"/>
                          <w:szCs w:val="22"/>
                          <w:lang w:val="en-US"/>
                        </w:rPr>
                        <w:t xml:space="preserve"> 56%</w:t>
                      </w:r>
                    </w:p>
                  </w:txbxContent>
                </v:textbox>
              </v:shape>
            </w:pict>
          </mc:Fallback>
        </mc:AlternateContent>
      </w:r>
      <w:r>
        <w:rPr>
          <w:noProof/>
          <w:lang w:eastAsia="lt-LT"/>
        </w:rPr>
        <w:drawing>
          <wp:inline distT="0" distB="0" distL="0" distR="0" wp14:anchorId="7DAEFFAC" wp14:editId="58BAF42B">
            <wp:extent cx="6057900" cy="2743200"/>
            <wp:effectExtent l="0" t="0" r="19050" b="19050"/>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061E6" w:rsidRPr="00DB31F9" w:rsidRDefault="00DB31F9" w:rsidP="00DB31F9">
      <w:pPr>
        <w:pStyle w:val="tekstas"/>
        <w:ind w:firstLine="0"/>
        <w:jc w:val="center"/>
        <w:rPr>
          <w:rFonts w:ascii="Times New Roman" w:eastAsia="Calibri" w:hAnsi="Times New Roman"/>
          <w:bCs/>
          <w:color w:val="7F7F7F" w:themeColor="text1" w:themeTint="80"/>
          <w:sz w:val="20"/>
          <w:lang w:eastAsia="lt-LT"/>
        </w:rPr>
      </w:pPr>
      <w:r w:rsidRPr="00DB31F9">
        <w:rPr>
          <w:rFonts w:ascii="Times New Roman" w:eastAsia="Calibri" w:hAnsi="Times New Roman"/>
          <w:bCs/>
          <w:color w:val="7F7F7F" w:themeColor="text1" w:themeTint="80"/>
          <w:sz w:val="20"/>
          <w:lang w:eastAsia="lt-LT"/>
        </w:rPr>
        <w:t xml:space="preserve">Šaltinis: </w:t>
      </w:r>
      <w:proofErr w:type="spellStart"/>
      <w:r w:rsidRPr="00DB31F9">
        <w:rPr>
          <w:rFonts w:ascii="Times New Roman" w:eastAsia="Calibri" w:hAnsi="Times New Roman"/>
          <w:bCs/>
          <w:color w:val="7F7F7F" w:themeColor="text1" w:themeTint="80"/>
          <w:sz w:val="20"/>
          <w:lang w:eastAsia="lt-LT"/>
        </w:rPr>
        <w:t>Info</w:t>
      </w:r>
      <w:proofErr w:type="spellEnd"/>
      <w:r w:rsidRPr="00DB31F9">
        <w:rPr>
          <w:rFonts w:ascii="Times New Roman" w:eastAsia="Calibri" w:hAnsi="Times New Roman"/>
          <w:bCs/>
          <w:color w:val="7F7F7F" w:themeColor="text1" w:themeTint="80"/>
          <w:sz w:val="20"/>
          <w:lang w:eastAsia="lt-LT"/>
        </w:rPr>
        <w:t xml:space="preserve"> </w:t>
      </w:r>
      <w:proofErr w:type="spellStart"/>
      <w:r w:rsidRPr="00DB31F9">
        <w:rPr>
          <w:rFonts w:ascii="Times New Roman" w:eastAsia="Calibri" w:hAnsi="Times New Roman"/>
          <w:bCs/>
          <w:color w:val="7F7F7F" w:themeColor="text1" w:themeTint="80"/>
          <w:sz w:val="20"/>
          <w:lang w:eastAsia="lt-LT"/>
        </w:rPr>
        <w:t>Regio</w:t>
      </w:r>
      <w:proofErr w:type="spellEnd"/>
      <w:r w:rsidRPr="00DB31F9">
        <w:rPr>
          <w:rFonts w:ascii="Times New Roman" w:eastAsia="Calibri" w:hAnsi="Times New Roman"/>
          <w:bCs/>
          <w:color w:val="7F7F7F" w:themeColor="text1" w:themeTint="80"/>
          <w:sz w:val="20"/>
          <w:lang w:eastAsia="lt-LT"/>
        </w:rPr>
        <w:t xml:space="preserve">, </w:t>
      </w:r>
      <w:proofErr w:type="spellStart"/>
      <w:r w:rsidRPr="00DB31F9">
        <w:rPr>
          <w:rFonts w:ascii="Times New Roman" w:eastAsia="Calibri" w:hAnsi="Times New Roman"/>
          <w:bCs/>
          <w:color w:val="7F7F7F" w:themeColor="text1" w:themeTint="80"/>
          <w:sz w:val="20"/>
          <w:lang w:eastAsia="lt-LT"/>
        </w:rPr>
        <w:t>Open</w:t>
      </w:r>
      <w:proofErr w:type="spellEnd"/>
      <w:r w:rsidRPr="00DB31F9">
        <w:rPr>
          <w:rFonts w:ascii="Times New Roman" w:eastAsia="Calibri" w:hAnsi="Times New Roman"/>
          <w:bCs/>
          <w:color w:val="7F7F7F" w:themeColor="text1" w:themeTint="80"/>
          <w:sz w:val="20"/>
          <w:lang w:eastAsia="lt-LT"/>
        </w:rPr>
        <w:t xml:space="preserve"> Data platforma.</w:t>
      </w:r>
    </w:p>
    <w:p w:rsidR="00885603" w:rsidRDefault="00885603" w:rsidP="00367F59">
      <w:pPr>
        <w:pStyle w:val="tekstas"/>
        <w:ind w:firstLine="0"/>
        <w:rPr>
          <w:rFonts w:ascii="Times New Roman" w:hAnsi="Times New Roman"/>
          <w:color w:val="595959" w:themeColor="text1" w:themeTint="A6"/>
          <w:lang w:eastAsia="lt-LT"/>
        </w:rPr>
      </w:pPr>
    </w:p>
    <w:p w:rsidR="00BC54FE" w:rsidRPr="00DF3F93" w:rsidRDefault="00BC54FE" w:rsidP="00BC54FE">
      <w:pPr>
        <w:pStyle w:val="tekstas"/>
        <w:rPr>
          <w:rFonts w:ascii="Times New Roman" w:hAnsi="Times New Roman"/>
          <w:sz w:val="2"/>
          <w:lang w:eastAsia="lt-LT"/>
        </w:rPr>
      </w:pPr>
    </w:p>
    <w:p w:rsidR="00BC54FE" w:rsidRPr="0040787A" w:rsidRDefault="00D71B46" w:rsidP="00BC54FE">
      <w:pPr>
        <w:pStyle w:val="Antrat"/>
        <w:keepNext/>
        <w:spacing w:after="0"/>
        <w:jc w:val="center"/>
        <w:rPr>
          <w:rFonts w:ascii="Times New Roman" w:hAnsi="Times New Roman"/>
          <w:color w:val="365F91" w:themeColor="accent1" w:themeShade="BF"/>
          <w:sz w:val="22"/>
          <w:szCs w:val="22"/>
        </w:rPr>
      </w:pPr>
      <w:r>
        <w:rPr>
          <w:rFonts w:ascii="Times New Roman" w:hAnsi="Times New Roman"/>
          <w:color w:val="365F91" w:themeColor="accent1" w:themeShade="BF"/>
          <w:sz w:val="22"/>
          <w:szCs w:val="22"/>
        </w:rPr>
        <w:t>2</w:t>
      </w:r>
      <w:r w:rsidR="00BC54FE" w:rsidRPr="0040787A">
        <w:rPr>
          <w:rFonts w:ascii="Times New Roman" w:hAnsi="Times New Roman"/>
          <w:color w:val="365F91" w:themeColor="accent1" w:themeShade="BF"/>
          <w:sz w:val="22"/>
          <w:szCs w:val="22"/>
        </w:rPr>
        <w:t xml:space="preserve"> grafikas. </w:t>
      </w:r>
      <w:r w:rsidR="003A66E5" w:rsidRPr="0040787A">
        <w:rPr>
          <w:rFonts w:ascii="Times New Roman" w:hAnsi="Times New Roman"/>
          <w:color w:val="365F91" w:themeColor="accent1" w:themeShade="BF"/>
          <w:sz w:val="22"/>
          <w:szCs w:val="22"/>
        </w:rPr>
        <w:t>Veiksmų programos</w:t>
      </w:r>
      <w:r w:rsidR="00BC54FE" w:rsidRPr="0040787A">
        <w:rPr>
          <w:rFonts w:ascii="Times New Roman" w:hAnsi="Times New Roman"/>
          <w:color w:val="365F91" w:themeColor="accent1" w:themeShade="BF"/>
          <w:sz w:val="22"/>
          <w:szCs w:val="22"/>
        </w:rPr>
        <w:t xml:space="preserve"> įgyvendini</w:t>
      </w:r>
      <w:r w:rsidR="000F701E">
        <w:rPr>
          <w:rFonts w:ascii="Times New Roman" w:hAnsi="Times New Roman"/>
          <w:color w:val="365F91" w:themeColor="accent1" w:themeShade="BF"/>
          <w:sz w:val="22"/>
          <w:szCs w:val="22"/>
        </w:rPr>
        <w:t>mas pagal etapus (mln. eurų ir proc.</w:t>
      </w:r>
      <w:r w:rsidR="00BC54FE" w:rsidRPr="0040787A">
        <w:rPr>
          <w:rFonts w:ascii="Times New Roman" w:hAnsi="Times New Roman"/>
          <w:color w:val="365F91" w:themeColor="accent1" w:themeShade="BF"/>
          <w:sz w:val="22"/>
          <w:szCs w:val="22"/>
        </w:rPr>
        <w:t xml:space="preserve"> nuo ES fondų lėšų).</w:t>
      </w:r>
    </w:p>
    <w:p w:rsidR="00C50135" w:rsidRPr="00DF3F93" w:rsidRDefault="00C50135" w:rsidP="001B68C7">
      <w:pPr>
        <w:rPr>
          <w:sz w:val="16"/>
          <w:szCs w:val="16"/>
        </w:rPr>
      </w:pPr>
    </w:p>
    <w:p w:rsidR="00BC54FE" w:rsidRPr="00DF3F93" w:rsidRDefault="00BC54FE" w:rsidP="00BC54FE">
      <w:pPr>
        <w:ind w:firstLine="567"/>
        <w:jc w:val="both"/>
        <w:rPr>
          <w:color w:val="666666"/>
          <w:sz w:val="2"/>
          <w:szCs w:val="24"/>
          <w:highlight w:val="yellow"/>
          <w:lang w:eastAsia="lt-LT"/>
        </w:rPr>
      </w:pPr>
    </w:p>
    <w:p w:rsidR="00BC54FE" w:rsidRPr="00DF3F93" w:rsidRDefault="00C14999" w:rsidP="006C4091">
      <w:pPr>
        <w:jc w:val="both"/>
        <w:rPr>
          <w:color w:val="595959" w:themeColor="text1" w:themeTint="A6"/>
          <w:sz w:val="20"/>
          <w:szCs w:val="24"/>
          <w:lang w:eastAsia="lt-LT"/>
        </w:rPr>
      </w:pPr>
      <w:r>
        <w:rPr>
          <w:noProof/>
          <w:lang w:eastAsia="lt-LT"/>
        </w:rPr>
        <w:drawing>
          <wp:inline distT="0" distB="0" distL="0" distR="0" wp14:anchorId="1EBBC6CE" wp14:editId="3111137B">
            <wp:extent cx="6120130" cy="2758109"/>
            <wp:effectExtent l="0" t="0" r="13970" b="2349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8602B6" w:rsidRPr="00DF3F93">
        <w:rPr>
          <w:noProof/>
          <w:lang w:eastAsia="lt-LT"/>
        </w:rPr>
        <mc:AlternateContent>
          <mc:Choice Requires="wps">
            <w:drawing>
              <wp:anchor distT="0" distB="0" distL="114300" distR="114300" simplePos="0" relativeHeight="251655168" behindDoc="0" locked="0" layoutInCell="1" allowOverlap="1" wp14:anchorId="57B40516" wp14:editId="3034073E">
                <wp:simplePos x="0" y="0"/>
                <wp:positionH relativeFrom="column">
                  <wp:posOffset>6030239</wp:posOffset>
                </wp:positionH>
                <wp:positionV relativeFrom="paragraph">
                  <wp:posOffset>579653</wp:posOffset>
                </wp:positionV>
                <wp:extent cx="314300" cy="248285"/>
                <wp:effectExtent l="0" t="0" r="0" b="0"/>
                <wp:wrapNone/>
                <wp:docPr id="9" name="TextBox 8"/>
                <wp:cNvGraphicFramePr/>
                <a:graphic xmlns:a="http://schemas.openxmlformats.org/drawingml/2006/main">
                  <a:graphicData uri="http://schemas.microsoft.com/office/word/2010/wordprocessingShape">
                    <wps:wsp>
                      <wps:cNvSpPr txBox="1"/>
                      <wps:spPr>
                        <a:xfrm>
                          <a:off x="0" y="0"/>
                          <a:ext cx="314300" cy="24828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9748D" w:rsidRDefault="00B9748D" w:rsidP="00F57390">
                            <w:pPr>
                              <w:pStyle w:val="prastasistinklapis"/>
                              <w:spacing w:before="0" w:beforeAutospacing="0" w:after="0" w:afterAutospacing="0"/>
                            </w:pPr>
                          </w:p>
                        </w:txbxContent>
                      </wps:txbx>
                      <wps:bodyPr vertOverflow="clip" horzOverflow="clip" wrap="square" rtlCol="0" anchor="t">
                        <a:spAutoFit/>
                      </wps:bodyPr>
                    </wps:wsp>
                  </a:graphicData>
                </a:graphic>
                <wp14:sizeRelH relativeFrom="margin">
                  <wp14:pctWidth>0</wp14:pctWidth>
                </wp14:sizeRelH>
              </wp:anchor>
            </w:drawing>
          </mc:Choice>
          <mc:Fallback>
            <w:pict>
              <v:shape id="TextBox 8" o:spid="_x0000_s1029" type="#_x0000_t202" style="position:absolute;left:0;text-align:left;margin-left:474.8pt;margin-top:45.65pt;width:24.75pt;height:19.5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" filled="f" stroked="f">
                <v:textbox style="mso-fit-shape-to-text:t">
                  <w:txbxContent>
                    <w:p w:rsidR="00B9748D" w:rsidRDefault="00B9748D" w:rsidP="00F57390">
                      <w:pPr>
                        <w:pStyle w:val="prastasistinklapis"/>
                        <w:spacing w:before="0" w:beforeAutospacing="0" w:after="0" w:afterAutospacing="0"/>
                      </w:pPr>
                    </w:p>
                  </w:txbxContent>
                </v:textbox>
              </v:shape>
            </w:pict>
          </mc:Fallback>
        </mc:AlternateContent>
      </w:r>
    </w:p>
    <w:p w:rsidR="00BC54FE" w:rsidRPr="000E52E6" w:rsidRDefault="00BC54FE" w:rsidP="00BC54FE">
      <w:pPr>
        <w:ind w:firstLine="567"/>
        <w:jc w:val="both"/>
        <w:rPr>
          <w:color w:val="595959" w:themeColor="text1" w:themeTint="A6"/>
          <w:sz w:val="2"/>
          <w:szCs w:val="24"/>
          <w:highlight w:val="yellow"/>
          <w:lang w:eastAsia="lt-LT"/>
        </w:rPr>
      </w:pPr>
    </w:p>
    <w:p w:rsidR="00894BC1" w:rsidRPr="0040787A" w:rsidRDefault="008602B6" w:rsidP="00DA758F">
      <w:pPr>
        <w:pStyle w:val="Antrat"/>
        <w:keepNext/>
        <w:spacing w:after="0"/>
        <w:jc w:val="center"/>
        <w:rPr>
          <w:rFonts w:ascii="Times New Roman" w:hAnsi="Times New Roman"/>
          <w:b w:val="0"/>
          <w:color w:val="7F7F7F" w:themeColor="text1" w:themeTint="80"/>
          <w:sz w:val="20"/>
          <w:szCs w:val="24"/>
          <w:lang w:eastAsia="lt-LT"/>
        </w:rPr>
      </w:pPr>
      <w:r w:rsidRPr="0040787A">
        <w:rPr>
          <w:rFonts w:ascii="Times New Roman" w:hAnsi="Times New Roman"/>
          <w:b w:val="0"/>
          <w:color w:val="7F7F7F" w:themeColor="text1" w:themeTint="80"/>
          <w:sz w:val="20"/>
          <w:szCs w:val="24"/>
          <w:lang w:eastAsia="lt-LT"/>
        </w:rPr>
        <w:t>Šaltinis: 2014–2020 metų Europos Sąjungos struktūrinių fondų posistemis (SFMIS2014).</w:t>
      </w:r>
    </w:p>
    <w:p w:rsidR="00DD3B53" w:rsidRDefault="00DD3B53" w:rsidP="00DD3B53">
      <w:pPr>
        <w:jc w:val="both"/>
        <w:rPr>
          <w:color w:val="595959" w:themeColor="text1" w:themeTint="A6"/>
          <w:u w:val="single"/>
        </w:rPr>
      </w:pPr>
    </w:p>
    <w:p w:rsidR="00DD3B53" w:rsidRPr="0013780C" w:rsidRDefault="00DD3B53" w:rsidP="00DD3B53">
      <w:pPr>
        <w:jc w:val="both"/>
        <w:rPr>
          <w:color w:val="595959" w:themeColor="text1" w:themeTint="A6"/>
          <w:u w:val="single"/>
        </w:rPr>
      </w:pPr>
      <w:r w:rsidRPr="0013780C">
        <w:rPr>
          <w:color w:val="595959" w:themeColor="text1" w:themeTint="A6"/>
          <w:u w:val="single"/>
        </w:rPr>
        <w:t>Sutartys</w:t>
      </w:r>
      <w:r>
        <w:rPr>
          <w:color w:val="595959" w:themeColor="text1" w:themeTint="A6"/>
          <w:u w:val="single"/>
        </w:rPr>
        <w:t>.</w:t>
      </w:r>
    </w:p>
    <w:p w:rsidR="00DD3B53" w:rsidRDefault="00DD3B53" w:rsidP="00DD3B53">
      <w:pPr>
        <w:ind w:firstLine="426"/>
        <w:jc w:val="both"/>
        <w:rPr>
          <w:color w:val="595959" w:themeColor="text1" w:themeTint="A6"/>
        </w:rPr>
      </w:pPr>
      <w:r w:rsidRPr="00DD3B53">
        <w:rPr>
          <w:color w:val="595959" w:themeColor="text1" w:themeTint="A6"/>
        </w:rPr>
        <w:t xml:space="preserve">Nuo finansavimo laikotarpio pradžios iki 2020 m. </w:t>
      </w:r>
      <w:r w:rsidR="00C14999">
        <w:rPr>
          <w:color w:val="595959" w:themeColor="text1" w:themeTint="A6"/>
        </w:rPr>
        <w:t>kovo</w:t>
      </w:r>
      <w:r w:rsidRPr="00DD3B53">
        <w:rPr>
          <w:color w:val="595959" w:themeColor="text1" w:themeTint="A6"/>
        </w:rPr>
        <w:t xml:space="preserve"> 31</w:t>
      </w:r>
      <w:r w:rsidR="00C14999">
        <w:rPr>
          <w:color w:val="595959" w:themeColor="text1" w:themeTint="A6"/>
        </w:rPr>
        <w:t xml:space="preserve"> d. projektams paskirstyta 6,8</w:t>
      </w:r>
      <w:r>
        <w:rPr>
          <w:color w:val="595959" w:themeColor="text1" w:themeTint="A6"/>
        </w:rPr>
        <w:t> </w:t>
      </w:r>
      <w:r w:rsidR="00C14999">
        <w:rPr>
          <w:color w:val="595959" w:themeColor="text1" w:themeTint="A6"/>
        </w:rPr>
        <w:t>mlrd. (101</w:t>
      </w:r>
      <w:r w:rsidRPr="00DD3B53">
        <w:rPr>
          <w:color w:val="595959" w:themeColor="text1" w:themeTint="A6"/>
        </w:rPr>
        <w:t xml:space="preserve"> proc.) eurų ES fon</w:t>
      </w:r>
      <w:r w:rsidR="00C14999">
        <w:rPr>
          <w:color w:val="595959" w:themeColor="text1" w:themeTint="A6"/>
        </w:rPr>
        <w:t>dų lėšų. Per 2020 metus sudaryta</w:t>
      </w:r>
      <w:r w:rsidRPr="00DD3B53">
        <w:rPr>
          <w:color w:val="595959" w:themeColor="text1" w:themeTint="A6"/>
        </w:rPr>
        <w:t xml:space="preserve"> sutarčių </w:t>
      </w:r>
      <w:r w:rsidR="00C14999">
        <w:rPr>
          <w:color w:val="595959" w:themeColor="text1" w:themeTint="A6"/>
        </w:rPr>
        <w:t>už</w:t>
      </w:r>
      <w:r w:rsidRPr="00DD3B53">
        <w:rPr>
          <w:color w:val="595959" w:themeColor="text1" w:themeTint="A6"/>
        </w:rPr>
        <w:t xml:space="preserve"> 1,37 mlrd. eurų </w:t>
      </w:r>
      <w:r w:rsidR="00C14999" w:rsidRPr="00DD3B53">
        <w:rPr>
          <w:color w:val="595959" w:themeColor="text1" w:themeTint="A6"/>
        </w:rPr>
        <w:t xml:space="preserve">(ES fondų </w:t>
      </w:r>
      <w:r w:rsidR="00C14999" w:rsidRPr="00DD3B53">
        <w:rPr>
          <w:color w:val="595959" w:themeColor="text1" w:themeTint="A6"/>
        </w:rPr>
        <w:lastRenderedPageBreak/>
        <w:t>lėšos)</w:t>
      </w:r>
      <w:r w:rsidR="00C14999">
        <w:rPr>
          <w:color w:val="595959" w:themeColor="text1" w:themeTint="A6"/>
        </w:rPr>
        <w:t xml:space="preserve"> </w:t>
      </w:r>
      <w:r w:rsidRPr="00DD3B53">
        <w:rPr>
          <w:color w:val="595959" w:themeColor="text1" w:themeTint="A6"/>
        </w:rPr>
        <w:t>arba 20 proc.</w:t>
      </w:r>
      <w:r>
        <w:rPr>
          <w:color w:val="595959" w:themeColor="text1" w:themeTint="A6"/>
        </w:rPr>
        <w:t xml:space="preserve"> </w:t>
      </w:r>
      <w:r w:rsidR="00C14999">
        <w:rPr>
          <w:color w:val="595959" w:themeColor="text1" w:themeTint="A6"/>
        </w:rPr>
        <w:t xml:space="preserve">Per pirmąjį š. m. ketvirtį sudarytų sutarčių suma padidėjo 109 mln. eurų ES fondų lėšų arba </w:t>
      </w:r>
      <w:r w:rsidR="00D43B7A">
        <w:rPr>
          <w:color w:val="595959" w:themeColor="text1" w:themeTint="A6"/>
        </w:rPr>
        <w:t xml:space="preserve">1 proc. </w:t>
      </w:r>
      <w:r>
        <w:rPr>
          <w:color w:val="595959" w:themeColor="text1" w:themeTint="A6"/>
        </w:rPr>
        <w:t>(2 grafikas).</w:t>
      </w:r>
    </w:p>
    <w:p w:rsidR="00DD3B53" w:rsidRDefault="00DD3B53" w:rsidP="00DD3B53">
      <w:pPr>
        <w:ind w:firstLine="426"/>
        <w:jc w:val="both"/>
        <w:rPr>
          <w:color w:val="595959" w:themeColor="text1" w:themeTint="A6"/>
        </w:rPr>
      </w:pPr>
      <w:r w:rsidRPr="00D427C5">
        <w:rPr>
          <w:color w:val="595959" w:themeColor="text1" w:themeTint="A6"/>
        </w:rPr>
        <w:t>Vadovaujantis Projektų finansavimo ir administravimo taisyklių nuostatomis</w:t>
      </w:r>
      <w:r>
        <w:rPr>
          <w:color w:val="595959" w:themeColor="text1" w:themeTint="A6"/>
        </w:rPr>
        <w:t xml:space="preserve"> iki 2020 m. gruodžio 31 d. turėjo</w:t>
      </w:r>
      <w:r w:rsidRPr="00D427C5">
        <w:rPr>
          <w:color w:val="595959" w:themeColor="text1" w:themeTint="A6"/>
        </w:rPr>
        <w:t xml:space="preserve"> būti sudarytos visos projektų sutartys. Galutinis projektų</w:t>
      </w:r>
      <w:r w:rsidR="00D612AE">
        <w:rPr>
          <w:color w:val="595959" w:themeColor="text1" w:themeTint="A6"/>
        </w:rPr>
        <w:t xml:space="preserve"> sutarčių sudarymo terminas galėjo</w:t>
      </w:r>
      <w:r w:rsidRPr="00D427C5">
        <w:rPr>
          <w:color w:val="595959" w:themeColor="text1" w:themeTint="A6"/>
        </w:rPr>
        <w:t xml:space="preserve"> būti pratęstas atskirais su </w:t>
      </w:r>
      <w:r w:rsidR="00B27131">
        <w:rPr>
          <w:color w:val="595959" w:themeColor="text1" w:themeTint="A6"/>
        </w:rPr>
        <w:t xml:space="preserve">Finansų </w:t>
      </w:r>
      <w:r w:rsidR="006B7688">
        <w:rPr>
          <w:color w:val="595959" w:themeColor="text1" w:themeTint="A6"/>
        </w:rPr>
        <w:t xml:space="preserve">ministerija, kaip </w:t>
      </w:r>
      <w:r w:rsidRPr="00D427C5">
        <w:rPr>
          <w:color w:val="595959" w:themeColor="text1" w:themeTint="A6"/>
        </w:rPr>
        <w:t>vadovaujančiąja institucija</w:t>
      </w:r>
      <w:r w:rsidR="006B7688">
        <w:rPr>
          <w:color w:val="595959" w:themeColor="text1" w:themeTint="A6"/>
        </w:rPr>
        <w:t>,</w:t>
      </w:r>
      <w:r w:rsidRPr="00D427C5">
        <w:rPr>
          <w:color w:val="595959" w:themeColor="text1" w:themeTint="A6"/>
        </w:rPr>
        <w:t xml:space="preserve"> suderintais atvejais. Atsižvelgiant į tai, vienas iš </w:t>
      </w:r>
      <w:r>
        <w:rPr>
          <w:color w:val="595959" w:themeColor="text1" w:themeTint="A6"/>
        </w:rPr>
        <w:t>2020 m.</w:t>
      </w:r>
      <w:r w:rsidRPr="00D427C5">
        <w:rPr>
          <w:color w:val="595959" w:themeColor="text1" w:themeTint="A6"/>
        </w:rPr>
        <w:t xml:space="preserve"> metų Veiksmų programos įgyvendinimo tikslų </w:t>
      </w:r>
      <w:r>
        <w:rPr>
          <w:color w:val="595959" w:themeColor="text1" w:themeTint="A6"/>
        </w:rPr>
        <w:t>buvo</w:t>
      </w:r>
      <w:r w:rsidRPr="00D427C5">
        <w:rPr>
          <w:color w:val="595959" w:themeColor="text1" w:themeTint="A6"/>
        </w:rPr>
        <w:t xml:space="preserve"> projektams paskirstyti visas Lietuvai numatytas ES struktūrinių fondų lėšas.</w:t>
      </w:r>
    </w:p>
    <w:p w:rsidR="00DD3B53" w:rsidRDefault="00D43B7A" w:rsidP="00DD3B53">
      <w:pPr>
        <w:ind w:firstLine="426"/>
        <w:jc w:val="both"/>
        <w:rPr>
          <w:color w:val="595959" w:themeColor="text1" w:themeTint="A6"/>
        </w:rPr>
      </w:pPr>
      <w:r>
        <w:rPr>
          <w:color w:val="595959" w:themeColor="text1" w:themeTint="A6"/>
        </w:rPr>
        <w:t>2020 m.</w:t>
      </w:r>
      <w:r w:rsidR="00DD3B53" w:rsidRPr="003B30A2">
        <w:rPr>
          <w:color w:val="595959" w:themeColor="text1" w:themeTint="A6"/>
        </w:rPr>
        <w:t xml:space="preserve"> pabaigoje</w:t>
      </w:r>
      <w:r w:rsidR="00DD3B53">
        <w:rPr>
          <w:color w:val="595959" w:themeColor="text1" w:themeTint="A6"/>
        </w:rPr>
        <w:t xml:space="preserve"> </w:t>
      </w:r>
      <w:r>
        <w:rPr>
          <w:color w:val="595959" w:themeColor="text1" w:themeTint="A6"/>
        </w:rPr>
        <w:t xml:space="preserve">buvo </w:t>
      </w:r>
      <w:r w:rsidR="00DD3B53">
        <w:rPr>
          <w:color w:val="595959" w:themeColor="text1" w:themeTint="A6"/>
        </w:rPr>
        <w:t xml:space="preserve">suderinta sutarčių sudarymo atidėjimų </w:t>
      </w:r>
      <w:r w:rsidR="00D612AE">
        <w:rPr>
          <w:color w:val="595959" w:themeColor="text1" w:themeTint="A6"/>
        </w:rPr>
        <w:t xml:space="preserve">už </w:t>
      </w:r>
      <w:r w:rsidR="009D310C">
        <w:rPr>
          <w:color w:val="595959" w:themeColor="text1" w:themeTint="A6"/>
        </w:rPr>
        <w:t>351,6</w:t>
      </w:r>
      <w:r w:rsidR="00D612AE">
        <w:rPr>
          <w:color w:val="595959" w:themeColor="text1" w:themeTint="A6"/>
        </w:rPr>
        <w:t> </w:t>
      </w:r>
      <w:r w:rsidR="00DD3B53">
        <w:rPr>
          <w:color w:val="595959" w:themeColor="text1" w:themeTint="A6"/>
        </w:rPr>
        <w:t xml:space="preserve">mln. </w:t>
      </w:r>
      <w:r w:rsidR="006B7688">
        <w:rPr>
          <w:color w:val="595959" w:themeColor="text1" w:themeTint="A6"/>
        </w:rPr>
        <w:t>e</w:t>
      </w:r>
      <w:r w:rsidR="00DD3B53">
        <w:rPr>
          <w:color w:val="595959" w:themeColor="text1" w:themeTint="A6"/>
        </w:rPr>
        <w:t>urų</w:t>
      </w:r>
      <w:r w:rsidR="006B7688">
        <w:rPr>
          <w:color w:val="595959" w:themeColor="text1" w:themeTint="A6"/>
        </w:rPr>
        <w:t xml:space="preserve"> (t.y. šios sutartys bus pasirašytos per 2021 m.)</w:t>
      </w:r>
      <w:r w:rsidR="00DD3B53">
        <w:rPr>
          <w:color w:val="595959" w:themeColor="text1" w:themeTint="A6"/>
        </w:rPr>
        <w:t>. Įvertinus suderintus sutarčių sudarymo atidėjimus, 2020 m. sutarčių sudarymo tikslas</w:t>
      </w:r>
      <w:r w:rsidR="00D612AE">
        <w:rPr>
          <w:color w:val="595959" w:themeColor="text1" w:themeTint="A6"/>
        </w:rPr>
        <w:t>,</w:t>
      </w:r>
      <w:r w:rsidR="00DD3B53">
        <w:rPr>
          <w:color w:val="595959" w:themeColor="text1" w:themeTint="A6"/>
        </w:rPr>
        <w:t xml:space="preserve"> Veiksmų programos lygiu</w:t>
      </w:r>
      <w:r w:rsidR="00D612AE">
        <w:rPr>
          <w:color w:val="595959" w:themeColor="text1" w:themeTint="A6"/>
        </w:rPr>
        <w:t>,</w:t>
      </w:r>
      <w:r w:rsidR="00DD3B53">
        <w:rPr>
          <w:color w:val="595959" w:themeColor="text1" w:themeTint="A6"/>
        </w:rPr>
        <w:t xml:space="preserve"> yra pasiektas.</w:t>
      </w:r>
    </w:p>
    <w:p w:rsidR="00BC48B5" w:rsidRDefault="009D310C" w:rsidP="00DD3B53">
      <w:pPr>
        <w:ind w:firstLine="426"/>
        <w:jc w:val="both"/>
        <w:rPr>
          <w:color w:val="595959" w:themeColor="text1" w:themeTint="A6"/>
        </w:rPr>
      </w:pPr>
      <w:r>
        <w:rPr>
          <w:color w:val="595959" w:themeColor="text1" w:themeTint="A6"/>
        </w:rPr>
        <w:t xml:space="preserve">Didžiausia suderintų sutarčių sudarymo atidėjimų suma yra </w:t>
      </w:r>
      <w:r w:rsidR="00C30998">
        <w:rPr>
          <w:color w:val="595959" w:themeColor="text1" w:themeTint="A6"/>
        </w:rPr>
        <w:t xml:space="preserve">Susisiekimo ministerijos </w:t>
      </w:r>
      <w:r w:rsidR="005B4C4C">
        <w:rPr>
          <w:color w:val="595959" w:themeColor="text1" w:themeTint="A6"/>
        </w:rPr>
        <w:t>–</w:t>
      </w:r>
      <w:r>
        <w:rPr>
          <w:color w:val="595959" w:themeColor="text1" w:themeTint="A6"/>
        </w:rPr>
        <w:t xml:space="preserve"> 195 mln. eurų. L</w:t>
      </w:r>
      <w:r w:rsidR="00C30998">
        <w:rPr>
          <w:color w:val="595959" w:themeColor="text1" w:themeTint="A6"/>
        </w:rPr>
        <w:t xml:space="preserve">abiausiai </w:t>
      </w:r>
      <w:r>
        <w:rPr>
          <w:color w:val="595959" w:themeColor="text1" w:themeTint="A6"/>
        </w:rPr>
        <w:t xml:space="preserve">tai </w:t>
      </w:r>
      <w:r w:rsidR="00C30998">
        <w:rPr>
          <w:color w:val="595959" w:themeColor="text1" w:themeTint="A6"/>
        </w:rPr>
        <w:t>lemia</w:t>
      </w:r>
      <w:r w:rsidR="00C30998" w:rsidRPr="004D12D0">
        <w:rPr>
          <w:color w:val="595959" w:themeColor="text1" w:themeTint="A6"/>
        </w:rPr>
        <w:t xml:space="preserve"> didelės apimties geležinkelio ruožo nuo Kaišiadorių iki Kl</w:t>
      </w:r>
      <w:r>
        <w:rPr>
          <w:color w:val="595959" w:themeColor="text1" w:themeTint="A6"/>
        </w:rPr>
        <w:t>aipėdos elektrifikavimo projektas</w:t>
      </w:r>
      <w:r w:rsidR="00C30998" w:rsidRPr="004D12D0">
        <w:rPr>
          <w:color w:val="595959" w:themeColor="text1" w:themeTint="A6"/>
        </w:rPr>
        <w:t>, kuriam numatytos 162 mln. eurų ES investicijos</w:t>
      </w:r>
      <w:r w:rsidR="00C30998">
        <w:rPr>
          <w:color w:val="595959" w:themeColor="text1" w:themeTint="A6"/>
        </w:rPr>
        <w:t>. Didžiausią įtaką vėlavimui turi aplinkosauginiai aspektai (</w:t>
      </w:r>
      <w:r w:rsidR="00C30998" w:rsidRPr="008A6CC5">
        <w:rPr>
          <w:color w:val="595959" w:themeColor="text1" w:themeTint="A6"/>
        </w:rPr>
        <w:t>ne</w:t>
      </w:r>
      <w:r w:rsidR="00426D28">
        <w:rPr>
          <w:color w:val="595959" w:themeColor="text1" w:themeTint="A6"/>
        </w:rPr>
        <w:t xml:space="preserve">pakankamas </w:t>
      </w:r>
      <w:r w:rsidR="005B4C4C">
        <w:rPr>
          <w:color w:val="595959" w:themeColor="text1" w:themeTint="A6"/>
        </w:rPr>
        <w:t>,,</w:t>
      </w:r>
      <w:proofErr w:type="spellStart"/>
      <w:r w:rsidR="00C30998" w:rsidRPr="008A6CC5">
        <w:rPr>
          <w:color w:val="595959" w:themeColor="text1" w:themeTint="A6"/>
        </w:rPr>
        <w:t>Natura</w:t>
      </w:r>
      <w:proofErr w:type="spellEnd"/>
      <w:r w:rsidR="00C30998">
        <w:rPr>
          <w:color w:val="595959" w:themeColor="text1" w:themeTint="A6"/>
        </w:rPr>
        <w:t xml:space="preserve"> </w:t>
      </w:r>
      <w:r w:rsidR="00C30998" w:rsidRPr="008A6CC5">
        <w:rPr>
          <w:color w:val="595959" w:themeColor="text1" w:themeTint="A6"/>
        </w:rPr>
        <w:t>2000</w:t>
      </w:r>
      <w:r w:rsidR="005B4C4C">
        <w:rPr>
          <w:color w:val="595959" w:themeColor="text1" w:themeTint="A6"/>
        </w:rPr>
        <w:t>“</w:t>
      </w:r>
      <w:r w:rsidR="00C30998" w:rsidRPr="008A6CC5">
        <w:rPr>
          <w:color w:val="595959" w:themeColor="text1" w:themeTint="A6"/>
        </w:rPr>
        <w:t xml:space="preserve"> teritorijos apsaugos tiksl</w:t>
      </w:r>
      <w:r w:rsidR="00426D28">
        <w:rPr>
          <w:color w:val="595959" w:themeColor="text1" w:themeTint="A6"/>
        </w:rPr>
        <w:t>ų detalumas</w:t>
      </w:r>
      <w:r w:rsidR="00C30998" w:rsidRPr="008A6CC5">
        <w:rPr>
          <w:color w:val="595959" w:themeColor="text1" w:themeTint="A6"/>
        </w:rPr>
        <w:t xml:space="preserve"> planuojamo įgyvendinti projekto teritorijose</w:t>
      </w:r>
      <w:r w:rsidR="00C30998">
        <w:rPr>
          <w:color w:val="595959" w:themeColor="text1" w:themeTint="A6"/>
        </w:rPr>
        <w:t>)</w:t>
      </w:r>
      <w:r w:rsidR="00C30998" w:rsidRPr="008A6CC5">
        <w:rPr>
          <w:color w:val="595959" w:themeColor="text1" w:themeTint="A6"/>
        </w:rPr>
        <w:t>.</w:t>
      </w:r>
    </w:p>
    <w:p w:rsidR="009D310C" w:rsidRDefault="009D310C" w:rsidP="00DD3B53">
      <w:pPr>
        <w:ind w:firstLine="426"/>
        <w:jc w:val="both"/>
        <w:rPr>
          <w:color w:val="595959" w:themeColor="text1" w:themeTint="A6"/>
        </w:rPr>
      </w:pPr>
      <w:r>
        <w:rPr>
          <w:color w:val="595959" w:themeColor="text1" w:themeTint="A6"/>
        </w:rPr>
        <w:t xml:space="preserve">Ekonomikos ir inovacijų ministerija yra suderinusi sutarčių pasirašymo atidėjimų už 50 mln. eurų. </w:t>
      </w:r>
      <w:r w:rsidR="00A23A4A">
        <w:rPr>
          <w:color w:val="595959" w:themeColor="text1" w:themeTint="A6"/>
        </w:rPr>
        <w:t xml:space="preserve">Viena iš sutarčių pasirašymo atidėjimo priežasčių - identifikuotas papildomas finansavimo poreikis </w:t>
      </w:r>
      <w:r w:rsidR="00A23A4A" w:rsidRPr="00A23A4A">
        <w:rPr>
          <w:color w:val="595959" w:themeColor="text1" w:themeTint="A6"/>
        </w:rPr>
        <w:t>rezerviniuose sąrašuose</w:t>
      </w:r>
      <w:r w:rsidR="00A23A4A">
        <w:rPr>
          <w:color w:val="595959" w:themeColor="text1" w:themeTint="A6"/>
        </w:rPr>
        <w:t xml:space="preserve"> esantiems projektams. Ministerijai</w:t>
      </w:r>
      <w:r w:rsidR="00A23A4A" w:rsidRPr="00A23A4A">
        <w:rPr>
          <w:color w:val="595959" w:themeColor="text1" w:themeTint="A6"/>
        </w:rPr>
        <w:t xml:space="preserve"> </w:t>
      </w:r>
      <w:r w:rsidR="00A23A4A">
        <w:rPr>
          <w:color w:val="595959" w:themeColor="text1" w:themeTint="A6"/>
        </w:rPr>
        <w:t>įsivertinus</w:t>
      </w:r>
      <w:r w:rsidR="00A23A4A" w:rsidRPr="00A23A4A">
        <w:rPr>
          <w:color w:val="595959" w:themeColor="text1" w:themeTint="A6"/>
        </w:rPr>
        <w:t xml:space="preserve"> </w:t>
      </w:r>
      <w:r w:rsidR="00A23A4A">
        <w:rPr>
          <w:color w:val="595959" w:themeColor="text1" w:themeTint="A6"/>
        </w:rPr>
        <w:t xml:space="preserve">galimybę šių projektų finansavimui panaudoti </w:t>
      </w:r>
      <w:r w:rsidR="00A23A4A" w:rsidRPr="00A23A4A">
        <w:rPr>
          <w:color w:val="595959" w:themeColor="text1" w:themeTint="A6"/>
        </w:rPr>
        <w:t>priemonėms įgyvendinti ankščiau skirtas ir likusias nepanaudotas papildomo finansavimo lėšas, taip pat galimas sutaupyti lėšas</w:t>
      </w:r>
      <w:r w:rsidR="00A23A4A">
        <w:rPr>
          <w:color w:val="595959" w:themeColor="text1" w:themeTint="A6"/>
        </w:rPr>
        <w:t>, rezervinių projektų sutartys bus pasirašytos 2021 m.</w:t>
      </w:r>
    </w:p>
    <w:p w:rsidR="006C642C" w:rsidRDefault="00A23A4A" w:rsidP="00DD3B53">
      <w:pPr>
        <w:ind w:firstLine="426"/>
        <w:jc w:val="both"/>
        <w:rPr>
          <w:color w:val="595959" w:themeColor="text1" w:themeTint="A6"/>
        </w:rPr>
      </w:pPr>
      <w:r>
        <w:rPr>
          <w:color w:val="595959" w:themeColor="text1" w:themeTint="A6"/>
        </w:rPr>
        <w:t xml:space="preserve">Trečia, didžiausiai sumai suderinusi sutarčių atidėjimų yra Aplinkos ministerija – </w:t>
      </w:r>
      <w:r w:rsidR="00701310">
        <w:rPr>
          <w:color w:val="595959" w:themeColor="text1" w:themeTint="A6"/>
        </w:rPr>
        <w:t xml:space="preserve">sutarčių atidėta už </w:t>
      </w:r>
      <w:r>
        <w:rPr>
          <w:color w:val="595959" w:themeColor="text1" w:themeTint="A6"/>
        </w:rPr>
        <w:t>29,5 mln. eurų.</w:t>
      </w:r>
      <w:r w:rsidR="00701310">
        <w:rPr>
          <w:color w:val="595959" w:themeColor="text1" w:themeTint="A6"/>
        </w:rPr>
        <w:t xml:space="preserve"> Didžiausią dalį sudaro n</w:t>
      </w:r>
      <w:r w:rsidR="00701310" w:rsidRPr="00701310">
        <w:rPr>
          <w:color w:val="595959" w:themeColor="text1" w:themeTint="A6"/>
        </w:rPr>
        <w:t>uotekų surinkimo tinklų plėtr</w:t>
      </w:r>
      <w:r w:rsidR="00701310">
        <w:rPr>
          <w:color w:val="595959" w:themeColor="text1" w:themeTint="A6"/>
        </w:rPr>
        <w:t>os projektai</w:t>
      </w:r>
      <w:r w:rsidR="00426D28">
        <w:rPr>
          <w:color w:val="595959" w:themeColor="text1" w:themeTint="A6"/>
        </w:rPr>
        <w:t xml:space="preserve">, kuriems </w:t>
      </w:r>
      <w:r w:rsidR="005126A9">
        <w:rPr>
          <w:color w:val="595959" w:themeColor="text1" w:themeTint="A6"/>
        </w:rPr>
        <w:t xml:space="preserve">paskutinis </w:t>
      </w:r>
      <w:r w:rsidR="00426D28">
        <w:rPr>
          <w:color w:val="595959" w:themeColor="text1" w:themeTint="A6"/>
        </w:rPr>
        <w:t>kvietimas teikti paraiškas paskelbtas tik 2021 m. sausio 1 d</w:t>
      </w:r>
      <w:r w:rsidR="00701310">
        <w:rPr>
          <w:color w:val="595959" w:themeColor="text1" w:themeTint="A6"/>
        </w:rPr>
        <w:t xml:space="preserve">. </w:t>
      </w:r>
    </w:p>
    <w:p w:rsidR="00DD3B53" w:rsidRPr="0013780C" w:rsidRDefault="006C642C" w:rsidP="00DD3B53">
      <w:pPr>
        <w:ind w:firstLine="426"/>
        <w:jc w:val="both"/>
        <w:rPr>
          <w:color w:val="595959" w:themeColor="text1" w:themeTint="A6"/>
        </w:rPr>
      </w:pPr>
      <w:r>
        <w:rPr>
          <w:color w:val="595959" w:themeColor="text1" w:themeTint="A6"/>
        </w:rPr>
        <w:t xml:space="preserve">Pasibaigus 2021 m. I </w:t>
      </w:r>
      <w:proofErr w:type="spellStart"/>
      <w:r>
        <w:rPr>
          <w:color w:val="595959" w:themeColor="text1" w:themeTint="A6"/>
        </w:rPr>
        <w:t>ketv</w:t>
      </w:r>
      <w:proofErr w:type="spellEnd"/>
      <w:r>
        <w:rPr>
          <w:color w:val="595959" w:themeColor="text1" w:themeTint="A6"/>
        </w:rPr>
        <w:t xml:space="preserve">. beveik visų ministerijų administruojamose priemonėse </w:t>
      </w:r>
      <w:r w:rsidR="00180938">
        <w:rPr>
          <w:color w:val="595959" w:themeColor="text1" w:themeTint="A6"/>
        </w:rPr>
        <w:t>bendras sudarytų sutarčių rodiklis viršija 100 proc. (3 grafikas).</w:t>
      </w:r>
    </w:p>
    <w:p w:rsidR="00885603" w:rsidRDefault="00885603" w:rsidP="00885603">
      <w:pPr>
        <w:pStyle w:val="tekstas"/>
        <w:rPr>
          <w:rFonts w:ascii="Times New Roman" w:hAnsi="Times New Roman"/>
          <w:color w:val="595959" w:themeColor="text1" w:themeTint="A6"/>
          <w:lang w:eastAsia="lt-LT"/>
        </w:rPr>
      </w:pPr>
    </w:p>
    <w:p w:rsidR="00D427C5" w:rsidRPr="0040787A" w:rsidRDefault="00D427C5" w:rsidP="00D427C5">
      <w:pPr>
        <w:pStyle w:val="Antrat"/>
        <w:keepNext/>
        <w:spacing w:after="0"/>
        <w:jc w:val="center"/>
        <w:rPr>
          <w:rFonts w:ascii="Times New Roman" w:hAnsi="Times New Roman"/>
          <w:noProof/>
          <w:color w:val="365F91" w:themeColor="accent1" w:themeShade="BF"/>
          <w:sz w:val="22"/>
          <w:szCs w:val="22"/>
        </w:rPr>
      </w:pPr>
      <w:r>
        <w:rPr>
          <w:rFonts w:ascii="Times New Roman" w:hAnsi="Times New Roman"/>
          <w:noProof/>
          <w:color w:val="365F91" w:themeColor="accent1" w:themeShade="BF"/>
          <w:sz w:val="22"/>
          <w:szCs w:val="22"/>
        </w:rPr>
        <w:t>3</w:t>
      </w:r>
      <w:r w:rsidRPr="0040787A">
        <w:rPr>
          <w:rFonts w:ascii="Times New Roman" w:hAnsi="Times New Roman"/>
          <w:noProof/>
          <w:color w:val="365F91" w:themeColor="accent1" w:themeShade="BF"/>
          <w:sz w:val="22"/>
          <w:szCs w:val="22"/>
        </w:rPr>
        <w:t xml:space="preserve"> grafikas. Veiksmų programos įgyvendinimas pagal etapu</w:t>
      </w:r>
      <w:r w:rsidR="006C642C">
        <w:rPr>
          <w:rFonts w:ascii="Times New Roman" w:hAnsi="Times New Roman"/>
          <w:noProof/>
          <w:color w:val="365F91" w:themeColor="accent1" w:themeShade="BF"/>
          <w:sz w:val="22"/>
          <w:szCs w:val="22"/>
        </w:rPr>
        <w:t>s ir pagal ministerijas iki 2021</w:t>
      </w:r>
      <w:r w:rsidRPr="0040787A">
        <w:rPr>
          <w:rFonts w:ascii="Times New Roman" w:hAnsi="Times New Roman"/>
          <w:noProof/>
          <w:color w:val="365F91" w:themeColor="accent1" w:themeShade="BF"/>
          <w:sz w:val="22"/>
          <w:szCs w:val="22"/>
        </w:rPr>
        <w:t xml:space="preserve"> m. </w:t>
      </w:r>
      <w:r w:rsidR="006C642C">
        <w:rPr>
          <w:rFonts w:ascii="Times New Roman" w:hAnsi="Times New Roman"/>
          <w:noProof/>
          <w:color w:val="365F91" w:themeColor="accent1" w:themeShade="BF"/>
          <w:sz w:val="22"/>
          <w:szCs w:val="22"/>
        </w:rPr>
        <w:t>kovo</w:t>
      </w:r>
      <w:r>
        <w:rPr>
          <w:rFonts w:ascii="Times New Roman" w:hAnsi="Times New Roman"/>
          <w:noProof/>
          <w:color w:val="365F91" w:themeColor="accent1" w:themeShade="BF"/>
          <w:sz w:val="22"/>
          <w:szCs w:val="22"/>
        </w:rPr>
        <w:t> 31</w:t>
      </w:r>
      <w:r w:rsidR="006C642C">
        <w:rPr>
          <w:rFonts w:ascii="Times New Roman" w:hAnsi="Times New Roman"/>
          <w:noProof/>
          <w:color w:val="365F91" w:themeColor="accent1" w:themeShade="BF"/>
          <w:sz w:val="22"/>
          <w:szCs w:val="22"/>
        </w:rPr>
        <w:t> </w:t>
      </w:r>
      <w:r>
        <w:rPr>
          <w:rFonts w:ascii="Times New Roman" w:hAnsi="Times New Roman"/>
          <w:noProof/>
          <w:color w:val="365F91" w:themeColor="accent1" w:themeShade="BF"/>
          <w:sz w:val="22"/>
          <w:szCs w:val="22"/>
        </w:rPr>
        <w:t>d. (proc.</w:t>
      </w:r>
      <w:r w:rsidRPr="0040787A">
        <w:rPr>
          <w:rFonts w:ascii="Times New Roman" w:hAnsi="Times New Roman"/>
          <w:noProof/>
          <w:color w:val="365F91" w:themeColor="accent1" w:themeShade="BF"/>
          <w:sz w:val="22"/>
          <w:szCs w:val="22"/>
        </w:rPr>
        <w:t xml:space="preserve"> nuo administruojamų ES fondų lėšų</w:t>
      </w:r>
      <w:r>
        <w:rPr>
          <w:rFonts w:ascii="Times New Roman" w:hAnsi="Times New Roman"/>
          <w:noProof/>
          <w:color w:val="365F91" w:themeColor="accent1" w:themeShade="BF"/>
          <w:sz w:val="22"/>
          <w:szCs w:val="22"/>
        </w:rPr>
        <w:t xml:space="preserve"> ir mln. eurų</w:t>
      </w:r>
      <w:r w:rsidRPr="0040787A">
        <w:rPr>
          <w:rFonts w:ascii="Times New Roman" w:hAnsi="Times New Roman"/>
          <w:noProof/>
          <w:color w:val="365F91" w:themeColor="accent1" w:themeShade="BF"/>
          <w:sz w:val="22"/>
          <w:szCs w:val="22"/>
        </w:rPr>
        <w:t>)</w:t>
      </w:r>
    </w:p>
    <w:p w:rsidR="00D427C5" w:rsidRPr="00DF3F93" w:rsidRDefault="00D427C5" w:rsidP="00D427C5">
      <w:pPr>
        <w:rPr>
          <w:sz w:val="16"/>
          <w:szCs w:val="16"/>
        </w:rPr>
      </w:pPr>
    </w:p>
    <w:p w:rsidR="00D427C5" w:rsidRPr="00DF3F93" w:rsidRDefault="006C642C" w:rsidP="00D427C5">
      <w:r>
        <w:rPr>
          <w:noProof/>
          <w:lang w:eastAsia="lt-LT"/>
        </w:rPr>
        <w:drawing>
          <wp:inline distT="0" distB="0" distL="0" distR="0" wp14:anchorId="60C51F1D" wp14:editId="524D6A25">
            <wp:extent cx="6120130" cy="3007284"/>
            <wp:effectExtent l="0" t="0" r="13970" b="22225"/>
            <wp:docPr id="24" name="Diagra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427C5" w:rsidRPr="0040787A" w:rsidRDefault="00D427C5" w:rsidP="00D427C5">
      <w:pPr>
        <w:ind w:firstLine="567"/>
        <w:jc w:val="both"/>
        <w:rPr>
          <w:color w:val="7F7F7F" w:themeColor="text1" w:themeTint="80"/>
          <w:sz w:val="20"/>
          <w:szCs w:val="24"/>
          <w:lang w:eastAsia="lt-LT"/>
        </w:rPr>
      </w:pPr>
      <w:r w:rsidRPr="0040787A">
        <w:rPr>
          <w:color w:val="7F7F7F" w:themeColor="text1" w:themeTint="80"/>
          <w:sz w:val="20"/>
          <w:szCs w:val="24"/>
          <w:lang w:eastAsia="lt-LT"/>
        </w:rPr>
        <w:t>Šaltinis: 2014–2020 metų Europos Sąjungos struktūrinių fondų posistemis (SFMIS2014)</w:t>
      </w:r>
    </w:p>
    <w:p w:rsidR="00D427C5" w:rsidRDefault="00D427C5" w:rsidP="00885603">
      <w:pPr>
        <w:pStyle w:val="tekstas"/>
        <w:rPr>
          <w:rFonts w:ascii="Times New Roman" w:hAnsi="Times New Roman"/>
          <w:color w:val="595959" w:themeColor="text1" w:themeTint="A6"/>
          <w:lang w:eastAsia="lt-LT"/>
        </w:rPr>
      </w:pPr>
    </w:p>
    <w:p w:rsidR="006C642C" w:rsidRDefault="006C642C" w:rsidP="00885603">
      <w:pPr>
        <w:pStyle w:val="tekstas"/>
        <w:rPr>
          <w:rFonts w:ascii="Times New Roman" w:hAnsi="Times New Roman"/>
          <w:color w:val="595959" w:themeColor="text1" w:themeTint="A6"/>
          <w:lang w:eastAsia="lt-LT"/>
        </w:rPr>
      </w:pPr>
    </w:p>
    <w:p w:rsidR="006C642C" w:rsidRDefault="006C642C" w:rsidP="00885603">
      <w:pPr>
        <w:pStyle w:val="tekstas"/>
        <w:rPr>
          <w:rFonts w:ascii="Times New Roman" w:hAnsi="Times New Roman"/>
          <w:color w:val="595959" w:themeColor="text1" w:themeTint="A6"/>
          <w:lang w:eastAsia="lt-LT"/>
        </w:rPr>
      </w:pPr>
    </w:p>
    <w:p w:rsidR="006C642C" w:rsidRDefault="006C642C" w:rsidP="00885603">
      <w:pPr>
        <w:pStyle w:val="tekstas"/>
        <w:rPr>
          <w:rFonts w:ascii="Times New Roman" w:hAnsi="Times New Roman"/>
          <w:color w:val="595959" w:themeColor="text1" w:themeTint="A6"/>
          <w:lang w:eastAsia="lt-LT"/>
        </w:rPr>
      </w:pPr>
    </w:p>
    <w:p w:rsidR="00D427C5" w:rsidRPr="0013780C" w:rsidRDefault="00D427C5" w:rsidP="00D427C5">
      <w:pPr>
        <w:jc w:val="both"/>
        <w:rPr>
          <w:color w:val="595959" w:themeColor="text1" w:themeTint="A6"/>
          <w:u w:val="single"/>
        </w:rPr>
      </w:pPr>
      <w:r w:rsidRPr="0013780C">
        <w:rPr>
          <w:color w:val="595959" w:themeColor="text1" w:themeTint="A6"/>
          <w:u w:val="single"/>
        </w:rPr>
        <w:lastRenderedPageBreak/>
        <w:t>Investicijos.</w:t>
      </w:r>
    </w:p>
    <w:p w:rsidR="00DD3B53" w:rsidRDefault="00DD3B53" w:rsidP="00DD3B53">
      <w:pPr>
        <w:pStyle w:val="tekstas"/>
        <w:rPr>
          <w:rFonts w:ascii="Times New Roman" w:hAnsi="Times New Roman"/>
          <w:color w:val="595959" w:themeColor="text1" w:themeTint="A6"/>
          <w:lang w:eastAsia="lt-LT"/>
        </w:rPr>
      </w:pPr>
      <w:r w:rsidRPr="0013780C">
        <w:rPr>
          <w:rFonts w:ascii="Times New Roman" w:hAnsi="Times New Roman"/>
          <w:color w:val="595959" w:themeColor="text1" w:themeTint="A6"/>
          <w:lang w:eastAsia="lt-LT"/>
        </w:rPr>
        <w:t xml:space="preserve">Įgyvendinant 2014–2020 m. finansavimo laikotarpio ES fondų lėšomis finansuojamus projektus, iš viso investuota </w:t>
      </w:r>
      <w:r>
        <w:rPr>
          <w:rFonts w:ascii="Times New Roman" w:hAnsi="Times New Roman"/>
          <w:color w:val="595959" w:themeColor="text1" w:themeTint="A6"/>
          <w:lang w:eastAsia="lt-LT"/>
        </w:rPr>
        <w:t>4,</w:t>
      </w:r>
      <w:r w:rsidR="006C642C">
        <w:rPr>
          <w:rFonts w:ascii="Times New Roman" w:hAnsi="Times New Roman"/>
          <w:color w:val="595959" w:themeColor="text1" w:themeTint="A6"/>
          <w:lang w:eastAsia="lt-LT"/>
        </w:rPr>
        <w:t>3 mlrd. eurų (65</w:t>
      </w:r>
      <w:r>
        <w:rPr>
          <w:rFonts w:ascii="Times New Roman" w:hAnsi="Times New Roman"/>
          <w:color w:val="595959" w:themeColor="text1" w:themeTint="A6"/>
          <w:lang w:eastAsia="lt-LT"/>
        </w:rPr>
        <w:t xml:space="preserve"> proc.). Per 2020 metus</w:t>
      </w:r>
      <w:r w:rsidRPr="0013780C">
        <w:rPr>
          <w:rFonts w:ascii="Times New Roman" w:hAnsi="Times New Roman"/>
          <w:color w:val="595959" w:themeColor="text1" w:themeTint="A6"/>
          <w:lang w:eastAsia="lt-LT"/>
        </w:rPr>
        <w:t xml:space="preserve"> investuota </w:t>
      </w:r>
      <w:r>
        <w:rPr>
          <w:rFonts w:ascii="Times New Roman" w:hAnsi="Times New Roman"/>
          <w:color w:val="595959" w:themeColor="text1" w:themeTint="A6"/>
          <w:lang w:eastAsia="lt-LT"/>
        </w:rPr>
        <w:t>1,18 mlrd</w:t>
      </w:r>
      <w:r w:rsidRPr="0013780C">
        <w:rPr>
          <w:rFonts w:ascii="Times New Roman" w:hAnsi="Times New Roman"/>
          <w:color w:val="595959" w:themeColor="text1" w:themeTint="A6"/>
          <w:lang w:eastAsia="lt-LT"/>
        </w:rPr>
        <w:t>. eurų ES fondų lėšų (</w:t>
      </w:r>
      <w:r>
        <w:rPr>
          <w:rFonts w:ascii="Times New Roman" w:hAnsi="Times New Roman"/>
          <w:color w:val="595959" w:themeColor="text1" w:themeTint="A6"/>
          <w:lang w:eastAsia="lt-LT"/>
        </w:rPr>
        <w:t>18</w:t>
      </w:r>
      <w:r w:rsidRPr="0013780C">
        <w:rPr>
          <w:rFonts w:ascii="Times New Roman" w:hAnsi="Times New Roman"/>
          <w:color w:val="595959" w:themeColor="text1" w:themeTint="A6"/>
          <w:lang w:eastAsia="lt-LT"/>
        </w:rPr>
        <w:t xml:space="preserve"> proc.).</w:t>
      </w:r>
      <w:r>
        <w:rPr>
          <w:rFonts w:ascii="Times New Roman" w:hAnsi="Times New Roman"/>
          <w:color w:val="595959" w:themeColor="text1" w:themeTint="A6"/>
          <w:lang w:eastAsia="lt-LT"/>
        </w:rPr>
        <w:t xml:space="preserve"> </w:t>
      </w:r>
      <w:r w:rsidR="006C642C">
        <w:rPr>
          <w:rFonts w:ascii="Times New Roman" w:hAnsi="Times New Roman"/>
          <w:color w:val="595959" w:themeColor="text1" w:themeTint="A6"/>
          <w:lang w:eastAsia="lt-LT"/>
        </w:rPr>
        <w:t xml:space="preserve">Per 2021 m. I </w:t>
      </w:r>
      <w:proofErr w:type="spellStart"/>
      <w:r w:rsidR="006C642C">
        <w:rPr>
          <w:rFonts w:ascii="Times New Roman" w:hAnsi="Times New Roman"/>
          <w:color w:val="595959" w:themeColor="text1" w:themeTint="A6"/>
          <w:lang w:eastAsia="lt-LT"/>
        </w:rPr>
        <w:t>ketv</w:t>
      </w:r>
      <w:proofErr w:type="spellEnd"/>
      <w:r w:rsidR="006C642C">
        <w:rPr>
          <w:rFonts w:ascii="Times New Roman" w:hAnsi="Times New Roman"/>
          <w:color w:val="595959" w:themeColor="text1" w:themeTint="A6"/>
          <w:lang w:eastAsia="lt-LT"/>
        </w:rPr>
        <w:t xml:space="preserve">. projektuose investuotų lėšų suma padidėjo 195 mln. eurų </w:t>
      </w:r>
      <w:r w:rsidR="00350F11">
        <w:rPr>
          <w:rFonts w:ascii="Times New Roman" w:hAnsi="Times New Roman"/>
          <w:color w:val="595959" w:themeColor="text1" w:themeTint="A6"/>
          <w:lang w:eastAsia="lt-LT"/>
        </w:rPr>
        <w:t>(3 proc.) ES fondų lėšų.</w:t>
      </w:r>
    </w:p>
    <w:p w:rsidR="00AD0A1F" w:rsidRPr="00834543" w:rsidRDefault="00AD0A1F" w:rsidP="00AD0A1F">
      <w:pPr>
        <w:pStyle w:val="tekstas"/>
        <w:rPr>
          <w:rFonts w:ascii="Times New Roman" w:hAnsi="Times New Roman"/>
          <w:color w:val="595959" w:themeColor="text1" w:themeTint="A6"/>
          <w:szCs w:val="20"/>
        </w:rPr>
      </w:pPr>
      <w:r w:rsidRPr="00834543">
        <w:rPr>
          <w:rFonts w:ascii="Times New Roman" w:hAnsi="Times New Roman"/>
          <w:color w:val="595959" w:themeColor="text1" w:themeTint="A6"/>
          <w:szCs w:val="20"/>
        </w:rPr>
        <w:t xml:space="preserve">EK </w:t>
      </w:r>
      <w:r w:rsidR="00367F59" w:rsidRPr="00834543">
        <w:rPr>
          <w:rFonts w:ascii="Times New Roman" w:hAnsi="Times New Roman"/>
          <w:color w:val="595959" w:themeColor="text1" w:themeTint="A6"/>
          <w:szCs w:val="20"/>
        </w:rPr>
        <w:t xml:space="preserve">iš viso </w:t>
      </w:r>
      <w:r w:rsidR="00834543" w:rsidRPr="00834543">
        <w:rPr>
          <w:rFonts w:ascii="Times New Roman" w:hAnsi="Times New Roman"/>
          <w:color w:val="595959" w:themeColor="text1" w:themeTint="A6"/>
          <w:szCs w:val="20"/>
        </w:rPr>
        <w:t>deklaruota 3,7 mlrd. eurų (55</w:t>
      </w:r>
      <w:r w:rsidRPr="00834543">
        <w:rPr>
          <w:rFonts w:ascii="Times New Roman" w:hAnsi="Times New Roman"/>
          <w:color w:val="595959" w:themeColor="text1" w:themeTint="A6"/>
          <w:szCs w:val="20"/>
        </w:rPr>
        <w:t xml:space="preserve"> proc.), iš kurių treč</w:t>
      </w:r>
      <w:r w:rsidR="00834543" w:rsidRPr="00834543">
        <w:rPr>
          <w:rFonts w:ascii="Times New Roman" w:hAnsi="Times New Roman"/>
          <w:color w:val="595959" w:themeColor="text1" w:themeTint="A6"/>
          <w:szCs w:val="20"/>
        </w:rPr>
        <w:t>dalis (1,3</w:t>
      </w:r>
      <w:r w:rsidRPr="00834543">
        <w:rPr>
          <w:rFonts w:ascii="Times New Roman" w:hAnsi="Times New Roman"/>
          <w:color w:val="595959" w:themeColor="text1" w:themeTint="A6"/>
          <w:szCs w:val="20"/>
        </w:rPr>
        <w:t xml:space="preserve"> mlrd. eurų) deklaruota 2020 metais. (2 grafikas).</w:t>
      </w:r>
    </w:p>
    <w:p w:rsidR="00D427C5" w:rsidRPr="0013780C" w:rsidRDefault="00350F11" w:rsidP="00D427C5">
      <w:pPr>
        <w:ind w:firstLine="426"/>
        <w:jc w:val="both"/>
        <w:rPr>
          <w:color w:val="595959" w:themeColor="text1" w:themeTint="A6"/>
        </w:rPr>
      </w:pPr>
      <w:r>
        <w:rPr>
          <w:color w:val="595959" w:themeColor="text1" w:themeTint="A6"/>
        </w:rPr>
        <w:t>Nuo periodo pradžios iki 2021</w:t>
      </w:r>
      <w:r w:rsidR="00D427C5" w:rsidRPr="0013780C">
        <w:rPr>
          <w:color w:val="595959" w:themeColor="text1" w:themeTint="A6"/>
        </w:rPr>
        <w:t xml:space="preserve"> m. </w:t>
      </w:r>
      <w:r>
        <w:rPr>
          <w:color w:val="595959" w:themeColor="text1" w:themeTint="A6"/>
        </w:rPr>
        <w:t>kovo</w:t>
      </w:r>
      <w:r w:rsidR="00180938">
        <w:rPr>
          <w:color w:val="595959" w:themeColor="text1" w:themeTint="A6"/>
        </w:rPr>
        <w:t xml:space="preserve"> 31</w:t>
      </w:r>
      <w:r w:rsidR="00D427C5" w:rsidRPr="0013780C">
        <w:rPr>
          <w:color w:val="595959" w:themeColor="text1" w:themeTint="A6"/>
        </w:rPr>
        <w:t xml:space="preserve"> d. didžiausią dalį ministerijoms skirtų ES fondų lėšų investavusios </w:t>
      </w:r>
      <w:r w:rsidR="00180938">
        <w:rPr>
          <w:color w:val="595959" w:themeColor="text1" w:themeTint="A6"/>
        </w:rPr>
        <w:t>išlieka</w:t>
      </w:r>
      <w:r w:rsidR="00D427C5" w:rsidRPr="0013780C">
        <w:rPr>
          <w:color w:val="595959" w:themeColor="text1" w:themeTint="A6"/>
        </w:rPr>
        <w:t xml:space="preserve"> Socialinės apsaugos ir darbo (</w:t>
      </w:r>
      <w:r>
        <w:rPr>
          <w:color w:val="595959" w:themeColor="text1" w:themeTint="A6"/>
        </w:rPr>
        <w:t>83</w:t>
      </w:r>
      <w:r w:rsidR="00D427C5" w:rsidRPr="0013780C">
        <w:rPr>
          <w:color w:val="595959" w:themeColor="text1" w:themeTint="A6"/>
        </w:rPr>
        <w:t xml:space="preserve"> proc.) ir Aplinkos (</w:t>
      </w:r>
      <w:r>
        <w:rPr>
          <w:color w:val="595959" w:themeColor="text1" w:themeTint="A6"/>
        </w:rPr>
        <w:t>71</w:t>
      </w:r>
      <w:r w:rsidR="00D427C5" w:rsidRPr="0013780C">
        <w:rPr>
          <w:color w:val="595959" w:themeColor="text1" w:themeTint="A6"/>
        </w:rPr>
        <w:t xml:space="preserve"> proc</w:t>
      </w:r>
      <w:r w:rsidR="00180938">
        <w:rPr>
          <w:color w:val="595959" w:themeColor="text1" w:themeTint="A6"/>
        </w:rPr>
        <w:t>.) ministerijos. Per 2020 metus</w:t>
      </w:r>
      <w:r w:rsidR="00D427C5" w:rsidRPr="0013780C">
        <w:rPr>
          <w:color w:val="595959" w:themeColor="text1" w:themeTint="A6"/>
        </w:rPr>
        <w:t>, lyginant su kitomis ministerijomis, didžiausia lėšų dalis investuota Socialinės apsaugos ir darbo ministerijos</w:t>
      </w:r>
      <w:r w:rsidR="00880576">
        <w:rPr>
          <w:color w:val="595959" w:themeColor="text1" w:themeTint="A6"/>
        </w:rPr>
        <w:t xml:space="preserve"> (30 proc.),</w:t>
      </w:r>
      <w:r w:rsidR="00D427C5" w:rsidRPr="0013780C">
        <w:rPr>
          <w:color w:val="595959" w:themeColor="text1" w:themeTint="A6"/>
        </w:rPr>
        <w:t xml:space="preserve"> Sveikatos apsaugos ministerijos </w:t>
      </w:r>
      <w:r w:rsidR="00880576">
        <w:rPr>
          <w:color w:val="595959" w:themeColor="text1" w:themeTint="A6"/>
        </w:rPr>
        <w:t xml:space="preserve">(22 proc.), Švietimo, mokslo ir sporto </w:t>
      </w:r>
      <w:r w:rsidR="00471827">
        <w:rPr>
          <w:color w:val="595959" w:themeColor="text1" w:themeTint="A6"/>
        </w:rPr>
        <w:t>bei</w:t>
      </w:r>
      <w:r w:rsidR="00880576">
        <w:rPr>
          <w:color w:val="595959" w:themeColor="text1" w:themeTint="A6"/>
        </w:rPr>
        <w:t xml:space="preserve"> Vidaus reikalų ministerijų (po 20 proc.) </w:t>
      </w:r>
      <w:r w:rsidR="00D427C5" w:rsidRPr="0013780C">
        <w:rPr>
          <w:color w:val="595959" w:themeColor="text1" w:themeTint="A6"/>
        </w:rPr>
        <w:t>administruojamose priemonėse.</w:t>
      </w:r>
      <w:r>
        <w:rPr>
          <w:color w:val="595959" w:themeColor="text1" w:themeTint="A6"/>
        </w:rPr>
        <w:t xml:space="preserve"> Per I š. m. ketvirtį didžiausia investicijų sparta buvo </w:t>
      </w:r>
      <w:r w:rsidRPr="00350F11">
        <w:rPr>
          <w:color w:val="595959" w:themeColor="text1" w:themeTint="A6"/>
        </w:rPr>
        <w:t>Švietimo, mokslo ir sporto</w:t>
      </w:r>
      <w:r>
        <w:rPr>
          <w:color w:val="595959" w:themeColor="text1" w:themeTint="A6"/>
        </w:rPr>
        <w:t xml:space="preserve"> ministerijos administruojamose priemonėse – 4,6 proc.</w:t>
      </w:r>
    </w:p>
    <w:p w:rsidR="00D427C5" w:rsidRPr="0013780C" w:rsidRDefault="00D427C5" w:rsidP="00D427C5">
      <w:pPr>
        <w:ind w:firstLine="426"/>
        <w:jc w:val="both"/>
        <w:rPr>
          <w:color w:val="595959" w:themeColor="text1" w:themeTint="A6"/>
        </w:rPr>
      </w:pPr>
      <w:r w:rsidRPr="0013780C">
        <w:rPr>
          <w:color w:val="595959" w:themeColor="text1" w:themeTint="A6"/>
        </w:rPr>
        <w:t xml:space="preserve">Mažiausia lėšų dalis nuo periodo pradžios investuota Ekonomikos ir inovacijų ministerijos ir </w:t>
      </w:r>
      <w:r w:rsidR="00880576">
        <w:rPr>
          <w:color w:val="595959" w:themeColor="text1" w:themeTint="A6"/>
        </w:rPr>
        <w:t>Energetikos</w:t>
      </w:r>
      <w:r w:rsidRPr="0013780C">
        <w:rPr>
          <w:color w:val="595959" w:themeColor="text1" w:themeTint="A6"/>
        </w:rPr>
        <w:t xml:space="preserve"> ministerijos administruojamose priemonėse</w:t>
      </w:r>
      <w:r w:rsidR="00880576">
        <w:rPr>
          <w:color w:val="595959" w:themeColor="text1" w:themeTint="A6"/>
        </w:rPr>
        <w:t xml:space="preserve"> </w:t>
      </w:r>
      <w:r w:rsidR="00880576" w:rsidRPr="0013780C">
        <w:rPr>
          <w:color w:val="595959" w:themeColor="text1" w:themeTint="A6"/>
        </w:rPr>
        <w:t>(</w:t>
      </w:r>
      <w:r w:rsidR="00471827">
        <w:rPr>
          <w:color w:val="595959" w:themeColor="text1" w:themeTint="A6"/>
        </w:rPr>
        <w:t xml:space="preserve">nuo periodo pradžios </w:t>
      </w:r>
      <w:r w:rsidR="00096C30">
        <w:rPr>
          <w:color w:val="595959" w:themeColor="text1" w:themeTint="A6"/>
        </w:rPr>
        <w:t>po 57</w:t>
      </w:r>
      <w:r w:rsidR="00880576" w:rsidRPr="0013780C">
        <w:rPr>
          <w:color w:val="595959" w:themeColor="text1" w:themeTint="A6"/>
        </w:rPr>
        <w:t xml:space="preserve"> proc.)</w:t>
      </w:r>
      <w:r w:rsidRPr="0013780C">
        <w:rPr>
          <w:color w:val="595959" w:themeColor="text1" w:themeTint="A6"/>
        </w:rPr>
        <w:t>.</w:t>
      </w:r>
      <w:r>
        <w:rPr>
          <w:color w:val="595959" w:themeColor="text1" w:themeTint="A6"/>
        </w:rPr>
        <w:t xml:space="preserve"> </w:t>
      </w:r>
      <w:r w:rsidR="00880576">
        <w:rPr>
          <w:color w:val="595959" w:themeColor="text1" w:themeTint="A6"/>
        </w:rPr>
        <w:t xml:space="preserve">Mažiausia investicijų sparta per </w:t>
      </w:r>
      <w:r w:rsidR="00096C30">
        <w:rPr>
          <w:color w:val="595959" w:themeColor="text1" w:themeTint="A6"/>
        </w:rPr>
        <w:t>2020</w:t>
      </w:r>
      <w:r w:rsidR="00880576">
        <w:rPr>
          <w:color w:val="595959" w:themeColor="text1" w:themeTint="A6"/>
        </w:rPr>
        <w:t xml:space="preserve"> m</w:t>
      </w:r>
      <w:r w:rsidR="00096C30">
        <w:rPr>
          <w:color w:val="595959" w:themeColor="text1" w:themeTint="A6"/>
        </w:rPr>
        <w:t>.</w:t>
      </w:r>
      <w:r w:rsidR="00880576">
        <w:rPr>
          <w:color w:val="595959" w:themeColor="text1" w:themeTint="A6"/>
        </w:rPr>
        <w:t xml:space="preserve"> </w:t>
      </w:r>
      <w:r w:rsidR="00471827">
        <w:rPr>
          <w:color w:val="595959" w:themeColor="text1" w:themeTint="A6"/>
        </w:rPr>
        <w:t xml:space="preserve">– </w:t>
      </w:r>
      <w:r w:rsidR="00880576">
        <w:rPr>
          <w:color w:val="595959" w:themeColor="text1" w:themeTint="A6"/>
        </w:rPr>
        <w:t xml:space="preserve">Susisiekimo (12 proc.) ir Aplinkos (14 proc.) ministerijų administruojamose priemonėse </w:t>
      </w:r>
      <w:r w:rsidR="00AD0A1F">
        <w:rPr>
          <w:color w:val="595959" w:themeColor="text1" w:themeTint="A6"/>
        </w:rPr>
        <w:t>(3 grafikas).</w:t>
      </w:r>
    </w:p>
    <w:p w:rsidR="002D177D" w:rsidRDefault="002D177D" w:rsidP="002D177D">
      <w:pPr>
        <w:rPr>
          <w:color w:val="595959" w:themeColor="text1" w:themeTint="A6"/>
          <w:lang w:eastAsia="lt-LT"/>
        </w:rPr>
      </w:pPr>
    </w:p>
    <w:p w:rsidR="00885603" w:rsidRDefault="00D427C5" w:rsidP="00885603">
      <w:pPr>
        <w:pStyle w:val="Antrat"/>
        <w:keepNext/>
        <w:spacing w:after="0"/>
        <w:jc w:val="center"/>
        <w:rPr>
          <w:rFonts w:ascii="Times New Roman" w:hAnsi="Times New Roman"/>
          <w:noProof/>
          <w:color w:val="365F91" w:themeColor="accent1" w:themeShade="BF"/>
          <w:sz w:val="22"/>
          <w:szCs w:val="22"/>
        </w:rPr>
      </w:pPr>
      <w:r>
        <w:rPr>
          <w:rFonts w:ascii="Times New Roman" w:hAnsi="Times New Roman"/>
          <w:noProof/>
          <w:color w:val="365F91" w:themeColor="accent1" w:themeShade="BF"/>
          <w:sz w:val="22"/>
          <w:szCs w:val="22"/>
        </w:rPr>
        <w:t>4</w:t>
      </w:r>
      <w:r w:rsidR="00885603" w:rsidRPr="0040787A">
        <w:rPr>
          <w:rFonts w:ascii="Times New Roman" w:hAnsi="Times New Roman"/>
          <w:noProof/>
          <w:color w:val="365F91" w:themeColor="accent1" w:themeShade="BF"/>
          <w:sz w:val="22"/>
          <w:szCs w:val="22"/>
        </w:rPr>
        <w:t xml:space="preserve"> grafikas. </w:t>
      </w:r>
      <w:r w:rsidR="00885603">
        <w:rPr>
          <w:rFonts w:ascii="Times New Roman" w:hAnsi="Times New Roman"/>
          <w:noProof/>
          <w:color w:val="365F91" w:themeColor="accent1" w:themeShade="BF"/>
          <w:sz w:val="22"/>
          <w:szCs w:val="22"/>
        </w:rPr>
        <w:t>Išmokėjimai 2017-202</w:t>
      </w:r>
      <w:r w:rsidR="00C30998">
        <w:rPr>
          <w:rFonts w:ascii="Times New Roman" w:hAnsi="Times New Roman"/>
          <w:noProof/>
          <w:color w:val="365F91" w:themeColor="accent1" w:themeShade="BF"/>
          <w:sz w:val="22"/>
          <w:szCs w:val="22"/>
        </w:rPr>
        <w:t>1</w:t>
      </w:r>
      <w:r w:rsidR="00885603">
        <w:rPr>
          <w:rFonts w:ascii="Times New Roman" w:hAnsi="Times New Roman"/>
          <w:noProof/>
          <w:color w:val="365F91" w:themeColor="accent1" w:themeShade="BF"/>
          <w:sz w:val="22"/>
          <w:szCs w:val="22"/>
        </w:rPr>
        <w:t xml:space="preserve"> metais (mln. eurų</w:t>
      </w:r>
      <w:r w:rsidR="00885603" w:rsidRPr="0040787A">
        <w:rPr>
          <w:rFonts w:ascii="Times New Roman" w:hAnsi="Times New Roman"/>
          <w:noProof/>
          <w:color w:val="365F91" w:themeColor="accent1" w:themeShade="BF"/>
          <w:sz w:val="22"/>
          <w:szCs w:val="22"/>
        </w:rPr>
        <w:t>)</w:t>
      </w:r>
    </w:p>
    <w:p w:rsidR="00885603" w:rsidRPr="00885603" w:rsidRDefault="00885603" w:rsidP="00885603">
      <w:pPr>
        <w:rPr>
          <w:sz w:val="16"/>
          <w:szCs w:val="16"/>
        </w:rPr>
      </w:pPr>
    </w:p>
    <w:p w:rsidR="00974DE6" w:rsidRDefault="00096C30" w:rsidP="00974DE6">
      <w:pPr>
        <w:jc w:val="center"/>
        <w:rPr>
          <w:color w:val="595959" w:themeColor="text1" w:themeTint="A6"/>
          <w:lang w:eastAsia="lt-LT"/>
        </w:rPr>
      </w:pPr>
      <w:r>
        <w:rPr>
          <w:noProof/>
          <w:lang w:eastAsia="lt-LT"/>
        </w:rPr>
        <w:drawing>
          <wp:inline distT="0" distB="0" distL="0" distR="0" wp14:anchorId="57DF3F6E" wp14:editId="22F1A2FB">
            <wp:extent cx="4343400" cy="2743200"/>
            <wp:effectExtent l="0" t="0" r="19050" b="19050"/>
            <wp:docPr id="31" name="Diagrama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85603" w:rsidRPr="0040787A" w:rsidRDefault="00885603" w:rsidP="00885603">
      <w:pPr>
        <w:pStyle w:val="Antrat"/>
        <w:keepNext/>
        <w:spacing w:after="0"/>
        <w:jc w:val="center"/>
        <w:rPr>
          <w:rFonts w:ascii="Times New Roman" w:hAnsi="Times New Roman"/>
          <w:b w:val="0"/>
          <w:color w:val="7F7F7F" w:themeColor="text1" w:themeTint="80"/>
          <w:sz w:val="20"/>
          <w:szCs w:val="24"/>
          <w:lang w:eastAsia="lt-LT"/>
        </w:rPr>
      </w:pPr>
      <w:r w:rsidRPr="0040787A">
        <w:rPr>
          <w:rFonts w:ascii="Times New Roman" w:hAnsi="Times New Roman"/>
          <w:b w:val="0"/>
          <w:color w:val="7F7F7F" w:themeColor="text1" w:themeTint="80"/>
          <w:sz w:val="20"/>
          <w:szCs w:val="24"/>
          <w:lang w:eastAsia="lt-LT"/>
        </w:rPr>
        <w:t>Šaltinis: 2014–2020 metų Europos Sąjungos struktūrinių fondų posistemis (SFMIS2014).</w:t>
      </w:r>
    </w:p>
    <w:p w:rsidR="00974DE6" w:rsidRDefault="00974DE6" w:rsidP="002D177D">
      <w:pPr>
        <w:rPr>
          <w:color w:val="595959" w:themeColor="text1" w:themeTint="A6"/>
          <w:lang w:eastAsia="lt-LT"/>
        </w:rPr>
      </w:pPr>
    </w:p>
    <w:p w:rsidR="0033499B" w:rsidRDefault="00096C30" w:rsidP="0033499B">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2020</w:t>
      </w:r>
      <w:r w:rsidR="00367F59">
        <w:rPr>
          <w:rFonts w:ascii="Times New Roman" w:hAnsi="Times New Roman"/>
          <w:color w:val="595959" w:themeColor="text1" w:themeTint="A6"/>
          <w:lang w:eastAsia="lt-LT"/>
        </w:rPr>
        <w:t xml:space="preserve"> metų investicijos </w:t>
      </w:r>
      <w:r>
        <w:rPr>
          <w:rFonts w:ascii="Times New Roman" w:hAnsi="Times New Roman"/>
          <w:color w:val="595959" w:themeColor="text1" w:themeTint="A6"/>
          <w:lang w:eastAsia="lt-LT"/>
        </w:rPr>
        <w:t>buvo</w:t>
      </w:r>
      <w:r w:rsidR="00367F59">
        <w:rPr>
          <w:rFonts w:ascii="Times New Roman" w:hAnsi="Times New Roman"/>
          <w:color w:val="595959" w:themeColor="text1" w:themeTint="A6"/>
          <w:lang w:eastAsia="lt-LT"/>
        </w:rPr>
        <w:t xml:space="preserve"> didžiausio</w:t>
      </w:r>
      <w:r w:rsidR="00A76C25">
        <w:rPr>
          <w:rFonts w:ascii="Times New Roman" w:hAnsi="Times New Roman"/>
          <w:color w:val="595959" w:themeColor="text1" w:themeTint="A6"/>
          <w:lang w:eastAsia="lt-LT"/>
        </w:rPr>
        <w:t>s</w:t>
      </w:r>
      <w:r w:rsidR="00885603">
        <w:rPr>
          <w:rFonts w:ascii="Times New Roman" w:hAnsi="Times New Roman"/>
          <w:color w:val="595959" w:themeColor="text1" w:themeTint="A6"/>
          <w:lang w:eastAsia="lt-LT"/>
        </w:rPr>
        <w:t xml:space="preserve"> lyginant su ankstesniais veiksmų programos įgyvendinimo metais. </w:t>
      </w:r>
      <w:r w:rsidR="00EE1478">
        <w:rPr>
          <w:rFonts w:ascii="Times New Roman" w:hAnsi="Times New Roman"/>
          <w:color w:val="595959" w:themeColor="text1" w:themeTint="A6"/>
          <w:lang w:eastAsia="lt-LT"/>
        </w:rPr>
        <w:t xml:space="preserve">2020 m. investuota </w:t>
      </w:r>
      <w:r w:rsidR="00FC595F">
        <w:rPr>
          <w:rFonts w:ascii="Times New Roman" w:hAnsi="Times New Roman"/>
          <w:color w:val="595959" w:themeColor="text1" w:themeTint="A6"/>
          <w:lang w:eastAsia="lt-LT"/>
        </w:rPr>
        <w:t>beveik trečdalis per visą laikotarpį investuotų lėšų</w:t>
      </w:r>
      <w:r w:rsidR="0033499B">
        <w:rPr>
          <w:rFonts w:ascii="Times New Roman" w:hAnsi="Times New Roman"/>
          <w:color w:val="595959" w:themeColor="text1" w:themeTint="A6"/>
          <w:lang w:eastAsia="lt-LT"/>
        </w:rPr>
        <w:t xml:space="preserve"> </w:t>
      </w:r>
      <w:r w:rsidR="00D427C5">
        <w:rPr>
          <w:rFonts w:ascii="Times New Roman" w:hAnsi="Times New Roman"/>
          <w:color w:val="595959" w:themeColor="text1" w:themeTint="A6"/>
          <w:lang w:eastAsia="lt-LT"/>
        </w:rPr>
        <w:t>(4</w:t>
      </w:r>
      <w:r w:rsidR="00E36763">
        <w:rPr>
          <w:rFonts w:ascii="Times New Roman" w:hAnsi="Times New Roman"/>
          <w:color w:val="595959" w:themeColor="text1" w:themeTint="A6"/>
          <w:lang w:eastAsia="lt-LT"/>
        </w:rPr>
        <w:t xml:space="preserve"> grafikas). </w:t>
      </w:r>
      <w:r w:rsidR="00FC595F">
        <w:rPr>
          <w:rFonts w:ascii="Times New Roman" w:hAnsi="Times New Roman"/>
          <w:color w:val="595959" w:themeColor="text1" w:themeTint="A6"/>
          <w:lang w:eastAsia="lt-LT"/>
        </w:rPr>
        <w:t>T</w:t>
      </w:r>
      <w:r w:rsidR="00EE1478">
        <w:rPr>
          <w:rFonts w:ascii="Times New Roman" w:hAnsi="Times New Roman"/>
          <w:color w:val="595959" w:themeColor="text1" w:themeTint="A6"/>
          <w:lang w:eastAsia="lt-LT"/>
        </w:rPr>
        <w:t>ačiau siekiant užtikrinti projektų įgyvendinimą ir Lietuvai skirtų lėšų investavimą laiku (iki 2023 m. spalio mėn.) būtina išlaikyti investicijų spartą</w:t>
      </w:r>
      <w:r w:rsidR="00471827">
        <w:rPr>
          <w:rFonts w:ascii="Times New Roman" w:hAnsi="Times New Roman"/>
          <w:color w:val="595959" w:themeColor="text1" w:themeTint="A6"/>
          <w:lang w:eastAsia="lt-LT"/>
        </w:rPr>
        <w:t xml:space="preserve"> ir 2021 m. investuoti</w:t>
      </w:r>
      <w:r w:rsidR="00C30998">
        <w:rPr>
          <w:rFonts w:ascii="Times New Roman" w:hAnsi="Times New Roman"/>
          <w:color w:val="595959" w:themeColor="text1" w:themeTint="A6"/>
          <w:lang w:eastAsia="lt-LT"/>
        </w:rPr>
        <w:t xml:space="preserve"> 1,6</w:t>
      </w:r>
      <w:r w:rsidR="00471827">
        <w:rPr>
          <w:rFonts w:ascii="Times New Roman" w:hAnsi="Times New Roman"/>
          <w:color w:val="595959" w:themeColor="text1" w:themeTint="A6"/>
          <w:lang w:eastAsia="lt-LT"/>
        </w:rPr>
        <w:t xml:space="preserve"> mlrd. </w:t>
      </w:r>
      <w:r w:rsidR="00C30998">
        <w:rPr>
          <w:rFonts w:ascii="Times New Roman" w:hAnsi="Times New Roman"/>
          <w:color w:val="595959" w:themeColor="text1" w:themeTint="A6"/>
          <w:lang w:eastAsia="lt-LT"/>
        </w:rPr>
        <w:t>e</w:t>
      </w:r>
      <w:r w:rsidR="00471827">
        <w:rPr>
          <w:rFonts w:ascii="Times New Roman" w:hAnsi="Times New Roman"/>
          <w:color w:val="595959" w:themeColor="text1" w:themeTint="A6"/>
          <w:lang w:eastAsia="lt-LT"/>
        </w:rPr>
        <w:t>urų</w:t>
      </w:r>
      <w:r w:rsidR="00EE1478">
        <w:rPr>
          <w:rFonts w:ascii="Times New Roman" w:hAnsi="Times New Roman"/>
          <w:color w:val="595959" w:themeColor="text1" w:themeTint="A6"/>
          <w:lang w:eastAsia="lt-LT"/>
        </w:rPr>
        <w:t>.</w:t>
      </w:r>
    </w:p>
    <w:p w:rsidR="00885603" w:rsidRPr="0013780C" w:rsidRDefault="00E36763" w:rsidP="0033499B">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A</w:t>
      </w:r>
      <w:r w:rsidR="0033499B">
        <w:rPr>
          <w:rFonts w:ascii="Times New Roman" w:hAnsi="Times New Roman"/>
          <w:color w:val="595959" w:themeColor="text1" w:themeTint="A6"/>
          <w:lang w:eastAsia="lt-LT"/>
        </w:rPr>
        <w:t>tkreiptinas dėmesys, kad EK patvirtinus naują iniciatyvą „</w:t>
      </w:r>
      <w:proofErr w:type="spellStart"/>
      <w:r w:rsidR="0033499B">
        <w:rPr>
          <w:rFonts w:ascii="Times New Roman" w:hAnsi="Times New Roman"/>
          <w:color w:val="595959" w:themeColor="text1" w:themeTint="A6"/>
          <w:lang w:eastAsia="lt-LT"/>
        </w:rPr>
        <w:t>React-EU“</w:t>
      </w:r>
      <w:proofErr w:type="spellEnd"/>
      <w:r w:rsidR="0033499B">
        <w:rPr>
          <w:rFonts w:ascii="Times New Roman" w:hAnsi="Times New Roman"/>
          <w:color w:val="595959" w:themeColor="text1" w:themeTint="A6"/>
          <w:lang w:eastAsia="lt-LT"/>
        </w:rPr>
        <w:t xml:space="preserve"> bus didinamos 2014-2020 m. Veiksmų programai skirtos lėšos (apie 340 mln. eurų). </w:t>
      </w:r>
      <w:r>
        <w:rPr>
          <w:rFonts w:ascii="Times New Roman" w:hAnsi="Times New Roman"/>
          <w:color w:val="595959" w:themeColor="text1" w:themeTint="A6"/>
          <w:lang w:eastAsia="lt-LT"/>
        </w:rPr>
        <w:t>Dar neinvestuotoms</w:t>
      </w:r>
      <w:r w:rsidR="00A76C25">
        <w:rPr>
          <w:rFonts w:ascii="Times New Roman" w:hAnsi="Times New Roman"/>
          <w:color w:val="595959" w:themeColor="text1" w:themeTint="A6"/>
          <w:lang w:eastAsia="lt-LT"/>
        </w:rPr>
        <w:t xml:space="preserve"> </w:t>
      </w:r>
      <w:r w:rsidR="0033499B">
        <w:rPr>
          <w:rFonts w:ascii="Times New Roman" w:hAnsi="Times New Roman"/>
          <w:color w:val="595959" w:themeColor="text1" w:themeTint="A6"/>
          <w:lang w:eastAsia="lt-LT"/>
        </w:rPr>
        <w:t>Veiksmų programos</w:t>
      </w:r>
      <w:r w:rsidR="00A76C25">
        <w:rPr>
          <w:rFonts w:ascii="Times New Roman" w:hAnsi="Times New Roman"/>
          <w:color w:val="595959" w:themeColor="text1" w:themeTint="A6"/>
          <w:lang w:eastAsia="lt-LT"/>
        </w:rPr>
        <w:t xml:space="preserve"> lėšom</w:t>
      </w:r>
      <w:r w:rsidR="0033499B">
        <w:rPr>
          <w:rFonts w:ascii="Times New Roman" w:hAnsi="Times New Roman"/>
          <w:color w:val="595959" w:themeColor="text1" w:themeTint="A6"/>
          <w:lang w:eastAsia="lt-LT"/>
        </w:rPr>
        <w:t>s</w:t>
      </w:r>
      <w:r w:rsidR="00A76C25">
        <w:rPr>
          <w:rFonts w:ascii="Times New Roman" w:hAnsi="Times New Roman"/>
          <w:color w:val="595959" w:themeColor="text1" w:themeTint="A6"/>
          <w:lang w:eastAsia="lt-LT"/>
        </w:rPr>
        <w:t xml:space="preserve"> ir papildomom</w:t>
      </w:r>
      <w:r w:rsidR="0033499B">
        <w:rPr>
          <w:rFonts w:ascii="Times New Roman" w:hAnsi="Times New Roman"/>
          <w:color w:val="595959" w:themeColor="text1" w:themeTint="A6"/>
          <w:lang w:eastAsia="lt-LT"/>
        </w:rPr>
        <w:t>s</w:t>
      </w:r>
      <w:r w:rsidR="00A76C25">
        <w:rPr>
          <w:rFonts w:ascii="Times New Roman" w:hAnsi="Times New Roman"/>
          <w:color w:val="595959" w:themeColor="text1" w:themeTint="A6"/>
          <w:lang w:eastAsia="lt-LT"/>
        </w:rPr>
        <w:t xml:space="preserve"> </w:t>
      </w:r>
      <w:proofErr w:type="spellStart"/>
      <w:r w:rsidR="00A76C25">
        <w:rPr>
          <w:rFonts w:ascii="Times New Roman" w:hAnsi="Times New Roman"/>
          <w:color w:val="595959" w:themeColor="text1" w:themeTint="A6"/>
          <w:lang w:eastAsia="lt-LT"/>
        </w:rPr>
        <w:t>React-EU</w:t>
      </w:r>
      <w:proofErr w:type="spellEnd"/>
      <w:r w:rsidR="00A76C25">
        <w:rPr>
          <w:rFonts w:ascii="Times New Roman" w:hAnsi="Times New Roman"/>
          <w:color w:val="595959" w:themeColor="text1" w:themeTint="A6"/>
          <w:lang w:eastAsia="lt-LT"/>
        </w:rPr>
        <w:t xml:space="preserve"> iniciatyvos lėšom</w:t>
      </w:r>
      <w:r w:rsidR="0033499B">
        <w:rPr>
          <w:rFonts w:ascii="Times New Roman" w:hAnsi="Times New Roman"/>
          <w:color w:val="595959" w:themeColor="text1" w:themeTint="A6"/>
          <w:lang w:eastAsia="lt-LT"/>
        </w:rPr>
        <w:t>s</w:t>
      </w:r>
      <w:r w:rsidR="00A76C25">
        <w:rPr>
          <w:rFonts w:ascii="Times New Roman" w:hAnsi="Times New Roman"/>
          <w:color w:val="595959" w:themeColor="text1" w:themeTint="A6"/>
          <w:lang w:eastAsia="lt-LT"/>
        </w:rPr>
        <w:t xml:space="preserve"> investuo</w:t>
      </w:r>
      <w:r>
        <w:rPr>
          <w:rFonts w:ascii="Times New Roman" w:hAnsi="Times New Roman"/>
          <w:color w:val="595959" w:themeColor="text1" w:themeTint="A6"/>
          <w:lang w:eastAsia="lt-LT"/>
        </w:rPr>
        <w:t xml:space="preserve">ti yra likę mažiau nei 3 metai, todėl būtina užtikrinti </w:t>
      </w:r>
      <w:r w:rsidR="00367F59">
        <w:rPr>
          <w:rFonts w:ascii="Times New Roman" w:hAnsi="Times New Roman"/>
          <w:color w:val="595959" w:themeColor="text1" w:themeTint="A6"/>
          <w:lang w:eastAsia="lt-LT"/>
        </w:rPr>
        <w:t xml:space="preserve">ne mažesnę </w:t>
      </w:r>
      <w:r>
        <w:rPr>
          <w:rFonts w:ascii="Times New Roman" w:hAnsi="Times New Roman"/>
          <w:color w:val="595959" w:themeColor="text1" w:themeTint="A6"/>
          <w:lang w:eastAsia="lt-LT"/>
        </w:rPr>
        <w:t xml:space="preserve">investicijų spartą nei pasiekta 2020 m. </w:t>
      </w:r>
    </w:p>
    <w:p w:rsidR="0016679D" w:rsidRDefault="0016679D" w:rsidP="0016679D">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2020</w:t>
      </w:r>
      <w:r w:rsidRPr="001B5960">
        <w:rPr>
          <w:rFonts w:ascii="Times New Roman" w:hAnsi="Times New Roman"/>
          <w:color w:val="595959" w:themeColor="text1" w:themeTint="A6"/>
          <w:lang w:eastAsia="lt-LT"/>
        </w:rPr>
        <w:t xml:space="preserve"> m. biudž</w:t>
      </w:r>
      <w:r>
        <w:rPr>
          <w:rFonts w:ascii="Times New Roman" w:hAnsi="Times New Roman"/>
          <w:color w:val="595959" w:themeColor="text1" w:themeTint="A6"/>
          <w:lang w:eastAsia="lt-LT"/>
        </w:rPr>
        <w:t>ete buvo numatyta investuoti 1,17</w:t>
      </w:r>
      <w:r w:rsidRPr="001B5960">
        <w:rPr>
          <w:rFonts w:ascii="Times New Roman" w:hAnsi="Times New Roman"/>
          <w:color w:val="595959" w:themeColor="text1" w:themeTint="A6"/>
          <w:lang w:eastAsia="lt-LT"/>
        </w:rPr>
        <w:t xml:space="preserve"> mlrd. eurų ES fondų lėšų. Per praėjusius metus investuota </w:t>
      </w:r>
      <w:r>
        <w:rPr>
          <w:rFonts w:ascii="Times New Roman" w:hAnsi="Times New Roman"/>
          <w:color w:val="595959" w:themeColor="text1" w:themeTint="A6"/>
          <w:lang w:eastAsia="lt-LT"/>
        </w:rPr>
        <w:t>1,18 mlrd. eurų ES fondų lėšų. Bendras asignavimų plano įvykdymas – 100 proc</w:t>
      </w:r>
      <w:r w:rsidRPr="001B5960">
        <w:rPr>
          <w:rFonts w:ascii="Times New Roman" w:hAnsi="Times New Roman"/>
          <w:color w:val="595959" w:themeColor="text1" w:themeTint="A6"/>
          <w:lang w:eastAsia="lt-LT"/>
        </w:rPr>
        <w:t>. Visus suplanuotus metinius asignavimus investavo</w:t>
      </w:r>
      <w:r>
        <w:rPr>
          <w:rFonts w:ascii="Times New Roman" w:hAnsi="Times New Roman"/>
          <w:color w:val="595959" w:themeColor="text1" w:themeTint="A6"/>
          <w:lang w:eastAsia="lt-LT"/>
        </w:rPr>
        <w:t xml:space="preserve"> Socialinės apsaugos ir darbo</w:t>
      </w:r>
      <w:r w:rsidRPr="001B5960">
        <w:rPr>
          <w:rFonts w:ascii="Times New Roman" w:hAnsi="Times New Roman"/>
          <w:color w:val="595959" w:themeColor="text1" w:themeTint="A6"/>
          <w:lang w:eastAsia="lt-LT"/>
        </w:rPr>
        <w:t xml:space="preserve"> ministerija (</w:t>
      </w:r>
      <w:r>
        <w:rPr>
          <w:rFonts w:ascii="Times New Roman" w:hAnsi="Times New Roman"/>
          <w:color w:val="595959" w:themeColor="text1" w:themeTint="A6"/>
          <w:lang w:eastAsia="lt-LT"/>
        </w:rPr>
        <w:t>233</w:t>
      </w:r>
      <w:r w:rsidRPr="001B5960">
        <w:rPr>
          <w:rFonts w:ascii="Times New Roman" w:hAnsi="Times New Roman"/>
          <w:color w:val="595959" w:themeColor="text1" w:themeTint="A6"/>
          <w:lang w:eastAsia="lt-LT"/>
        </w:rPr>
        <w:t xml:space="preserve"> proc.)</w:t>
      </w:r>
      <w:r>
        <w:rPr>
          <w:rFonts w:ascii="Times New Roman" w:hAnsi="Times New Roman"/>
          <w:color w:val="595959" w:themeColor="text1" w:themeTint="A6"/>
          <w:lang w:eastAsia="lt-LT"/>
        </w:rPr>
        <w:t>,</w:t>
      </w:r>
      <w:r w:rsidRPr="001B5960">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Sveikatos apsaugos ministerija (131</w:t>
      </w:r>
      <w:r w:rsidRPr="001B5960">
        <w:rPr>
          <w:rFonts w:ascii="Times New Roman" w:hAnsi="Times New Roman"/>
          <w:color w:val="595959" w:themeColor="text1" w:themeTint="A6"/>
          <w:lang w:eastAsia="lt-LT"/>
        </w:rPr>
        <w:t xml:space="preserve"> proc.)</w:t>
      </w:r>
      <w:r>
        <w:rPr>
          <w:rFonts w:ascii="Times New Roman" w:hAnsi="Times New Roman"/>
          <w:color w:val="595959" w:themeColor="text1" w:themeTint="A6"/>
          <w:lang w:eastAsia="lt-LT"/>
        </w:rPr>
        <w:t xml:space="preserve"> ir Švietimo, mokslo ir sporto ministerija (101 proc.)</w:t>
      </w:r>
      <w:r w:rsidRPr="001B5960">
        <w:rPr>
          <w:rFonts w:ascii="Times New Roman" w:hAnsi="Times New Roman"/>
          <w:color w:val="595959" w:themeColor="text1" w:themeTint="A6"/>
          <w:lang w:eastAsia="lt-LT"/>
        </w:rPr>
        <w:t>.</w:t>
      </w:r>
      <w:r>
        <w:rPr>
          <w:rFonts w:ascii="Times New Roman" w:hAnsi="Times New Roman"/>
          <w:color w:val="595959" w:themeColor="text1" w:themeTint="A6"/>
          <w:lang w:eastAsia="lt-LT"/>
        </w:rPr>
        <w:t xml:space="preserve"> </w:t>
      </w:r>
      <w:r w:rsidR="00904E7A">
        <w:rPr>
          <w:rFonts w:ascii="Times New Roman" w:hAnsi="Times New Roman"/>
          <w:color w:val="595959" w:themeColor="text1" w:themeTint="A6"/>
          <w:lang w:eastAsia="lt-LT"/>
        </w:rPr>
        <w:t xml:space="preserve">Šių metų investicijoms nemaža įtakos turėjo dėl </w:t>
      </w:r>
      <w:proofErr w:type="spellStart"/>
      <w:r w:rsidR="00904E7A">
        <w:rPr>
          <w:rFonts w:ascii="Times New Roman" w:hAnsi="Times New Roman"/>
          <w:color w:val="595959" w:themeColor="text1" w:themeTint="A6"/>
          <w:lang w:eastAsia="lt-LT"/>
        </w:rPr>
        <w:t>Covid-19</w:t>
      </w:r>
      <w:proofErr w:type="spellEnd"/>
      <w:r w:rsidR="00904E7A">
        <w:rPr>
          <w:rFonts w:ascii="Times New Roman" w:hAnsi="Times New Roman"/>
          <w:color w:val="595959" w:themeColor="text1" w:themeTint="A6"/>
          <w:lang w:eastAsia="lt-LT"/>
        </w:rPr>
        <w:t xml:space="preserve"> susidariusi situacija. Daugelyje</w:t>
      </w:r>
      <w:r w:rsidR="00904E7A" w:rsidRPr="00904E7A">
        <w:rPr>
          <w:rFonts w:ascii="Times New Roman" w:hAnsi="Times New Roman"/>
          <w:color w:val="595959" w:themeColor="text1" w:themeTint="A6"/>
          <w:lang w:eastAsia="lt-LT"/>
        </w:rPr>
        <w:t xml:space="preserve"> sektorių </w:t>
      </w:r>
      <w:r w:rsidR="00904E7A" w:rsidRPr="00904E7A">
        <w:rPr>
          <w:rFonts w:ascii="Times New Roman" w:hAnsi="Times New Roman"/>
          <w:color w:val="595959" w:themeColor="text1" w:themeTint="A6"/>
          <w:lang w:eastAsia="lt-LT"/>
        </w:rPr>
        <w:lastRenderedPageBreak/>
        <w:t>projektų įgyvendinimas ir investicijos sulėtėjo ar visai sustojo</w:t>
      </w:r>
      <w:r w:rsidR="00904E7A">
        <w:rPr>
          <w:rFonts w:ascii="Times New Roman" w:hAnsi="Times New Roman"/>
          <w:color w:val="595959" w:themeColor="text1" w:themeTint="A6"/>
          <w:lang w:eastAsia="lt-LT"/>
        </w:rPr>
        <w:t>. Socialinės apsaugos ir darbo, Sveikatos apsaugos ir Švietimo, mokslo ir sporto ministerijoms s</w:t>
      </w:r>
      <w:r>
        <w:rPr>
          <w:rFonts w:ascii="Times New Roman" w:hAnsi="Times New Roman"/>
          <w:color w:val="595959" w:themeColor="text1" w:themeTint="A6"/>
          <w:lang w:eastAsia="lt-LT"/>
        </w:rPr>
        <w:t>kyrus papildomų lėšų investuota daugiau nei buvo planuota metų pradžioje.</w:t>
      </w:r>
      <w:r w:rsidRPr="001B5960">
        <w:rPr>
          <w:rFonts w:ascii="Times New Roman" w:hAnsi="Times New Roman"/>
          <w:color w:val="595959" w:themeColor="text1" w:themeTint="A6"/>
          <w:lang w:eastAsia="lt-LT"/>
        </w:rPr>
        <w:t xml:space="preserve"> Mažiausia suplanuotų asignavimų dalis investuota Kultūros ministerijos </w:t>
      </w:r>
      <w:r>
        <w:rPr>
          <w:rFonts w:ascii="Times New Roman" w:hAnsi="Times New Roman"/>
          <w:color w:val="595959" w:themeColor="text1" w:themeTint="A6"/>
          <w:lang w:eastAsia="lt-LT"/>
        </w:rPr>
        <w:t>administruojamose priemonėse (58</w:t>
      </w:r>
      <w:r w:rsidRPr="001B5960">
        <w:rPr>
          <w:rFonts w:ascii="Times New Roman" w:hAnsi="Times New Roman"/>
          <w:color w:val="595959" w:themeColor="text1" w:themeTint="A6"/>
          <w:lang w:eastAsia="lt-LT"/>
        </w:rPr>
        <w:t xml:space="preserve"> proc.). (žr. </w:t>
      </w:r>
      <w:r>
        <w:rPr>
          <w:rFonts w:ascii="Times New Roman" w:hAnsi="Times New Roman"/>
          <w:color w:val="595959" w:themeColor="text1" w:themeTint="A6"/>
          <w:lang w:eastAsia="lt-LT"/>
        </w:rPr>
        <w:t>5</w:t>
      </w:r>
      <w:r w:rsidRPr="001B5960">
        <w:rPr>
          <w:rFonts w:ascii="Times New Roman" w:hAnsi="Times New Roman"/>
          <w:color w:val="595959" w:themeColor="text1" w:themeTint="A6"/>
          <w:lang w:eastAsia="lt-LT"/>
        </w:rPr>
        <w:t xml:space="preserve"> grafiką).</w:t>
      </w:r>
    </w:p>
    <w:p w:rsidR="0016679D" w:rsidRPr="001B5960" w:rsidRDefault="0016679D" w:rsidP="0016679D">
      <w:pPr>
        <w:pStyle w:val="tekstas"/>
        <w:rPr>
          <w:rFonts w:ascii="Times New Roman" w:hAnsi="Times New Roman"/>
          <w:color w:val="595959" w:themeColor="text1" w:themeTint="A6"/>
          <w:lang w:eastAsia="lt-LT"/>
        </w:rPr>
      </w:pPr>
    </w:p>
    <w:p w:rsidR="002D177D" w:rsidRPr="009D6F0B" w:rsidRDefault="002D177D" w:rsidP="002D177D">
      <w:pPr>
        <w:pStyle w:val="Antrat"/>
        <w:keepNext/>
        <w:spacing w:after="0"/>
        <w:jc w:val="center"/>
        <w:rPr>
          <w:rFonts w:ascii="Times New Roman" w:hAnsi="Times New Roman"/>
          <w:noProof/>
          <w:color w:val="365F91" w:themeColor="accent1" w:themeShade="BF"/>
          <w:sz w:val="22"/>
          <w:szCs w:val="22"/>
        </w:rPr>
      </w:pPr>
      <w:r>
        <w:rPr>
          <w:rFonts w:ascii="Times New Roman" w:hAnsi="Times New Roman"/>
          <w:noProof/>
          <w:color w:val="365F91" w:themeColor="accent1" w:themeShade="BF"/>
          <w:sz w:val="22"/>
          <w:szCs w:val="22"/>
        </w:rPr>
        <w:t>5</w:t>
      </w:r>
      <w:r w:rsidRPr="0040787A">
        <w:rPr>
          <w:rFonts w:ascii="Times New Roman" w:hAnsi="Times New Roman"/>
          <w:noProof/>
          <w:color w:val="365F91" w:themeColor="accent1" w:themeShade="BF"/>
          <w:sz w:val="22"/>
          <w:szCs w:val="22"/>
        </w:rPr>
        <w:t xml:space="preserve"> grafikas. 2020 m. </w:t>
      </w:r>
      <w:r w:rsidR="00832A0F">
        <w:rPr>
          <w:rFonts w:ascii="Times New Roman" w:hAnsi="Times New Roman"/>
          <w:noProof/>
          <w:color w:val="365F91" w:themeColor="accent1" w:themeShade="BF"/>
          <w:sz w:val="22"/>
          <w:szCs w:val="22"/>
        </w:rPr>
        <w:t>asignavimų</w:t>
      </w:r>
      <w:r w:rsidRPr="0040787A">
        <w:rPr>
          <w:rFonts w:ascii="Times New Roman" w:hAnsi="Times New Roman"/>
          <w:noProof/>
          <w:color w:val="365F91" w:themeColor="accent1" w:themeShade="BF"/>
          <w:sz w:val="22"/>
          <w:szCs w:val="22"/>
        </w:rPr>
        <w:t xml:space="preserve"> plano vykdymas (</w:t>
      </w:r>
      <w:r w:rsidR="00832A0F">
        <w:rPr>
          <w:rFonts w:ascii="Times New Roman" w:hAnsi="Times New Roman"/>
          <w:noProof/>
          <w:color w:val="365F91" w:themeColor="accent1" w:themeShade="BF"/>
          <w:sz w:val="22"/>
          <w:szCs w:val="22"/>
        </w:rPr>
        <w:t>proc. nuo 2020 m. numatytos</w:t>
      </w:r>
      <w:r>
        <w:rPr>
          <w:rFonts w:ascii="Times New Roman" w:hAnsi="Times New Roman"/>
          <w:noProof/>
          <w:color w:val="365F91" w:themeColor="accent1" w:themeShade="BF"/>
          <w:sz w:val="22"/>
          <w:szCs w:val="22"/>
        </w:rPr>
        <w:t xml:space="preserve"> sumos ir mln. eurų</w:t>
      </w:r>
      <w:r w:rsidRPr="0040787A">
        <w:rPr>
          <w:rFonts w:ascii="Times New Roman" w:hAnsi="Times New Roman"/>
          <w:noProof/>
          <w:color w:val="365F91" w:themeColor="accent1" w:themeShade="BF"/>
          <w:sz w:val="22"/>
          <w:szCs w:val="22"/>
        </w:rPr>
        <w:t>)</w:t>
      </w:r>
    </w:p>
    <w:p w:rsidR="002D177D" w:rsidRPr="0040787A" w:rsidRDefault="002D177D" w:rsidP="002D177D">
      <w:pPr>
        <w:jc w:val="center"/>
        <w:rPr>
          <w:noProof/>
          <w:color w:val="4F81BD" w:themeColor="accent1"/>
          <w:sz w:val="16"/>
          <w:szCs w:val="16"/>
        </w:rPr>
      </w:pPr>
    </w:p>
    <w:p w:rsidR="002D177D" w:rsidRDefault="00B73D59" w:rsidP="002D177D">
      <w:pPr>
        <w:pStyle w:val="tekstas"/>
        <w:rPr>
          <w:rFonts w:ascii="Times New Roman" w:hAnsi="Times New Roman"/>
          <w:color w:val="595959" w:themeColor="text1" w:themeTint="A6"/>
          <w:highlight w:val="yellow"/>
          <w:lang w:eastAsia="lt-LT"/>
        </w:rPr>
      </w:pPr>
      <w:r>
        <w:rPr>
          <w:noProof/>
          <w:lang w:eastAsia="lt-LT"/>
        </w:rPr>
        <w:drawing>
          <wp:inline distT="0" distB="0" distL="0" distR="0" wp14:anchorId="6FFD20B4" wp14:editId="5CDC94DF">
            <wp:extent cx="5057775" cy="3162300"/>
            <wp:effectExtent l="0" t="0" r="9525" b="1905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D177D" w:rsidRDefault="002D177D" w:rsidP="001B5960">
      <w:pPr>
        <w:pStyle w:val="tekstas"/>
        <w:ind w:firstLine="0"/>
        <w:rPr>
          <w:rFonts w:ascii="Times New Roman" w:hAnsi="Times New Roman"/>
          <w:color w:val="595959" w:themeColor="text1" w:themeTint="A6"/>
          <w:highlight w:val="yellow"/>
          <w:lang w:eastAsia="lt-LT"/>
        </w:rPr>
      </w:pPr>
    </w:p>
    <w:p w:rsidR="00866D60" w:rsidRPr="0040787A" w:rsidRDefault="00C86895" w:rsidP="00533966">
      <w:pPr>
        <w:pStyle w:val="Antrat1"/>
        <w:spacing w:before="0" w:after="0"/>
        <w:ind w:left="426"/>
        <w:rPr>
          <w:rFonts w:ascii="Times New Roman" w:hAnsi="Times New Roman" w:cs="Times New Roman"/>
        </w:rPr>
      </w:pPr>
      <w:bookmarkStart w:id="8" w:name="_Toc508106024"/>
      <w:bookmarkStart w:id="9" w:name="_Toc69114248"/>
      <w:bookmarkEnd w:id="0"/>
      <w:bookmarkEnd w:id="6"/>
      <w:bookmarkEnd w:id="7"/>
      <w:r w:rsidRPr="0040787A">
        <w:rPr>
          <w:rFonts w:ascii="Times New Roman" w:hAnsi="Times New Roman" w:cs="Times New Roman"/>
        </w:rPr>
        <w:t>Situacijos sektoriuose analizė</w:t>
      </w:r>
      <w:bookmarkEnd w:id="8"/>
      <w:r w:rsidR="00042FE6" w:rsidRPr="0040787A">
        <w:rPr>
          <w:rFonts w:ascii="Times New Roman" w:hAnsi="Times New Roman" w:cs="Times New Roman"/>
        </w:rPr>
        <w:t xml:space="preserve"> ir siūlymai</w:t>
      </w:r>
      <w:bookmarkEnd w:id="9"/>
    </w:p>
    <w:p w:rsidR="00367F59" w:rsidRDefault="00367F59" w:rsidP="00367F59">
      <w:pPr>
        <w:pStyle w:val="tekstas"/>
        <w:ind w:firstLine="0"/>
        <w:rPr>
          <w:rFonts w:ascii="Times New Roman" w:hAnsi="Times New Roman"/>
          <w:color w:val="595959" w:themeColor="text1" w:themeTint="A6"/>
          <w:lang w:eastAsia="lt-LT"/>
        </w:rPr>
      </w:pPr>
    </w:p>
    <w:p w:rsidR="0063094D" w:rsidRDefault="0063094D" w:rsidP="00D768C4">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Nuo laikotarpio pradžios iki 2020 m. pabaigos jau yra įgyvendinta ir baigta 13,7 tūkst. projektų už 1,4 mlrd. eurų, šiuo metu įgyvendinama </w:t>
      </w:r>
      <w:r w:rsidR="004641A1">
        <w:rPr>
          <w:rFonts w:ascii="Times New Roman" w:hAnsi="Times New Roman"/>
          <w:color w:val="595959" w:themeColor="text1" w:themeTint="A6"/>
          <w:lang w:eastAsia="lt-LT"/>
        </w:rPr>
        <w:t>virš 9 tūkst.</w:t>
      </w:r>
      <w:r>
        <w:rPr>
          <w:rFonts w:ascii="Times New Roman" w:hAnsi="Times New Roman"/>
          <w:color w:val="595959" w:themeColor="text1" w:themeTint="A6"/>
          <w:lang w:eastAsia="lt-LT"/>
        </w:rPr>
        <w:t xml:space="preserve"> projektų už </w:t>
      </w:r>
      <w:r w:rsidR="004641A1">
        <w:rPr>
          <w:rFonts w:ascii="Times New Roman" w:hAnsi="Times New Roman"/>
          <w:color w:val="595959" w:themeColor="text1" w:themeTint="A6"/>
          <w:lang w:eastAsia="lt-LT"/>
        </w:rPr>
        <w:t>5,4 mlrd.</w:t>
      </w:r>
      <w:r>
        <w:rPr>
          <w:rFonts w:ascii="Times New Roman" w:hAnsi="Times New Roman"/>
          <w:color w:val="595959" w:themeColor="text1" w:themeTint="A6"/>
          <w:lang w:eastAsia="lt-LT"/>
        </w:rPr>
        <w:t xml:space="preserve"> eurų</w:t>
      </w:r>
      <w:r w:rsidR="004641A1">
        <w:rPr>
          <w:rFonts w:ascii="Times New Roman" w:hAnsi="Times New Roman"/>
          <w:color w:val="595959" w:themeColor="text1" w:themeTint="A6"/>
          <w:lang w:eastAsia="lt-LT"/>
        </w:rPr>
        <w:t xml:space="preserve"> ES fondų lėšų</w:t>
      </w:r>
      <w:r>
        <w:rPr>
          <w:rFonts w:ascii="Times New Roman" w:hAnsi="Times New Roman"/>
          <w:color w:val="595959" w:themeColor="text1" w:themeTint="A6"/>
          <w:lang w:eastAsia="lt-LT"/>
        </w:rPr>
        <w:t>.</w:t>
      </w:r>
    </w:p>
    <w:p w:rsidR="00367F59" w:rsidRPr="00367F59" w:rsidRDefault="000975A5" w:rsidP="00367F59">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Per </w:t>
      </w:r>
      <w:r w:rsidR="00367F59" w:rsidRPr="00367F59">
        <w:rPr>
          <w:rFonts w:ascii="Times New Roman" w:hAnsi="Times New Roman"/>
          <w:color w:val="595959" w:themeColor="text1" w:themeTint="A6"/>
          <w:lang w:eastAsia="lt-LT"/>
        </w:rPr>
        <w:t xml:space="preserve">2020 m. </w:t>
      </w:r>
      <w:r w:rsidR="00913F44">
        <w:rPr>
          <w:rFonts w:ascii="Times New Roman" w:hAnsi="Times New Roman"/>
          <w:color w:val="595959" w:themeColor="text1" w:themeTint="A6"/>
          <w:lang w:eastAsia="lt-LT"/>
        </w:rPr>
        <w:t>Finansų ministerijos teikiamose ataskaitose Vyriausybei</w:t>
      </w:r>
      <w:r w:rsidR="00913F44" w:rsidRPr="00367F59">
        <w:rPr>
          <w:rFonts w:ascii="Times New Roman" w:hAnsi="Times New Roman"/>
          <w:color w:val="595959" w:themeColor="text1" w:themeTint="A6"/>
          <w:lang w:eastAsia="lt-LT"/>
        </w:rPr>
        <w:t xml:space="preserve"> </w:t>
      </w:r>
      <w:r w:rsidR="00367F59" w:rsidRPr="00367F59">
        <w:rPr>
          <w:rFonts w:ascii="Times New Roman" w:hAnsi="Times New Roman"/>
          <w:color w:val="595959" w:themeColor="text1" w:themeTint="A6"/>
          <w:lang w:eastAsia="lt-LT"/>
        </w:rPr>
        <w:t xml:space="preserve">ministerijoms buvo pateikta </w:t>
      </w:r>
      <w:r w:rsidR="00A473CA">
        <w:rPr>
          <w:rFonts w:ascii="Times New Roman" w:hAnsi="Times New Roman"/>
          <w:color w:val="595959" w:themeColor="text1" w:themeTint="A6"/>
          <w:lang w:eastAsia="lt-LT"/>
        </w:rPr>
        <w:t>68</w:t>
      </w:r>
      <w:r w:rsidR="00C54EE0">
        <w:rPr>
          <w:rFonts w:ascii="Times New Roman" w:hAnsi="Times New Roman"/>
          <w:color w:val="595959" w:themeColor="text1" w:themeTint="A6"/>
          <w:lang w:eastAsia="lt-LT"/>
        </w:rPr>
        <w:t xml:space="preserve"> rekomendacijos</w:t>
      </w:r>
      <w:r w:rsidR="00913F44">
        <w:rPr>
          <w:rFonts w:ascii="Times New Roman" w:hAnsi="Times New Roman"/>
          <w:color w:val="595959" w:themeColor="text1" w:themeTint="A6"/>
          <w:lang w:eastAsia="lt-LT"/>
        </w:rPr>
        <w:t xml:space="preserve"> </w:t>
      </w:r>
      <w:r w:rsidR="00913F44" w:rsidRPr="00913F44">
        <w:rPr>
          <w:rFonts w:ascii="Times New Roman" w:hAnsi="Times New Roman"/>
          <w:color w:val="595959" w:themeColor="text1" w:themeTint="A6"/>
          <w:lang w:eastAsia="lt-LT"/>
        </w:rPr>
        <w:t>ES fondų investicijų konkrečiuose sektoriuose efektyvumui ir spartai</w:t>
      </w:r>
      <w:r w:rsidR="00913F44">
        <w:rPr>
          <w:rFonts w:ascii="Times New Roman" w:hAnsi="Times New Roman"/>
          <w:color w:val="595959" w:themeColor="text1" w:themeTint="A6"/>
          <w:lang w:eastAsia="lt-LT"/>
        </w:rPr>
        <w:t xml:space="preserve"> užtikrinti</w:t>
      </w:r>
      <w:r w:rsidR="00C54EE0">
        <w:rPr>
          <w:rFonts w:ascii="Times New Roman" w:hAnsi="Times New Roman"/>
          <w:color w:val="595959" w:themeColor="text1" w:themeTint="A6"/>
          <w:lang w:eastAsia="lt-LT"/>
        </w:rPr>
        <w:t>, iš kurių visiškai įgyvendinta</w:t>
      </w:r>
      <w:r>
        <w:rPr>
          <w:rFonts w:ascii="Times New Roman" w:hAnsi="Times New Roman"/>
          <w:color w:val="595959" w:themeColor="text1" w:themeTint="A6"/>
          <w:lang w:eastAsia="lt-LT"/>
        </w:rPr>
        <w:t xml:space="preserve"> – </w:t>
      </w:r>
      <w:r w:rsidR="00A473CA">
        <w:rPr>
          <w:rFonts w:ascii="Times New Roman" w:hAnsi="Times New Roman"/>
          <w:color w:val="595959" w:themeColor="text1" w:themeTint="A6"/>
          <w:lang w:eastAsia="lt-LT"/>
        </w:rPr>
        <w:t>51</w:t>
      </w:r>
      <w:r>
        <w:rPr>
          <w:rFonts w:ascii="Times New Roman" w:hAnsi="Times New Roman"/>
          <w:color w:val="595959" w:themeColor="text1" w:themeTint="A6"/>
          <w:lang w:eastAsia="lt-LT"/>
        </w:rPr>
        <w:t xml:space="preserve"> (</w:t>
      </w:r>
      <w:r w:rsidR="00A473CA">
        <w:rPr>
          <w:rFonts w:ascii="Times New Roman" w:hAnsi="Times New Roman"/>
          <w:color w:val="595959" w:themeColor="text1" w:themeTint="A6"/>
          <w:lang w:eastAsia="lt-LT"/>
        </w:rPr>
        <w:t>75</w:t>
      </w:r>
      <w:r>
        <w:rPr>
          <w:rFonts w:ascii="Times New Roman" w:hAnsi="Times New Roman"/>
          <w:color w:val="595959" w:themeColor="text1" w:themeTint="A6"/>
          <w:lang w:eastAsia="lt-LT"/>
        </w:rPr>
        <w:t xml:space="preserve"> proc.)</w:t>
      </w:r>
      <w:r w:rsidR="00367F59" w:rsidRPr="00367F59">
        <w:rPr>
          <w:rFonts w:ascii="Times New Roman" w:hAnsi="Times New Roman"/>
          <w:color w:val="595959" w:themeColor="text1" w:themeTint="A6"/>
          <w:lang w:eastAsia="lt-LT"/>
        </w:rPr>
        <w:t>, likusios įgyvendintos iš dalies arba š</w:t>
      </w:r>
      <w:r>
        <w:rPr>
          <w:rFonts w:ascii="Times New Roman" w:hAnsi="Times New Roman"/>
          <w:color w:val="595959" w:themeColor="text1" w:themeTint="A6"/>
          <w:lang w:eastAsia="lt-LT"/>
        </w:rPr>
        <w:t>iuo metu dar nėra įgyvendintos.</w:t>
      </w:r>
    </w:p>
    <w:p w:rsidR="003A1467" w:rsidRDefault="00367F59" w:rsidP="000975A5">
      <w:pPr>
        <w:pStyle w:val="tekstas"/>
        <w:rPr>
          <w:rFonts w:ascii="Times New Roman" w:hAnsi="Times New Roman"/>
          <w:color w:val="595959" w:themeColor="text1" w:themeTint="A6"/>
          <w:lang w:eastAsia="lt-LT"/>
        </w:rPr>
      </w:pPr>
      <w:r w:rsidRPr="00367F59">
        <w:rPr>
          <w:rFonts w:ascii="Times New Roman" w:hAnsi="Times New Roman"/>
          <w:color w:val="595959" w:themeColor="text1" w:themeTint="A6"/>
          <w:lang w:eastAsia="lt-LT"/>
        </w:rPr>
        <w:t>Toliau šioje ataskaitos dalyje apžvelgiam</w:t>
      </w:r>
      <w:r w:rsidR="00C84AAD">
        <w:rPr>
          <w:rFonts w:ascii="Times New Roman" w:hAnsi="Times New Roman"/>
          <w:color w:val="595959" w:themeColor="text1" w:themeTint="A6"/>
          <w:lang w:eastAsia="lt-LT"/>
        </w:rPr>
        <w:t>i sektorių pagrindiniai iššūkiai i</w:t>
      </w:r>
      <w:r w:rsidR="00D768C4">
        <w:rPr>
          <w:rFonts w:ascii="Times New Roman" w:hAnsi="Times New Roman"/>
          <w:color w:val="595959" w:themeColor="text1" w:themeTint="A6"/>
          <w:lang w:eastAsia="lt-LT"/>
        </w:rPr>
        <w:t>r spręstini klausimai, taip pat</w:t>
      </w:r>
      <w:r w:rsidRPr="00367F59">
        <w:rPr>
          <w:rFonts w:ascii="Times New Roman" w:hAnsi="Times New Roman"/>
          <w:color w:val="595959" w:themeColor="text1" w:themeTint="A6"/>
          <w:lang w:eastAsia="lt-LT"/>
        </w:rPr>
        <w:t xml:space="preserve"> kiekvieno prioriteto įgyvendinimas,</w:t>
      </w:r>
      <w:r w:rsidR="00D768C4">
        <w:rPr>
          <w:rFonts w:ascii="Times New Roman" w:hAnsi="Times New Roman"/>
          <w:color w:val="595959" w:themeColor="text1" w:themeTint="A6"/>
          <w:lang w:eastAsia="lt-LT"/>
        </w:rPr>
        <w:t xml:space="preserve"> pasiekimai,</w:t>
      </w:r>
      <w:r w:rsidRPr="00367F59">
        <w:rPr>
          <w:rFonts w:ascii="Times New Roman" w:hAnsi="Times New Roman"/>
          <w:color w:val="595959" w:themeColor="text1" w:themeTint="A6"/>
          <w:lang w:eastAsia="lt-LT"/>
        </w:rPr>
        <w:t xml:space="preserve"> svarbesni įvykiai bei pateikiami siūlymai ministerijoms.</w:t>
      </w:r>
    </w:p>
    <w:p w:rsidR="009E269D" w:rsidRPr="009D6C7D" w:rsidRDefault="009E269D" w:rsidP="00237D4B">
      <w:pPr>
        <w:pStyle w:val="tekstas"/>
        <w:ind w:firstLine="0"/>
        <w:rPr>
          <w:rFonts w:ascii="Times New Roman" w:hAnsi="Times New Roman"/>
          <w:color w:val="595959" w:themeColor="text1" w:themeTint="A6"/>
          <w:lang w:eastAsia="lt-LT"/>
        </w:rPr>
      </w:pPr>
    </w:p>
    <w:p w:rsidR="00CD7B8E" w:rsidRPr="009D6C7D" w:rsidRDefault="00CD7B8E" w:rsidP="00E24240">
      <w:pPr>
        <w:keepNext/>
        <w:keepLines/>
        <w:jc w:val="both"/>
        <w:outlineLvl w:val="1"/>
        <w:rPr>
          <w:rFonts w:eastAsiaTheme="majorEastAsia"/>
          <w:b/>
          <w:bCs/>
          <w:color w:val="595959" w:themeColor="text1" w:themeTint="A6"/>
          <w:szCs w:val="24"/>
          <w:lang w:eastAsia="lt-LT"/>
        </w:rPr>
      </w:pPr>
      <w:bookmarkStart w:id="10" w:name="_Toc69114249"/>
      <w:r w:rsidRPr="009D6C7D">
        <w:rPr>
          <w:rFonts w:eastAsiaTheme="majorEastAsia"/>
          <w:b/>
          <w:bCs/>
          <w:color w:val="595959" w:themeColor="text1" w:themeTint="A6"/>
          <w:szCs w:val="24"/>
          <w:lang w:eastAsia="lt-LT"/>
        </w:rPr>
        <w:t>1 prioritetas. Mokslinių tyrimų, eksperimentinės plėtros ir inovacijų skatinimas</w:t>
      </w:r>
      <w:bookmarkEnd w:id="10"/>
    </w:p>
    <w:p w:rsidR="007475E3" w:rsidRDefault="007475E3" w:rsidP="00927906">
      <w:pPr>
        <w:jc w:val="both"/>
        <w:rPr>
          <w:color w:val="595959" w:themeColor="text1" w:themeTint="A6"/>
          <w:szCs w:val="24"/>
          <w:lang w:eastAsia="lt-LT"/>
        </w:rPr>
      </w:pPr>
    </w:p>
    <w:p w:rsidR="00FE2C45" w:rsidRDefault="00AF6EBD" w:rsidP="007475E3">
      <w:pPr>
        <w:jc w:val="both"/>
        <w:rPr>
          <w:color w:val="595959" w:themeColor="text1" w:themeTint="A6"/>
          <w:szCs w:val="24"/>
          <w:lang w:eastAsia="lt-LT"/>
        </w:rPr>
      </w:pPr>
      <w:r>
        <w:rPr>
          <w:noProof/>
          <w:lang w:eastAsia="lt-LT"/>
        </w:rPr>
        <w:drawing>
          <wp:inline distT="0" distB="0" distL="0" distR="0" wp14:anchorId="4B3E0041" wp14:editId="287ED6E4">
            <wp:extent cx="6120130" cy="709910"/>
            <wp:effectExtent l="0" t="0" r="13970" b="14605"/>
            <wp:docPr id="386" name="Diagrama 3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43A9F" w:rsidRDefault="00D43A9F" w:rsidP="007475E3">
      <w:pPr>
        <w:jc w:val="both"/>
        <w:rPr>
          <w:color w:val="595959" w:themeColor="text1" w:themeTint="A6"/>
          <w:szCs w:val="24"/>
          <w:lang w:eastAsia="lt-LT"/>
        </w:rPr>
      </w:pPr>
    </w:p>
    <w:p w:rsidR="007A57E0" w:rsidRDefault="007A57E0" w:rsidP="00D43A9F">
      <w:pPr>
        <w:pStyle w:val="tekstas"/>
        <w:rPr>
          <w:rFonts w:ascii="Times New Roman" w:hAnsi="Times New Roman"/>
          <w:color w:val="595959" w:themeColor="text1" w:themeTint="A6"/>
          <w:lang w:eastAsia="lt-LT"/>
        </w:rPr>
      </w:pPr>
      <w:r w:rsidRPr="00D43A9F">
        <w:rPr>
          <w:rFonts w:ascii="Times New Roman" w:hAnsi="Times New Roman"/>
          <w:color w:val="595959" w:themeColor="text1" w:themeTint="A6"/>
          <w:lang w:eastAsia="lt-LT"/>
        </w:rPr>
        <w:t>Švietimo, mokslo ir sporto ministerija sudarė sutartis visoms 1 prioriteto a</w:t>
      </w:r>
      <w:r w:rsidR="00D43A9F">
        <w:rPr>
          <w:rFonts w:ascii="Times New Roman" w:hAnsi="Times New Roman"/>
          <w:color w:val="595959" w:themeColor="text1" w:themeTint="A6"/>
          <w:lang w:eastAsia="lt-LT"/>
        </w:rPr>
        <w:t>dministruojamų priemonių lėšoms</w:t>
      </w:r>
      <w:r w:rsidR="00B85739">
        <w:rPr>
          <w:rFonts w:ascii="Times New Roman" w:hAnsi="Times New Roman"/>
          <w:color w:val="595959" w:themeColor="text1" w:themeTint="A6"/>
          <w:lang w:eastAsia="lt-LT"/>
        </w:rPr>
        <w:t xml:space="preserve"> </w:t>
      </w:r>
      <w:r w:rsidR="00B85739" w:rsidRPr="00B85739">
        <w:rPr>
          <w:rFonts w:ascii="Times New Roman" w:hAnsi="Times New Roman"/>
          <w:color w:val="595959" w:themeColor="text1" w:themeTint="A6"/>
          <w:lang w:eastAsia="lt-LT"/>
        </w:rPr>
        <w:t>(išskyrus priemonių sutartis dėl kurių su vadovaujančiąja institucija yra suderinti pratęsimai)</w:t>
      </w:r>
      <w:r w:rsidR="0034618A">
        <w:rPr>
          <w:rFonts w:ascii="Times New Roman" w:hAnsi="Times New Roman"/>
          <w:color w:val="595959" w:themeColor="text1" w:themeTint="A6"/>
          <w:lang w:eastAsia="lt-LT"/>
        </w:rPr>
        <w:t xml:space="preserve">. Papildomai ministerijai prioritete yra numatyta 52,3 mln. eurų </w:t>
      </w:r>
      <w:proofErr w:type="spellStart"/>
      <w:r w:rsidR="0034618A">
        <w:rPr>
          <w:rFonts w:ascii="Times New Roman" w:hAnsi="Times New Roman"/>
          <w:color w:val="595959" w:themeColor="text1" w:themeTint="A6"/>
          <w:lang w:eastAsia="lt-LT"/>
        </w:rPr>
        <w:t>virškontraktavimo</w:t>
      </w:r>
      <w:proofErr w:type="spellEnd"/>
      <w:r w:rsidR="0034618A">
        <w:rPr>
          <w:rFonts w:ascii="Times New Roman" w:hAnsi="Times New Roman"/>
          <w:color w:val="595959" w:themeColor="text1" w:themeTint="A6"/>
          <w:lang w:eastAsia="lt-LT"/>
        </w:rPr>
        <w:t xml:space="preserve"> galimybė. L</w:t>
      </w:r>
      <w:r w:rsidR="00AF6EBD">
        <w:rPr>
          <w:rFonts w:ascii="Times New Roman" w:hAnsi="Times New Roman"/>
          <w:color w:val="595959" w:themeColor="text1" w:themeTint="A6"/>
          <w:lang w:eastAsia="lt-LT"/>
        </w:rPr>
        <w:t>ėšų investavimo (52</w:t>
      </w:r>
      <w:r w:rsidRPr="00D43A9F">
        <w:rPr>
          <w:rFonts w:ascii="Times New Roman" w:hAnsi="Times New Roman"/>
          <w:color w:val="595959" w:themeColor="text1" w:themeTint="A6"/>
          <w:lang w:eastAsia="lt-LT"/>
        </w:rPr>
        <w:t xml:space="preserve"> proc.)</w:t>
      </w:r>
      <w:r w:rsidR="005819B7" w:rsidRPr="00D43A9F">
        <w:rPr>
          <w:rFonts w:ascii="Times New Roman" w:hAnsi="Times New Roman"/>
          <w:color w:val="595959" w:themeColor="text1" w:themeTint="A6"/>
          <w:lang w:eastAsia="lt-LT"/>
        </w:rPr>
        <w:t xml:space="preserve"> </w:t>
      </w:r>
      <w:r w:rsidR="00EA0915">
        <w:rPr>
          <w:rFonts w:ascii="Times New Roman" w:hAnsi="Times New Roman"/>
          <w:color w:val="595959" w:themeColor="text1" w:themeTint="A6"/>
          <w:lang w:eastAsia="lt-LT"/>
        </w:rPr>
        <w:t>tempas</w:t>
      </w:r>
      <w:r w:rsidRPr="00D43A9F">
        <w:rPr>
          <w:rFonts w:ascii="Times New Roman" w:hAnsi="Times New Roman"/>
          <w:color w:val="595959" w:themeColor="text1" w:themeTint="A6"/>
          <w:lang w:eastAsia="lt-LT"/>
        </w:rPr>
        <w:t xml:space="preserve"> </w:t>
      </w:r>
      <w:r w:rsidR="00EA0915">
        <w:rPr>
          <w:rFonts w:ascii="Times New Roman" w:hAnsi="Times New Roman"/>
          <w:color w:val="595959" w:themeColor="text1" w:themeTint="A6"/>
          <w:lang w:eastAsia="lt-LT"/>
        </w:rPr>
        <w:t>ir toliau išlieka nepakankamas.</w:t>
      </w:r>
    </w:p>
    <w:p w:rsidR="00982B93" w:rsidRDefault="00982B93" w:rsidP="00982B93">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MTEPI skirtas prioritetas įgyvendinamas i</w:t>
      </w:r>
      <w:r w:rsidRPr="00025CD6">
        <w:rPr>
          <w:rFonts w:ascii="Times New Roman" w:hAnsi="Times New Roman"/>
          <w:color w:val="595959" w:themeColor="text1" w:themeTint="A6"/>
          <w:lang w:eastAsia="lt-LT"/>
        </w:rPr>
        <w:t>šlieka</w:t>
      </w:r>
      <w:r>
        <w:rPr>
          <w:rFonts w:ascii="Times New Roman" w:hAnsi="Times New Roman"/>
          <w:color w:val="595959" w:themeColor="text1" w:themeTint="A6"/>
          <w:lang w:eastAsia="lt-LT"/>
        </w:rPr>
        <w:t>nt</w:t>
      </w:r>
      <w:r w:rsidRPr="00025CD6">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 xml:space="preserve">ilgalaikiams šios srities iššūkiams, tokiems kaip </w:t>
      </w:r>
      <w:r w:rsidRPr="00025CD6">
        <w:rPr>
          <w:rFonts w:ascii="Times New Roman" w:hAnsi="Times New Roman"/>
          <w:color w:val="595959" w:themeColor="text1" w:themeTint="A6"/>
          <w:lang w:eastAsia="lt-LT"/>
        </w:rPr>
        <w:t>aukšto lygio tyr</w:t>
      </w:r>
      <w:r>
        <w:rPr>
          <w:rFonts w:ascii="Times New Roman" w:hAnsi="Times New Roman"/>
          <w:color w:val="595959" w:themeColor="text1" w:themeTint="A6"/>
          <w:lang w:eastAsia="lt-LT"/>
        </w:rPr>
        <w:t>ėjų ir aukšto lygio MTEP stoka</w:t>
      </w:r>
      <w:r w:rsidRPr="00025CD6">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 xml:space="preserve">(dvigubai atsiliekama nuo ES vidurkio </w:t>
      </w:r>
      <w:r w:rsidRPr="00025CD6">
        <w:rPr>
          <w:rFonts w:ascii="Times New Roman" w:hAnsi="Times New Roman"/>
          <w:color w:val="595959" w:themeColor="text1" w:themeTint="A6"/>
          <w:lang w:eastAsia="lt-LT"/>
        </w:rPr>
        <w:t xml:space="preserve">pagal </w:t>
      </w:r>
      <w:r w:rsidRPr="00025CD6">
        <w:rPr>
          <w:rFonts w:ascii="Times New Roman" w:hAnsi="Times New Roman"/>
          <w:color w:val="595959" w:themeColor="text1" w:themeTint="A6"/>
          <w:lang w:eastAsia="lt-LT"/>
        </w:rPr>
        <w:lastRenderedPageBreak/>
        <w:t>mokslinių publikacijų, patenkančių tarp 10 proc. pasaulyje labiausiai cituojamų publikacijų kokybės rodiklį (atitinkamai 5,61 proc. ir 10,03 proc.), nepakankam</w:t>
      </w:r>
      <w:r>
        <w:rPr>
          <w:rFonts w:ascii="Times New Roman" w:hAnsi="Times New Roman"/>
          <w:color w:val="595959" w:themeColor="text1" w:themeTint="A6"/>
          <w:lang w:eastAsia="lt-LT"/>
        </w:rPr>
        <w:t>a</w:t>
      </w:r>
      <w:r w:rsidRPr="00025CD6">
        <w:rPr>
          <w:rFonts w:ascii="Times New Roman" w:hAnsi="Times New Roman"/>
          <w:color w:val="595959" w:themeColor="text1" w:themeTint="A6"/>
          <w:lang w:eastAsia="lt-LT"/>
        </w:rPr>
        <w:t xml:space="preserve">s mokslinių tyrimų infrastruktūros </w:t>
      </w:r>
      <w:proofErr w:type="spellStart"/>
      <w:r w:rsidRPr="00025CD6">
        <w:rPr>
          <w:rFonts w:ascii="Times New Roman" w:hAnsi="Times New Roman"/>
          <w:color w:val="595959" w:themeColor="text1" w:themeTint="A6"/>
          <w:lang w:eastAsia="lt-LT"/>
        </w:rPr>
        <w:t>įveiklinim</w:t>
      </w:r>
      <w:r>
        <w:rPr>
          <w:rFonts w:ascii="Times New Roman" w:hAnsi="Times New Roman"/>
          <w:color w:val="595959" w:themeColor="text1" w:themeTint="A6"/>
          <w:lang w:eastAsia="lt-LT"/>
        </w:rPr>
        <w:t>as</w:t>
      </w:r>
      <w:proofErr w:type="spellEnd"/>
      <w:r w:rsidR="00D768C4">
        <w:rPr>
          <w:rFonts w:ascii="Times New Roman" w:hAnsi="Times New Roman"/>
          <w:color w:val="595959" w:themeColor="text1" w:themeTint="A6"/>
          <w:lang w:eastAsia="lt-LT"/>
        </w:rPr>
        <w:t xml:space="preserve"> (neišnaudojamos </w:t>
      </w:r>
      <w:r w:rsidRPr="00494A74">
        <w:rPr>
          <w:rFonts w:ascii="Times New Roman" w:hAnsi="Times New Roman"/>
          <w:color w:val="595959" w:themeColor="text1" w:themeTint="A6"/>
          <w:lang w:eastAsia="lt-LT"/>
        </w:rPr>
        <w:t>tarptautines MTEP infrastruktūr</w:t>
      </w:r>
      <w:r>
        <w:rPr>
          <w:rFonts w:ascii="Times New Roman" w:hAnsi="Times New Roman"/>
          <w:color w:val="595959" w:themeColor="text1" w:themeTint="A6"/>
          <w:lang w:eastAsia="lt-LT"/>
        </w:rPr>
        <w:t>ų</w:t>
      </w:r>
      <w:r w:rsidRPr="00494A74">
        <w:rPr>
          <w:rFonts w:ascii="Times New Roman" w:hAnsi="Times New Roman"/>
          <w:color w:val="595959" w:themeColor="text1" w:themeTint="A6"/>
          <w:lang w:eastAsia="lt-LT"/>
        </w:rPr>
        <w:t xml:space="preserve"> ir tinkl</w:t>
      </w:r>
      <w:r>
        <w:rPr>
          <w:rFonts w:ascii="Times New Roman" w:hAnsi="Times New Roman"/>
          <w:color w:val="595959" w:themeColor="text1" w:themeTint="A6"/>
          <w:lang w:eastAsia="lt-LT"/>
        </w:rPr>
        <w:t>ų</w:t>
      </w:r>
      <w:r w:rsidRPr="00494A74">
        <w:rPr>
          <w:rFonts w:ascii="Times New Roman" w:hAnsi="Times New Roman"/>
          <w:color w:val="595959" w:themeColor="text1" w:themeTint="A6"/>
          <w:lang w:eastAsia="lt-LT"/>
        </w:rPr>
        <w:t xml:space="preserve"> suteikiamos galimybės</w:t>
      </w:r>
      <w:r>
        <w:rPr>
          <w:rFonts w:ascii="Times New Roman" w:hAnsi="Times New Roman"/>
          <w:color w:val="595959" w:themeColor="text1" w:themeTint="A6"/>
          <w:lang w:eastAsia="lt-LT"/>
        </w:rPr>
        <w:t>),</w:t>
      </w:r>
      <w:r w:rsidRPr="00025CD6">
        <w:rPr>
          <w:rFonts w:ascii="Times New Roman" w:hAnsi="Times New Roman"/>
          <w:color w:val="595959" w:themeColor="text1" w:themeTint="A6"/>
          <w:lang w:eastAsia="lt-LT"/>
        </w:rPr>
        <w:t xml:space="preserve"> MSI verslumo</w:t>
      </w:r>
      <w:r>
        <w:rPr>
          <w:rFonts w:ascii="Times New Roman" w:hAnsi="Times New Roman"/>
          <w:color w:val="595959" w:themeColor="text1" w:themeTint="A6"/>
          <w:lang w:eastAsia="lt-LT"/>
        </w:rPr>
        <w:t xml:space="preserve"> stoka ir nepakankamas</w:t>
      </w:r>
      <w:r w:rsidRPr="00025CD6">
        <w:rPr>
          <w:rFonts w:ascii="Times New Roman" w:hAnsi="Times New Roman"/>
          <w:color w:val="595959" w:themeColor="text1" w:themeTint="A6"/>
          <w:lang w:eastAsia="lt-LT"/>
        </w:rPr>
        <w:t xml:space="preserve"> žinių ir technologijų perdavimo/</w:t>
      </w:r>
      <w:proofErr w:type="spellStart"/>
      <w:r w:rsidRPr="00025CD6">
        <w:rPr>
          <w:rFonts w:ascii="Times New Roman" w:hAnsi="Times New Roman"/>
          <w:color w:val="595959" w:themeColor="text1" w:themeTint="A6"/>
          <w:lang w:eastAsia="lt-LT"/>
        </w:rPr>
        <w:t>komercinimo</w:t>
      </w:r>
      <w:proofErr w:type="spellEnd"/>
      <w:r w:rsidRPr="00025CD6">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mastas.</w:t>
      </w:r>
    </w:p>
    <w:p w:rsidR="00982B93" w:rsidRDefault="00982B93" w:rsidP="008B794C">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Šio prioriteto investicijos skirtos </w:t>
      </w:r>
      <w:proofErr w:type="spellStart"/>
      <w:r>
        <w:rPr>
          <w:rFonts w:ascii="Times New Roman" w:hAnsi="Times New Roman"/>
          <w:color w:val="595959" w:themeColor="text1" w:themeTint="A6"/>
          <w:lang w:eastAsia="lt-LT"/>
        </w:rPr>
        <w:t>įveiklinti</w:t>
      </w:r>
      <w:proofErr w:type="spellEnd"/>
      <w:r>
        <w:rPr>
          <w:rFonts w:ascii="Times New Roman" w:hAnsi="Times New Roman"/>
          <w:color w:val="595959" w:themeColor="text1" w:themeTint="A6"/>
          <w:lang w:eastAsia="lt-LT"/>
        </w:rPr>
        <w:t xml:space="preserve"> </w:t>
      </w:r>
      <w:r w:rsidR="008824C5">
        <w:rPr>
          <w:rFonts w:ascii="Times New Roman" w:hAnsi="Times New Roman"/>
          <w:color w:val="595959" w:themeColor="text1" w:themeTint="A6"/>
          <w:lang w:eastAsia="lt-LT"/>
        </w:rPr>
        <w:t xml:space="preserve">turimą ir naujai kuriamą </w:t>
      </w:r>
      <w:r>
        <w:rPr>
          <w:rFonts w:ascii="Times New Roman" w:hAnsi="Times New Roman"/>
          <w:color w:val="595959" w:themeColor="text1" w:themeTint="A6"/>
          <w:lang w:eastAsia="lt-LT"/>
        </w:rPr>
        <w:t>MTEP</w:t>
      </w:r>
      <w:r w:rsidR="008824C5">
        <w:rPr>
          <w:rFonts w:ascii="Times New Roman" w:hAnsi="Times New Roman"/>
          <w:color w:val="595959" w:themeColor="text1" w:themeTint="A6"/>
          <w:lang w:eastAsia="lt-LT"/>
        </w:rPr>
        <w:t>I</w:t>
      </w:r>
      <w:r>
        <w:rPr>
          <w:rFonts w:ascii="Times New Roman" w:hAnsi="Times New Roman"/>
          <w:color w:val="595959" w:themeColor="text1" w:themeTint="A6"/>
          <w:lang w:eastAsia="lt-LT"/>
        </w:rPr>
        <w:t xml:space="preserve"> infrastruktūrą, </w:t>
      </w:r>
      <w:r w:rsidR="00D768C4">
        <w:rPr>
          <w:rFonts w:ascii="Times New Roman" w:hAnsi="Times New Roman"/>
          <w:color w:val="595959" w:themeColor="text1" w:themeTint="A6"/>
          <w:lang w:eastAsia="lt-LT"/>
        </w:rPr>
        <w:t xml:space="preserve">siekiant, </w:t>
      </w:r>
      <w:r w:rsidR="008824C5">
        <w:rPr>
          <w:rFonts w:ascii="Times New Roman" w:hAnsi="Times New Roman"/>
          <w:color w:val="595959" w:themeColor="text1" w:themeTint="A6"/>
          <w:lang w:eastAsia="lt-LT"/>
        </w:rPr>
        <w:t>kad daugiau vartotoj</w:t>
      </w:r>
      <w:r w:rsidR="00D92A63">
        <w:rPr>
          <w:rFonts w:ascii="Times New Roman" w:hAnsi="Times New Roman"/>
          <w:color w:val="595959" w:themeColor="text1" w:themeTint="A6"/>
          <w:lang w:eastAsia="lt-LT"/>
        </w:rPr>
        <w:t>ų</w:t>
      </w:r>
      <w:r w:rsidR="008824C5">
        <w:rPr>
          <w:rFonts w:ascii="Times New Roman" w:hAnsi="Times New Roman"/>
          <w:color w:val="595959" w:themeColor="text1" w:themeTint="A6"/>
          <w:lang w:eastAsia="lt-LT"/>
        </w:rPr>
        <w:t xml:space="preserve"> iš ūkio subjektų naudotųsi atviros prieigos infrastruktūra</w:t>
      </w:r>
      <w:r w:rsidR="00D92A63">
        <w:rPr>
          <w:rFonts w:ascii="Times New Roman" w:hAnsi="Times New Roman"/>
          <w:color w:val="595959" w:themeColor="text1" w:themeTint="A6"/>
          <w:lang w:eastAsia="lt-LT"/>
        </w:rPr>
        <w:t>.</w:t>
      </w:r>
      <w:r w:rsidR="008824C5">
        <w:rPr>
          <w:rFonts w:ascii="Times New Roman" w:hAnsi="Times New Roman"/>
          <w:color w:val="595959" w:themeColor="text1" w:themeTint="A6"/>
          <w:lang w:eastAsia="lt-LT"/>
        </w:rPr>
        <w:t xml:space="preserve"> </w:t>
      </w:r>
      <w:r w:rsidR="00D92A63">
        <w:rPr>
          <w:rFonts w:ascii="Times New Roman" w:hAnsi="Times New Roman"/>
          <w:color w:val="595959" w:themeColor="text1" w:themeTint="A6"/>
          <w:lang w:eastAsia="lt-LT"/>
        </w:rPr>
        <w:t>Kitas Švietimo, mokslo ir sporto ministerijos uždavinys - d</w:t>
      </w:r>
      <w:r w:rsidR="008824C5">
        <w:rPr>
          <w:rFonts w:ascii="Times New Roman" w:hAnsi="Times New Roman"/>
          <w:color w:val="595959" w:themeColor="text1" w:themeTint="A6"/>
          <w:lang w:eastAsia="lt-LT"/>
        </w:rPr>
        <w:t xml:space="preserve">idinti žinių </w:t>
      </w:r>
      <w:proofErr w:type="spellStart"/>
      <w:r w:rsidR="008824C5">
        <w:rPr>
          <w:rFonts w:ascii="Times New Roman" w:hAnsi="Times New Roman"/>
          <w:color w:val="595959" w:themeColor="text1" w:themeTint="A6"/>
          <w:lang w:eastAsia="lt-LT"/>
        </w:rPr>
        <w:t>komercinim</w:t>
      </w:r>
      <w:r w:rsidR="00D92A63">
        <w:rPr>
          <w:rFonts w:ascii="Times New Roman" w:hAnsi="Times New Roman"/>
          <w:color w:val="595959" w:themeColor="text1" w:themeTint="A6"/>
          <w:lang w:eastAsia="lt-LT"/>
        </w:rPr>
        <w:t>o</w:t>
      </w:r>
      <w:proofErr w:type="spellEnd"/>
      <w:r w:rsidR="008824C5">
        <w:rPr>
          <w:rFonts w:ascii="Times New Roman" w:hAnsi="Times New Roman"/>
          <w:color w:val="595959" w:themeColor="text1" w:themeTint="A6"/>
          <w:lang w:eastAsia="lt-LT"/>
        </w:rPr>
        <w:t xml:space="preserve"> ir technologijų </w:t>
      </w:r>
      <w:r w:rsidR="00D92A63">
        <w:rPr>
          <w:rFonts w:ascii="Times New Roman" w:hAnsi="Times New Roman"/>
          <w:color w:val="595959" w:themeColor="text1" w:themeTint="A6"/>
          <w:lang w:eastAsia="lt-LT"/>
        </w:rPr>
        <w:t xml:space="preserve">perdavimo </w:t>
      </w:r>
      <w:r w:rsidR="008824C5">
        <w:rPr>
          <w:rFonts w:ascii="Times New Roman" w:hAnsi="Times New Roman"/>
          <w:color w:val="595959" w:themeColor="text1" w:themeTint="A6"/>
          <w:lang w:eastAsia="lt-LT"/>
        </w:rPr>
        <w:t xml:space="preserve">mastą, kad ūkio subjektai finansuotų didesnę </w:t>
      </w:r>
      <w:r w:rsidR="00D92A63">
        <w:rPr>
          <w:rFonts w:ascii="Times New Roman" w:hAnsi="Times New Roman"/>
          <w:color w:val="595959" w:themeColor="text1" w:themeTint="A6"/>
          <w:lang w:eastAsia="lt-LT"/>
        </w:rPr>
        <w:t>mokslo ir st</w:t>
      </w:r>
      <w:r w:rsidR="008824C5">
        <w:rPr>
          <w:rFonts w:ascii="Times New Roman" w:hAnsi="Times New Roman"/>
          <w:color w:val="595959" w:themeColor="text1" w:themeTint="A6"/>
          <w:lang w:eastAsia="lt-LT"/>
        </w:rPr>
        <w:t>udijų</w:t>
      </w:r>
      <w:r w:rsidR="00D92A63">
        <w:rPr>
          <w:rFonts w:ascii="Times New Roman" w:hAnsi="Times New Roman"/>
          <w:color w:val="595959" w:themeColor="text1" w:themeTint="A6"/>
          <w:lang w:eastAsia="lt-LT"/>
        </w:rPr>
        <w:t xml:space="preserve"> institucijų MTEP išlaidų dalį.</w:t>
      </w:r>
    </w:p>
    <w:p w:rsidR="005065CD" w:rsidRPr="005065CD" w:rsidRDefault="005065CD" w:rsidP="005065CD">
      <w:pPr>
        <w:pStyle w:val="tekstas"/>
        <w:rPr>
          <w:rFonts w:ascii="Times New Roman" w:hAnsi="Times New Roman"/>
          <w:color w:val="595959" w:themeColor="text1" w:themeTint="A6"/>
          <w:lang w:eastAsia="lt-LT"/>
        </w:rPr>
      </w:pPr>
      <w:r w:rsidRPr="005065CD">
        <w:rPr>
          <w:rFonts w:ascii="Times New Roman" w:hAnsi="Times New Roman"/>
          <w:color w:val="595959" w:themeColor="text1" w:themeTint="A6"/>
          <w:lang w:eastAsia="lt-LT"/>
        </w:rPr>
        <w:t xml:space="preserve">Švietimo, mokslo ir sporto ministerija pradėjo investicijas į MTEP veiklų </w:t>
      </w:r>
      <w:proofErr w:type="spellStart"/>
      <w:r w:rsidRPr="005065CD">
        <w:rPr>
          <w:rFonts w:ascii="Times New Roman" w:hAnsi="Times New Roman"/>
          <w:color w:val="595959" w:themeColor="text1" w:themeTint="A6"/>
          <w:lang w:eastAsia="lt-LT"/>
        </w:rPr>
        <w:t>tarptautiškumo</w:t>
      </w:r>
      <w:proofErr w:type="spellEnd"/>
      <w:r w:rsidRPr="005065CD">
        <w:rPr>
          <w:rFonts w:ascii="Times New Roman" w:hAnsi="Times New Roman"/>
          <w:color w:val="595959" w:themeColor="text1" w:themeTint="A6"/>
          <w:lang w:eastAsia="lt-LT"/>
        </w:rPr>
        <w:t xml:space="preserve"> skatinimą per tarpvalstybinius tinklus (numatyta investuoti 6 mln. eurų), mokslo ir studijų institucijų projektus susijusius su MTEP rezultatų </w:t>
      </w:r>
      <w:proofErr w:type="spellStart"/>
      <w:r w:rsidRPr="005065CD">
        <w:rPr>
          <w:rFonts w:ascii="Times New Roman" w:hAnsi="Times New Roman"/>
          <w:color w:val="595959" w:themeColor="text1" w:themeTint="A6"/>
          <w:lang w:eastAsia="lt-LT"/>
        </w:rPr>
        <w:t>komercinimu</w:t>
      </w:r>
      <w:proofErr w:type="spellEnd"/>
      <w:r w:rsidRPr="005065CD">
        <w:rPr>
          <w:rFonts w:ascii="Times New Roman" w:hAnsi="Times New Roman"/>
          <w:color w:val="595959" w:themeColor="text1" w:themeTint="A6"/>
          <w:lang w:eastAsia="lt-LT"/>
        </w:rPr>
        <w:t xml:space="preserve">, teikiant finansavimą besikuriančioms jaunoms inovacinėms įmonėms, (investuota 7,2 mln. eurų) mokslo populiarinimo infrastruktūros plėtrą, įkuriant regioninius STEAM centrus Vilniuje, Kaune ir Klaipėdoje. Dalies sutarčių pasirašymo terminas atidėtas iki 2021 m. balandžio 30 d. skyrus papildomą finansavimą iš </w:t>
      </w:r>
      <w:proofErr w:type="spellStart"/>
      <w:r w:rsidRPr="005065CD">
        <w:rPr>
          <w:rFonts w:ascii="Times New Roman" w:hAnsi="Times New Roman"/>
          <w:color w:val="595959" w:themeColor="text1" w:themeTint="A6"/>
          <w:lang w:eastAsia="lt-LT"/>
        </w:rPr>
        <w:t>React-EU</w:t>
      </w:r>
      <w:proofErr w:type="spellEnd"/>
      <w:r w:rsidRPr="005065CD">
        <w:rPr>
          <w:rFonts w:ascii="Times New Roman" w:hAnsi="Times New Roman"/>
          <w:color w:val="595959" w:themeColor="text1" w:themeTint="A6"/>
          <w:lang w:eastAsia="lt-LT"/>
        </w:rPr>
        <w:t xml:space="preserve"> lėšų arba numačius pro</w:t>
      </w:r>
      <w:r>
        <w:rPr>
          <w:rFonts w:ascii="Times New Roman" w:hAnsi="Times New Roman"/>
          <w:color w:val="595959" w:themeColor="text1" w:themeTint="A6"/>
          <w:lang w:eastAsia="lt-LT"/>
        </w:rPr>
        <w:t xml:space="preserve">gramos lėšų </w:t>
      </w:r>
      <w:proofErr w:type="spellStart"/>
      <w:r>
        <w:rPr>
          <w:rFonts w:ascii="Times New Roman" w:hAnsi="Times New Roman"/>
          <w:color w:val="595959" w:themeColor="text1" w:themeTint="A6"/>
          <w:lang w:eastAsia="lt-LT"/>
        </w:rPr>
        <w:t>virškontraktavimą</w:t>
      </w:r>
      <w:proofErr w:type="spellEnd"/>
      <w:r>
        <w:rPr>
          <w:rFonts w:ascii="Times New Roman" w:hAnsi="Times New Roman"/>
          <w:color w:val="595959" w:themeColor="text1" w:themeTint="A6"/>
          <w:lang w:eastAsia="lt-LT"/>
        </w:rPr>
        <w:t>.</w:t>
      </w:r>
    </w:p>
    <w:p w:rsidR="005065CD" w:rsidRPr="005065CD" w:rsidRDefault="005065CD" w:rsidP="005065CD">
      <w:pPr>
        <w:pStyle w:val="tekstas"/>
        <w:rPr>
          <w:rFonts w:ascii="Times New Roman" w:hAnsi="Times New Roman"/>
          <w:color w:val="595959" w:themeColor="text1" w:themeTint="A6"/>
          <w:lang w:eastAsia="lt-LT"/>
        </w:rPr>
      </w:pPr>
      <w:r w:rsidRPr="005065CD">
        <w:rPr>
          <w:rFonts w:ascii="Times New Roman" w:hAnsi="Times New Roman"/>
          <w:color w:val="595959" w:themeColor="text1" w:themeTint="A6"/>
          <w:lang w:eastAsia="lt-LT"/>
        </w:rPr>
        <w:t xml:space="preserve">Investicijų į MTEP rezultatų </w:t>
      </w:r>
      <w:proofErr w:type="spellStart"/>
      <w:r w:rsidRPr="005065CD">
        <w:rPr>
          <w:rFonts w:ascii="Times New Roman" w:hAnsi="Times New Roman"/>
          <w:color w:val="595959" w:themeColor="text1" w:themeTint="A6"/>
          <w:lang w:eastAsia="lt-LT"/>
        </w:rPr>
        <w:t>komercinimo</w:t>
      </w:r>
      <w:proofErr w:type="spellEnd"/>
      <w:r w:rsidRPr="005065CD">
        <w:rPr>
          <w:rFonts w:ascii="Times New Roman" w:hAnsi="Times New Roman"/>
          <w:color w:val="595959" w:themeColor="text1" w:themeTint="A6"/>
          <w:lang w:eastAsia="lt-LT"/>
        </w:rPr>
        <w:t xml:space="preserve"> ir </w:t>
      </w:r>
      <w:proofErr w:type="spellStart"/>
      <w:r w:rsidRPr="005065CD">
        <w:rPr>
          <w:rFonts w:ascii="Times New Roman" w:hAnsi="Times New Roman"/>
          <w:color w:val="595959" w:themeColor="text1" w:themeTint="A6"/>
          <w:lang w:eastAsia="lt-LT"/>
        </w:rPr>
        <w:t>tarptautiškumo</w:t>
      </w:r>
      <w:proofErr w:type="spellEnd"/>
      <w:r w:rsidRPr="005065CD">
        <w:rPr>
          <w:rFonts w:ascii="Times New Roman" w:hAnsi="Times New Roman"/>
          <w:color w:val="595959" w:themeColor="text1" w:themeTint="A6"/>
          <w:lang w:eastAsia="lt-LT"/>
        </w:rPr>
        <w:t xml:space="preserve"> skatinimo veiklas susijusias su MTEP rezultatų </w:t>
      </w:r>
      <w:proofErr w:type="spellStart"/>
      <w:r w:rsidRPr="005065CD">
        <w:rPr>
          <w:rFonts w:ascii="Times New Roman" w:hAnsi="Times New Roman"/>
          <w:color w:val="595959" w:themeColor="text1" w:themeTint="A6"/>
          <w:lang w:eastAsia="lt-LT"/>
        </w:rPr>
        <w:t>komercinimu</w:t>
      </w:r>
      <w:proofErr w:type="spellEnd"/>
      <w:r w:rsidRPr="005065CD">
        <w:rPr>
          <w:rFonts w:ascii="Times New Roman" w:hAnsi="Times New Roman"/>
          <w:color w:val="595959" w:themeColor="text1" w:themeTint="A6"/>
          <w:lang w:eastAsia="lt-LT"/>
        </w:rPr>
        <w:t xml:space="preserve"> steigiant </w:t>
      </w:r>
      <w:proofErr w:type="spellStart"/>
      <w:r w:rsidRPr="005065CD">
        <w:rPr>
          <w:rFonts w:ascii="Times New Roman" w:hAnsi="Times New Roman"/>
          <w:color w:val="595959" w:themeColor="text1" w:themeTint="A6"/>
          <w:lang w:eastAsia="lt-LT"/>
        </w:rPr>
        <w:t>atžalines</w:t>
      </w:r>
      <w:proofErr w:type="spellEnd"/>
      <w:r w:rsidRPr="005065CD">
        <w:rPr>
          <w:rFonts w:ascii="Times New Roman" w:hAnsi="Times New Roman"/>
          <w:color w:val="595959" w:themeColor="text1" w:themeTint="A6"/>
          <w:lang w:eastAsia="lt-LT"/>
        </w:rPr>
        <w:t xml:space="preserve"> įmones ir EUREKA projektų per tarpvalstybinį tinklą įgyvendinimu, augimą nulėmė 2020 m. atlikti finansavimo sąlygų pakeitimai, turėję įtakos didesniam paraiškų srautui ir tikimasi, kad iki 2021 m. balandžio 30 d bus sudarytos visos projektų sutartys.</w:t>
      </w:r>
    </w:p>
    <w:p w:rsidR="005065CD" w:rsidRPr="005065CD" w:rsidRDefault="005065CD" w:rsidP="005065CD">
      <w:pPr>
        <w:pStyle w:val="tekstas"/>
        <w:rPr>
          <w:rFonts w:ascii="Times New Roman" w:hAnsi="Times New Roman"/>
          <w:color w:val="595959" w:themeColor="text1" w:themeTint="A6"/>
          <w:lang w:eastAsia="lt-LT"/>
        </w:rPr>
      </w:pPr>
      <w:r w:rsidRPr="005065CD">
        <w:rPr>
          <w:rFonts w:ascii="Times New Roman" w:hAnsi="Times New Roman"/>
          <w:color w:val="595959" w:themeColor="text1" w:themeTint="A6"/>
          <w:lang w:eastAsia="lt-LT"/>
        </w:rPr>
        <w:t xml:space="preserve">2020 m. IV </w:t>
      </w:r>
      <w:proofErr w:type="spellStart"/>
      <w:r w:rsidRPr="005065CD">
        <w:rPr>
          <w:rFonts w:ascii="Times New Roman" w:hAnsi="Times New Roman"/>
          <w:color w:val="595959" w:themeColor="text1" w:themeTint="A6"/>
          <w:lang w:eastAsia="lt-LT"/>
        </w:rPr>
        <w:t>ketv</w:t>
      </w:r>
      <w:proofErr w:type="spellEnd"/>
      <w:r w:rsidRPr="005065CD">
        <w:rPr>
          <w:rFonts w:ascii="Times New Roman" w:hAnsi="Times New Roman"/>
          <w:color w:val="595959" w:themeColor="text1" w:themeTint="A6"/>
          <w:lang w:eastAsia="lt-LT"/>
        </w:rPr>
        <w:t xml:space="preserve">. užsitęsė pasirengimas investicijoms į tikslinius mokslinius tyrimus skirtus </w:t>
      </w:r>
      <w:proofErr w:type="spellStart"/>
      <w:r w:rsidRPr="005065CD">
        <w:rPr>
          <w:rFonts w:ascii="Times New Roman" w:hAnsi="Times New Roman"/>
          <w:color w:val="595959" w:themeColor="text1" w:themeTint="A6"/>
          <w:lang w:eastAsia="lt-LT"/>
        </w:rPr>
        <w:t>Covid-19</w:t>
      </w:r>
      <w:proofErr w:type="spellEnd"/>
      <w:r w:rsidRPr="005065CD">
        <w:rPr>
          <w:rFonts w:ascii="Times New Roman" w:hAnsi="Times New Roman"/>
          <w:color w:val="595959" w:themeColor="text1" w:themeTint="A6"/>
          <w:lang w:eastAsia="lt-LT"/>
        </w:rPr>
        <w:t xml:space="preserve"> tyrimams ir / arba pasekmėms spręsti. Šios priemonės kvietimas teikti paraiškas paskelbtas 2021 m. vasario 18 d. ir tęsis iki 2021 m. balandžio 22 d. Atsižvelgiant į tyrimų aktualumą ir svarbą visuomenei Lietuvos mokslo taryba turi užtikrinti</w:t>
      </w:r>
      <w:r>
        <w:rPr>
          <w:rFonts w:ascii="Times New Roman" w:hAnsi="Times New Roman"/>
          <w:color w:val="595959" w:themeColor="text1" w:themeTint="A6"/>
          <w:lang w:eastAsia="lt-LT"/>
        </w:rPr>
        <w:t xml:space="preserve"> sklandų projektų vertinimą ir </w:t>
      </w:r>
      <w:r w:rsidRPr="005065CD">
        <w:rPr>
          <w:rFonts w:ascii="Times New Roman" w:hAnsi="Times New Roman"/>
          <w:color w:val="595959" w:themeColor="text1" w:themeTint="A6"/>
          <w:lang w:eastAsia="lt-LT"/>
        </w:rPr>
        <w:t>jų įgyvendinimą.</w:t>
      </w:r>
    </w:p>
    <w:p w:rsidR="00A04564" w:rsidRDefault="005065CD" w:rsidP="005065CD">
      <w:pPr>
        <w:pStyle w:val="tekstas"/>
        <w:rPr>
          <w:rFonts w:ascii="Times New Roman" w:hAnsi="Times New Roman"/>
          <w:color w:val="595959" w:themeColor="text1" w:themeTint="A6"/>
          <w:lang w:eastAsia="lt-LT"/>
        </w:rPr>
      </w:pPr>
      <w:r w:rsidRPr="005065CD">
        <w:rPr>
          <w:rFonts w:ascii="Times New Roman" w:hAnsi="Times New Roman"/>
          <w:color w:val="595959" w:themeColor="text1" w:themeTint="A6"/>
          <w:lang w:eastAsia="lt-LT"/>
        </w:rPr>
        <w:t xml:space="preserve">2020 m. spartėjo investicijų į MTEPI infrastruktūros plėtrą planavimas ir įgyvendinimas: sudarytos visos projektų finansavimo sutartys, pareiškėjams pasirašius statybos rangos darbų sutartis prasidėjo stambių projektų (Vilniaus universiteto Medicinos fakulteto Mokslo centro sukūrimas, Vilniaus Gedimino technikos universiteto Mechanikos, Elektronikos ir Transporto inžinerijos fakultetų laboratorijų korpuso statyba, Mokslo ir inovacijų sklaidos centro Kaune sukūrimas) įgyvendinimas ir dėl to iš dalies sumažėjo projektų įgyvendinimo vėlavimo rizika. Tačiau prie rizikingų priskirtini 8 MTEPI infrastruktūros projektai, kurių lėšų investavimas dėl administracinių trukdžių (statybos leidimų gavimas, kultūros paveldo klausimų derinimas ir kt.), užsitęsusių viešųjų pirkimų procedūrų, papildomo finansavimo poreikio yra lėtas. Kol kas baigtas tik vienas MTEPI infrastruktūros projektas – 2020 m. IV </w:t>
      </w:r>
      <w:proofErr w:type="spellStart"/>
      <w:r w:rsidRPr="005065CD">
        <w:rPr>
          <w:rFonts w:ascii="Times New Roman" w:hAnsi="Times New Roman"/>
          <w:color w:val="595959" w:themeColor="text1" w:themeTint="A6"/>
          <w:lang w:eastAsia="lt-LT"/>
        </w:rPr>
        <w:t>ketv</w:t>
      </w:r>
      <w:proofErr w:type="spellEnd"/>
      <w:r w:rsidRPr="005065CD">
        <w:rPr>
          <w:rFonts w:ascii="Times New Roman" w:hAnsi="Times New Roman"/>
          <w:color w:val="595959" w:themeColor="text1" w:themeTint="A6"/>
          <w:lang w:eastAsia="lt-LT"/>
        </w:rPr>
        <w:t>. įgyvendintas Klaipėdos universiteto projektas „Jūrinio slėnio branduolio sukūrimas ir studijų infrastruktūros atnaujinimas“. Švietimo, mokslo ir sporto ministerija bendradarbiaudama su CPVA organizuoja ketvirtinius stebėsenos susitikimus, kuriuose aptariama infrastruktū</w:t>
      </w:r>
      <w:r>
        <w:rPr>
          <w:rFonts w:ascii="Times New Roman" w:hAnsi="Times New Roman"/>
          <w:color w:val="595959" w:themeColor="text1" w:themeTint="A6"/>
          <w:lang w:eastAsia="lt-LT"/>
        </w:rPr>
        <w:t>ros projektų įgyvendinimo eiga.</w:t>
      </w:r>
      <w:r w:rsidRPr="005065CD">
        <w:rPr>
          <w:rFonts w:ascii="Times New Roman" w:hAnsi="Times New Roman"/>
          <w:color w:val="595959" w:themeColor="text1" w:themeTint="A6"/>
          <w:lang w:eastAsia="lt-LT"/>
        </w:rPr>
        <w:t xml:space="preserve"> Turi būti ir toliau vertinamos rizikos laiku neįgyvendinti MTEPI infrastruktūros projektų ir atsiradus grėsmei prar</w:t>
      </w:r>
      <w:r>
        <w:rPr>
          <w:rFonts w:ascii="Times New Roman" w:hAnsi="Times New Roman"/>
          <w:color w:val="595959" w:themeColor="text1" w:themeTint="A6"/>
          <w:lang w:eastAsia="lt-LT"/>
        </w:rPr>
        <w:t>asti ES lėšas, aptariami veiksmai</w:t>
      </w:r>
      <w:r w:rsidRPr="005065CD">
        <w:rPr>
          <w:rFonts w:ascii="Times New Roman" w:hAnsi="Times New Roman"/>
          <w:color w:val="595959" w:themeColor="text1" w:themeTint="A6"/>
          <w:lang w:eastAsia="lt-LT"/>
        </w:rPr>
        <w:t xml:space="preserve"> projektų įgyvendinimo rizikoms sumažinti arba teikiami siūlymus dėl lėšų perskirstymo.</w:t>
      </w:r>
    </w:p>
    <w:p w:rsidR="005065CD" w:rsidRPr="008B794C" w:rsidRDefault="005065CD" w:rsidP="00D768C4">
      <w:pPr>
        <w:pStyle w:val="tekstas"/>
        <w:ind w:firstLine="0"/>
        <w:rPr>
          <w:rFonts w:ascii="Times New Roman" w:hAnsi="Times New Roman"/>
          <w:color w:val="595959" w:themeColor="text1" w:themeTint="A6"/>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8B794C" w:rsidRPr="0040787A" w:rsidTr="00574E3F">
        <w:tc>
          <w:tcPr>
            <w:tcW w:w="9638" w:type="dxa"/>
            <w:tcBorders>
              <w:top w:val="nil"/>
              <w:left w:val="nil"/>
              <w:bottom w:val="nil"/>
              <w:right w:val="nil"/>
            </w:tcBorders>
            <w:shd w:val="clear" w:color="auto" w:fill="D9D9D9" w:themeFill="background1" w:themeFillShade="D9"/>
          </w:tcPr>
          <w:p w:rsidR="008B794C" w:rsidRPr="0040787A" w:rsidRDefault="008B794C" w:rsidP="00574E3F">
            <w:pPr>
              <w:jc w:val="both"/>
              <w:rPr>
                <w:b/>
                <w:color w:val="365F91" w:themeColor="accent1" w:themeShade="BF"/>
              </w:rPr>
            </w:pPr>
            <w:r>
              <w:rPr>
                <w:b/>
                <w:color w:val="365F91" w:themeColor="accent1" w:themeShade="BF"/>
              </w:rPr>
              <w:t>Siūlymas</w:t>
            </w:r>
            <w:r w:rsidRPr="008B794C">
              <w:rPr>
                <w:b/>
                <w:color w:val="365F91" w:themeColor="accent1" w:themeShade="BF"/>
              </w:rPr>
              <w:t xml:space="preserve"> Švietimo mokslo ir sporto</w:t>
            </w:r>
            <w:r>
              <w:t xml:space="preserve"> </w:t>
            </w:r>
            <w:r w:rsidRPr="0040787A">
              <w:rPr>
                <w:b/>
                <w:color w:val="365F91" w:themeColor="accent1" w:themeShade="BF"/>
              </w:rPr>
              <w:t>ministerijai:</w:t>
            </w:r>
          </w:p>
          <w:p w:rsidR="008B794C" w:rsidRPr="00835C89" w:rsidRDefault="008B794C" w:rsidP="00574E3F">
            <w:pPr>
              <w:jc w:val="both"/>
              <w:rPr>
                <w:color w:val="365F91" w:themeColor="accent1" w:themeShade="BF"/>
              </w:rPr>
            </w:pPr>
            <w:r w:rsidRPr="0040787A">
              <w:rPr>
                <w:color w:val="365F91" w:themeColor="accent1" w:themeShade="BF"/>
              </w:rPr>
              <w:t>-</w:t>
            </w:r>
            <w:r>
              <w:t xml:space="preserve"> </w:t>
            </w:r>
            <w:r w:rsidRPr="00105925">
              <w:rPr>
                <w:color w:val="365F91" w:themeColor="accent1" w:themeShade="BF"/>
              </w:rPr>
              <w:t xml:space="preserve">bendradarbiaujant su Centrine projektų valdymo agentūra </w:t>
            </w:r>
            <w:r>
              <w:rPr>
                <w:color w:val="365F91" w:themeColor="accent1" w:themeShade="BF"/>
              </w:rPr>
              <w:t>tęsti</w:t>
            </w:r>
            <w:r w:rsidRPr="00105925">
              <w:rPr>
                <w:color w:val="365F91" w:themeColor="accent1" w:themeShade="BF"/>
              </w:rPr>
              <w:t xml:space="preserve"> MTEPI infrastruktūros projektų</w:t>
            </w:r>
            <w:r>
              <w:rPr>
                <w:color w:val="365F91" w:themeColor="accent1" w:themeShade="BF"/>
              </w:rPr>
              <w:t xml:space="preserve"> įgyvendinimo priežiūrą</w:t>
            </w:r>
            <w:r w:rsidRPr="00105925">
              <w:rPr>
                <w:color w:val="365F91" w:themeColor="accent1" w:themeShade="BF"/>
              </w:rPr>
              <w:t xml:space="preserve"> ir esant grėsmei prarasti ES lėšas pateikti siūlymus dėl </w:t>
            </w:r>
            <w:r>
              <w:rPr>
                <w:color w:val="365F91" w:themeColor="accent1" w:themeShade="BF"/>
              </w:rPr>
              <w:t xml:space="preserve">jų </w:t>
            </w:r>
            <w:r w:rsidRPr="00105925">
              <w:rPr>
                <w:color w:val="365F91" w:themeColor="accent1" w:themeShade="BF"/>
              </w:rPr>
              <w:t>perskirstymo</w:t>
            </w:r>
            <w:r w:rsidR="00F41C82">
              <w:rPr>
                <w:color w:val="365F91" w:themeColor="accent1" w:themeShade="BF"/>
              </w:rPr>
              <w:t>.</w:t>
            </w:r>
          </w:p>
        </w:tc>
      </w:tr>
    </w:tbl>
    <w:p w:rsidR="002479ED" w:rsidRDefault="002479ED" w:rsidP="001D73A7">
      <w:pPr>
        <w:pStyle w:val="tekstas"/>
        <w:ind w:firstLine="0"/>
        <w:rPr>
          <w:rFonts w:ascii="Times New Roman" w:hAnsi="Times New Roman"/>
          <w:color w:val="595959" w:themeColor="text1" w:themeTint="A6"/>
          <w:lang w:eastAsia="lt-LT"/>
        </w:rPr>
      </w:pPr>
    </w:p>
    <w:p w:rsidR="00AF6EBD" w:rsidRDefault="00AF6EBD" w:rsidP="001D73A7">
      <w:pPr>
        <w:pStyle w:val="tekstas"/>
        <w:ind w:firstLine="0"/>
        <w:rPr>
          <w:rFonts w:ascii="Times New Roman" w:hAnsi="Times New Roman"/>
          <w:color w:val="595959" w:themeColor="text1" w:themeTint="A6"/>
          <w:lang w:eastAsia="lt-LT"/>
        </w:rPr>
      </w:pPr>
    </w:p>
    <w:p w:rsidR="0051153D" w:rsidRPr="00D43A9F" w:rsidRDefault="0051153D" w:rsidP="001D73A7">
      <w:pPr>
        <w:pStyle w:val="tekstas"/>
        <w:ind w:firstLine="0"/>
        <w:rPr>
          <w:rFonts w:ascii="Times New Roman" w:hAnsi="Times New Roman"/>
          <w:color w:val="595959" w:themeColor="text1" w:themeTint="A6"/>
          <w:lang w:eastAsia="lt-LT"/>
        </w:rPr>
      </w:pPr>
    </w:p>
    <w:p w:rsidR="00533966" w:rsidRDefault="00AF6EBD" w:rsidP="00933E59">
      <w:pPr>
        <w:jc w:val="both"/>
        <w:rPr>
          <w:color w:val="595959" w:themeColor="text1" w:themeTint="A6"/>
          <w:szCs w:val="24"/>
          <w:lang w:eastAsia="lt-LT"/>
        </w:rPr>
      </w:pPr>
      <w:r>
        <w:rPr>
          <w:noProof/>
          <w:lang w:eastAsia="lt-LT"/>
        </w:rPr>
        <w:lastRenderedPageBreak/>
        <w:drawing>
          <wp:inline distT="0" distB="0" distL="0" distR="0" wp14:anchorId="1690D259" wp14:editId="208B0B53">
            <wp:extent cx="6120130" cy="709910"/>
            <wp:effectExtent l="0" t="0" r="13970" b="14605"/>
            <wp:docPr id="389" name="Diagrama 3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1153D" w:rsidRDefault="0051153D" w:rsidP="00933E59">
      <w:pPr>
        <w:jc w:val="both"/>
        <w:rPr>
          <w:color w:val="595959" w:themeColor="text1" w:themeTint="A6"/>
          <w:szCs w:val="24"/>
          <w:lang w:eastAsia="lt-LT"/>
        </w:rPr>
      </w:pPr>
    </w:p>
    <w:p w:rsidR="00013F4B" w:rsidRDefault="00013F4B" w:rsidP="00E920B5">
      <w:pPr>
        <w:ind w:firstLine="426"/>
        <w:jc w:val="both"/>
        <w:rPr>
          <w:color w:val="595959" w:themeColor="text1" w:themeTint="A6"/>
          <w:szCs w:val="24"/>
          <w:lang w:eastAsia="lt-LT"/>
        </w:rPr>
      </w:pPr>
      <w:r>
        <w:rPr>
          <w:color w:val="595959" w:themeColor="text1" w:themeTint="A6"/>
          <w:szCs w:val="24"/>
          <w:lang w:eastAsia="lt-LT"/>
        </w:rPr>
        <w:t>Ekonomikos ir inovacijų ministerijos investicijos šiame Veiksmų programos prioritete nukreiptos į MTEPI veiklų aktyvumo didinimą privačiame sektoriuje, siekiant, kad nuosekliai didėtų verslo sektoriaus išlaidos MTEP</w:t>
      </w:r>
      <w:r w:rsidR="00CB7498">
        <w:rPr>
          <w:color w:val="595959" w:themeColor="text1" w:themeTint="A6"/>
          <w:szCs w:val="24"/>
          <w:lang w:eastAsia="lt-LT"/>
        </w:rPr>
        <w:t xml:space="preserve"> ir </w:t>
      </w:r>
      <w:proofErr w:type="spellStart"/>
      <w:r w:rsidR="00CB7498">
        <w:rPr>
          <w:color w:val="595959" w:themeColor="text1" w:themeTint="A6"/>
          <w:szCs w:val="24"/>
          <w:lang w:eastAsia="lt-LT"/>
        </w:rPr>
        <w:t>inovatyvių</w:t>
      </w:r>
      <w:proofErr w:type="spellEnd"/>
      <w:r w:rsidR="00CB7498">
        <w:rPr>
          <w:color w:val="595959" w:themeColor="text1" w:themeTint="A6"/>
          <w:szCs w:val="24"/>
          <w:lang w:eastAsia="lt-LT"/>
        </w:rPr>
        <w:t xml:space="preserve"> bendradarbiaujančių įmonių dalis. Pagrindiniai iššūkiai šioje srityje – mažas inovacinėms veikloms imlių įmonių kiekis ir jų investicijos į MTEP, kuriuos turėtų padėti išspręsti pertvarkyta inovacijų paramos sistema, inovacijų paklausos skatinimas, efektyviai veikianti sumaniosios specializacijos strategija ir kt. priemonių visuma. </w:t>
      </w:r>
    </w:p>
    <w:p w:rsidR="00CB7498" w:rsidRPr="00F67703" w:rsidRDefault="00CB7498" w:rsidP="00CA452C">
      <w:pPr>
        <w:pStyle w:val="tekstas"/>
        <w:tabs>
          <w:tab w:val="left" w:pos="426"/>
        </w:tabs>
        <w:rPr>
          <w:rFonts w:ascii="Times New Roman" w:hAnsi="Times New Roman"/>
          <w:color w:val="595959" w:themeColor="text1" w:themeTint="A6"/>
          <w:lang w:eastAsia="lt-LT"/>
        </w:rPr>
      </w:pPr>
      <w:r w:rsidRPr="00D76B38">
        <w:rPr>
          <w:rFonts w:ascii="Times New Roman" w:hAnsi="Times New Roman"/>
          <w:color w:val="595959" w:themeColor="text1" w:themeTint="A6"/>
          <w:lang w:eastAsia="lt-LT"/>
        </w:rPr>
        <w:t xml:space="preserve">Todėl ypač svarbi </w:t>
      </w:r>
      <w:r w:rsidR="00013F4B" w:rsidRPr="00D76B38">
        <w:rPr>
          <w:rFonts w:ascii="Times New Roman" w:hAnsi="Times New Roman"/>
          <w:color w:val="595959" w:themeColor="text1" w:themeTint="A6"/>
          <w:lang w:eastAsia="lt-LT"/>
        </w:rPr>
        <w:t xml:space="preserve">Ekonomikos ir inovacijų ministerijos lyderystė sprendžiant inovacijas skatinančių </w:t>
      </w:r>
      <w:r w:rsidR="006D2B87">
        <w:rPr>
          <w:rFonts w:ascii="Times New Roman" w:hAnsi="Times New Roman"/>
          <w:color w:val="595959" w:themeColor="text1" w:themeTint="A6"/>
          <w:lang w:eastAsia="lt-LT"/>
        </w:rPr>
        <w:t>įstaigų</w:t>
      </w:r>
      <w:r w:rsidR="00013F4B" w:rsidRPr="00D76B38">
        <w:rPr>
          <w:rFonts w:ascii="Times New Roman" w:hAnsi="Times New Roman"/>
          <w:color w:val="595959" w:themeColor="text1" w:themeTint="A6"/>
          <w:lang w:eastAsia="lt-LT"/>
        </w:rPr>
        <w:t xml:space="preserve"> konsolidavimo</w:t>
      </w:r>
      <w:r w:rsidR="006D2B87">
        <w:rPr>
          <w:rFonts w:ascii="Times New Roman" w:hAnsi="Times New Roman"/>
          <w:color w:val="595959" w:themeColor="text1" w:themeTint="A6"/>
          <w:lang w:eastAsia="lt-LT"/>
        </w:rPr>
        <w:t xml:space="preserve"> į vieną inovacijų agentūrą klausimus</w:t>
      </w:r>
      <w:r w:rsidR="00013F4B" w:rsidRPr="00D76B38">
        <w:rPr>
          <w:rFonts w:ascii="Times New Roman" w:hAnsi="Times New Roman"/>
          <w:color w:val="595959" w:themeColor="text1" w:themeTint="A6"/>
          <w:lang w:eastAsia="lt-LT"/>
        </w:rPr>
        <w:t>,</w:t>
      </w:r>
      <w:r w:rsidR="006D2B87">
        <w:rPr>
          <w:rFonts w:ascii="Times New Roman" w:hAnsi="Times New Roman"/>
          <w:color w:val="595959" w:themeColor="text1" w:themeTint="A6"/>
          <w:lang w:eastAsia="lt-LT"/>
        </w:rPr>
        <w:t xml:space="preserve"> taip pat kokybiškos </w:t>
      </w:r>
      <w:r w:rsidR="00013F4B" w:rsidRPr="00D76B38">
        <w:rPr>
          <w:rFonts w:ascii="Times New Roman" w:hAnsi="Times New Roman"/>
          <w:color w:val="595959" w:themeColor="text1" w:themeTint="A6"/>
          <w:lang w:eastAsia="lt-LT"/>
        </w:rPr>
        <w:t xml:space="preserve">sumaniosios specializacijos </w:t>
      </w:r>
      <w:r w:rsidR="006D2B87">
        <w:rPr>
          <w:rFonts w:ascii="Times New Roman" w:hAnsi="Times New Roman"/>
          <w:color w:val="595959" w:themeColor="text1" w:themeTint="A6"/>
          <w:lang w:eastAsia="lt-LT"/>
        </w:rPr>
        <w:t xml:space="preserve">strategijos parengimas ir jos </w:t>
      </w:r>
      <w:r w:rsidR="00013F4B" w:rsidRPr="00D76B38">
        <w:rPr>
          <w:rFonts w:ascii="Times New Roman" w:hAnsi="Times New Roman"/>
          <w:color w:val="595959" w:themeColor="text1" w:themeTint="A6"/>
          <w:lang w:eastAsia="lt-LT"/>
        </w:rPr>
        <w:t>veikimo užtikrinim</w:t>
      </w:r>
      <w:r w:rsidR="006D2B87">
        <w:rPr>
          <w:rFonts w:ascii="Times New Roman" w:hAnsi="Times New Roman"/>
          <w:color w:val="595959" w:themeColor="text1" w:themeTint="A6"/>
          <w:lang w:eastAsia="lt-LT"/>
        </w:rPr>
        <w:t xml:space="preserve">as, </w:t>
      </w:r>
      <w:r w:rsidR="006D2B87" w:rsidRPr="00F67703">
        <w:rPr>
          <w:rFonts w:ascii="Times New Roman" w:hAnsi="Times New Roman"/>
          <w:color w:val="595959" w:themeColor="text1" w:themeTint="A6"/>
          <w:lang w:eastAsia="lt-LT"/>
        </w:rPr>
        <w:t>skir</w:t>
      </w:r>
      <w:r w:rsidR="006D2B87">
        <w:rPr>
          <w:rFonts w:ascii="Times New Roman" w:hAnsi="Times New Roman"/>
          <w:color w:val="595959" w:themeColor="text1" w:themeTint="A6"/>
          <w:lang w:eastAsia="lt-LT"/>
        </w:rPr>
        <w:t xml:space="preserve">iant pakankamus </w:t>
      </w:r>
      <w:r w:rsidR="006D2B87" w:rsidRPr="00F67703">
        <w:rPr>
          <w:rFonts w:ascii="Times New Roman" w:hAnsi="Times New Roman"/>
          <w:color w:val="595959" w:themeColor="text1" w:themeTint="A6"/>
          <w:lang w:eastAsia="lt-LT"/>
        </w:rPr>
        <w:t>resurs</w:t>
      </w:r>
      <w:r w:rsidR="006D2B87">
        <w:rPr>
          <w:rFonts w:ascii="Times New Roman" w:hAnsi="Times New Roman"/>
          <w:color w:val="595959" w:themeColor="text1" w:themeTint="A6"/>
          <w:lang w:eastAsia="lt-LT"/>
        </w:rPr>
        <w:t>us</w:t>
      </w:r>
      <w:r w:rsidR="006D2B87" w:rsidRPr="00F67703">
        <w:rPr>
          <w:rFonts w:ascii="Times New Roman" w:hAnsi="Times New Roman"/>
          <w:color w:val="595959" w:themeColor="text1" w:themeTint="A6"/>
          <w:lang w:eastAsia="lt-LT"/>
        </w:rPr>
        <w:t xml:space="preserve"> </w:t>
      </w:r>
      <w:r w:rsidR="006D2B87">
        <w:rPr>
          <w:rFonts w:ascii="Times New Roman" w:hAnsi="Times New Roman"/>
          <w:color w:val="595959" w:themeColor="text1" w:themeTint="A6"/>
          <w:lang w:eastAsia="lt-LT"/>
        </w:rPr>
        <w:t xml:space="preserve">aktyviam ir nuolat vykdomam </w:t>
      </w:r>
      <w:proofErr w:type="spellStart"/>
      <w:r w:rsidR="006D2B87" w:rsidRPr="00F67703">
        <w:rPr>
          <w:rFonts w:ascii="Times New Roman" w:hAnsi="Times New Roman"/>
          <w:color w:val="595959" w:themeColor="text1" w:themeTint="A6"/>
          <w:lang w:eastAsia="lt-LT"/>
        </w:rPr>
        <w:t>antreprenerystės</w:t>
      </w:r>
      <w:proofErr w:type="spellEnd"/>
      <w:r w:rsidR="006D2B87" w:rsidRPr="00F67703">
        <w:rPr>
          <w:rFonts w:ascii="Times New Roman" w:hAnsi="Times New Roman"/>
          <w:color w:val="595959" w:themeColor="text1" w:themeTint="A6"/>
          <w:lang w:eastAsia="lt-LT"/>
        </w:rPr>
        <w:t xml:space="preserve"> paieškos procesui (angl. </w:t>
      </w:r>
      <w:proofErr w:type="spellStart"/>
      <w:r w:rsidR="006D2B87" w:rsidRPr="00F67703">
        <w:rPr>
          <w:rFonts w:ascii="Times New Roman" w:hAnsi="Times New Roman"/>
          <w:color w:val="595959" w:themeColor="text1" w:themeTint="A6"/>
          <w:lang w:eastAsia="lt-LT"/>
        </w:rPr>
        <w:t>entrepreneurial</w:t>
      </w:r>
      <w:proofErr w:type="spellEnd"/>
      <w:r w:rsidR="006D2B87" w:rsidRPr="00F67703">
        <w:rPr>
          <w:rFonts w:ascii="Times New Roman" w:hAnsi="Times New Roman"/>
          <w:color w:val="595959" w:themeColor="text1" w:themeTint="A6"/>
          <w:lang w:eastAsia="lt-LT"/>
        </w:rPr>
        <w:t xml:space="preserve"> </w:t>
      </w:r>
      <w:proofErr w:type="spellStart"/>
      <w:r w:rsidR="006D2B87" w:rsidRPr="00F67703">
        <w:rPr>
          <w:rFonts w:ascii="Times New Roman" w:hAnsi="Times New Roman"/>
          <w:color w:val="595959" w:themeColor="text1" w:themeTint="A6"/>
          <w:lang w:eastAsia="lt-LT"/>
        </w:rPr>
        <w:t>discovery</w:t>
      </w:r>
      <w:proofErr w:type="spellEnd"/>
      <w:r w:rsidR="006D2B87" w:rsidRPr="00F67703">
        <w:rPr>
          <w:rFonts w:ascii="Times New Roman" w:hAnsi="Times New Roman"/>
          <w:color w:val="595959" w:themeColor="text1" w:themeTint="A6"/>
          <w:lang w:eastAsia="lt-LT"/>
        </w:rPr>
        <w:t xml:space="preserve"> </w:t>
      </w:r>
      <w:proofErr w:type="spellStart"/>
      <w:r w:rsidR="006D2B87" w:rsidRPr="00F67703">
        <w:rPr>
          <w:rFonts w:ascii="Times New Roman" w:hAnsi="Times New Roman"/>
          <w:color w:val="595959" w:themeColor="text1" w:themeTint="A6"/>
          <w:lang w:eastAsia="lt-LT"/>
        </w:rPr>
        <w:t>process</w:t>
      </w:r>
      <w:proofErr w:type="spellEnd"/>
      <w:r w:rsidR="006D2B87" w:rsidRPr="00F67703">
        <w:rPr>
          <w:rFonts w:ascii="Times New Roman" w:hAnsi="Times New Roman"/>
          <w:color w:val="595959" w:themeColor="text1" w:themeTint="A6"/>
          <w:lang w:eastAsia="lt-LT"/>
        </w:rPr>
        <w:t>).</w:t>
      </w:r>
      <w:r w:rsidR="006D2B87">
        <w:rPr>
          <w:rFonts w:ascii="Times New Roman" w:hAnsi="Times New Roman"/>
          <w:color w:val="595959" w:themeColor="text1" w:themeTint="A6"/>
          <w:lang w:eastAsia="lt-LT"/>
        </w:rPr>
        <w:t xml:space="preserve"> S</w:t>
      </w:r>
      <w:r w:rsidR="00CA452C">
        <w:rPr>
          <w:rFonts w:ascii="Times New Roman" w:hAnsi="Times New Roman"/>
          <w:color w:val="595959" w:themeColor="text1" w:themeTint="A6"/>
          <w:lang w:eastAsia="lt-LT"/>
        </w:rPr>
        <w:t>katinant</w:t>
      </w:r>
      <w:r w:rsidR="006D2B87">
        <w:rPr>
          <w:rFonts w:ascii="Times New Roman" w:hAnsi="Times New Roman"/>
          <w:color w:val="595959" w:themeColor="text1" w:themeTint="A6"/>
          <w:lang w:eastAsia="lt-LT"/>
        </w:rPr>
        <w:t xml:space="preserve"> </w:t>
      </w:r>
      <w:r w:rsidR="0015434C">
        <w:rPr>
          <w:rFonts w:ascii="Times New Roman" w:hAnsi="Times New Roman"/>
          <w:color w:val="595959" w:themeColor="text1" w:themeTint="A6"/>
          <w:lang w:eastAsia="lt-LT"/>
        </w:rPr>
        <w:t>inovacij</w:t>
      </w:r>
      <w:r w:rsidR="00CA452C">
        <w:rPr>
          <w:rFonts w:ascii="Times New Roman" w:hAnsi="Times New Roman"/>
          <w:color w:val="595959" w:themeColor="text1" w:themeTint="A6"/>
          <w:lang w:eastAsia="lt-LT"/>
        </w:rPr>
        <w:t>as</w:t>
      </w:r>
      <w:r w:rsidR="0015434C">
        <w:rPr>
          <w:rFonts w:ascii="Times New Roman" w:hAnsi="Times New Roman"/>
          <w:color w:val="595959" w:themeColor="text1" w:themeTint="A6"/>
          <w:lang w:eastAsia="lt-LT"/>
        </w:rPr>
        <w:t xml:space="preserve"> per </w:t>
      </w:r>
      <w:proofErr w:type="spellStart"/>
      <w:r w:rsidR="00013F4B" w:rsidRPr="00D76B38">
        <w:rPr>
          <w:rFonts w:ascii="Times New Roman" w:hAnsi="Times New Roman"/>
          <w:color w:val="595959" w:themeColor="text1" w:themeTint="A6"/>
          <w:lang w:eastAsia="lt-LT"/>
        </w:rPr>
        <w:t>inovatyvi</w:t>
      </w:r>
      <w:r w:rsidR="00D76B38">
        <w:rPr>
          <w:rFonts w:ascii="Times New Roman" w:hAnsi="Times New Roman"/>
          <w:color w:val="595959" w:themeColor="text1" w:themeTint="A6"/>
          <w:lang w:eastAsia="lt-LT"/>
        </w:rPr>
        <w:t>ų</w:t>
      </w:r>
      <w:r w:rsidR="0015434C">
        <w:rPr>
          <w:rFonts w:ascii="Times New Roman" w:hAnsi="Times New Roman"/>
          <w:color w:val="595959" w:themeColor="text1" w:themeTint="A6"/>
          <w:lang w:eastAsia="lt-LT"/>
        </w:rPr>
        <w:t>jų</w:t>
      </w:r>
      <w:proofErr w:type="spellEnd"/>
      <w:r w:rsidR="0015434C">
        <w:rPr>
          <w:rFonts w:ascii="Times New Roman" w:hAnsi="Times New Roman"/>
          <w:color w:val="595959" w:themeColor="text1" w:themeTint="A6"/>
          <w:lang w:eastAsia="lt-LT"/>
        </w:rPr>
        <w:t xml:space="preserve"> viešųjų </w:t>
      </w:r>
      <w:r w:rsidR="00013F4B" w:rsidRPr="00D76B38">
        <w:rPr>
          <w:rFonts w:ascii="Times New Roman" w:hAnsi="Times New Roman"/>
          <w:color w:val="595959" w:themeColor="text1" w:themeTint="A6"/>
          <w:lang w:eastAsia="lt-LT"/>
        </w:rPr>
        <w:t>pirkimų vertės augim</w:t>
      </w:r>
      <w:r w:rsidR="0015434C">
        <w:rPr>
          <w:rFonts w:ascii="Times New Roman" w:hAnsi="Times New Roman"/>
          <w:color w:val="595959" w:themeColor="text1" w:themeTint="A6"/>
          <w:lang w:eastAsia="lt-LT"/>
        </w:rPr>
        <w:t>ą, Ekonomikos ir inovacijų ministerijai</w:t>
      </w:r>
      <w:r w:rsidR="006D2B87">
        <w:rPr>
          <w:rFonts w:ascii="Times New Roman" w:hAnsi="Times New Roman"/>
          <w:color w:val="595959" w:themeColor="text1" w:themeTint="A6"/>
          <w:lang w:eastAsia="lt-LT"/>
        </w:rPr>
        <w:t xml:space="preserve"> reikalingas gerai apgalvotas veiksmų planas, įtraukiant kuo daugiau perkančiųjų institucijų ir suteikiant joms reikiamą pagalbą ir konsultacijas.</w:t>
      </w:r>
    </w:p>
    <w:p w:rsidR="00E920B5" w:rsidRDefault="005819B7" w:rsidP="00E920B5">
      <w:pPr>
        <w:ind w:firstLine="426"/>
        <w:jc w:val="both"/>
        <w:rPr>
          <w:color w:val="595959" w:themeColor="text1" w:themeTint="A6"/>
          <w:szCs w:val="24"/>
          <w:lang w:eastAsia="lt-LT"/>
        </w:rPr>
      </w:pPr>
      <w:r>
        <w:rPr>
          <w:color w:val="595959" w:themeColor="text1" w:themeTint="A6"/>
          <w:szCs w:val="24"/>
          <w:lang w:eastAsia="lt-LT"/>
        </w:rPr>
        <w:t>Ekonomikos ir</w:t>
      </w:r>
      <w:r w:rsidR="001D73A7">
        <w:rPr>
          <w:color w:val="595959" w:themeColor="text1" w:themeTint="A6"/>
          <w:szCs w:val="24"/>
          <w:lang w:eastAsia="lt-LT"/>
        </w:rPr>
        <w:t xml:space="preserve"> inovacijų ministerij</w:t>
      </w:r>
      <w:r w:rsidR="0015434C">
        <w:rPr>
          <w:color w:val="595959" w:themeColor="text1" w:themeTint="A6"/>
          <w:szCs w:val="24"/>
          <w:lang w:eastAsia="lt-LT"/>
        </w:rPr>
        <w:t>a</w:t>
      </w:r>
      <w:r w:rsidR="001D73A7">
        <w:rPr>
          <w:color w:val="595959" w:themeColor="text1" w:themeTint="A6"/>
          <w:szCs w:val="24"/>
          <w:lang w:eastAsia="lt-LT"/>
        </w:rPr>
        <w:t xml:space="preserve"> </w:t>
      </w:r>
      <w:r>
        <w:rPr>
          <w:color w:val="595959" w:themeColor="text1" w:themeTint="A6"/>
          <w:szCs w:val="24"/>
          <w:lang w:eastAsia="lt-LT"/>
        </w:rPr>
        <w:t xml:space="preserve">1 prioriteto </w:t>
      </w:r>
      <w:r w:rsidR="00E920B5">
        <w:rPr>
          <w:color w:val="595959" w:themeColor="text1" w:themeTint="A6"/>
          <w:szCs w:val="24"/>
          <w:lang w:eastAsia="lt-LT"/>
        </w:rPr>
        <w:t>administruojam</w:t>
      </w:r>
      <w:r w:rsidR="0015434C">
        <w:rPr>
          <w:color w:val="595959" w:themeColor="text1" w:themeTint="A6"/>
          <w:szCs w:val="24"/>
          <w:lang w:eastAsia="lt-LT"/>
        </w:rPr>
        <w:t xml:space="preserve">ose </w:t>
      </w:r>
      <w:r>
        <w:rPr>
          <w:color w:val="595959" w:themeColor="text1" w:themeTint="A6"/>
          <w:szCs w:val="24"/>
          <w:lang w:eastAsia="lt-LT"/>
        </w:rPr>
        <w:t>priemon</w:t>
      </w:r>
      <w:r w:rsidR="0015434C">
        <w:rPr>
          <w:color w:val="595959" w:themeColor="text1" w:themeTint="A6"/>
          <w:szCs w:val="24"/>
          <w:lang w:eastAsia="lt-LT"/>
        </w:rPr>
        <w:t>ėse sudarė visas finansavimo sutartis</w:t>
      </w:r>
      <w:r w:rsidR="00F41C82">
        <w:rPr>
          <w:color w:val="595959" w:themeColor="text1" w:themeTint="A6"/>
          <w:szCs w:val="24"/>
          <w:lang w:eastAsia="lt-LT"/>
        </w:rPr>
        <w:t xml:space="preserve"> </w:t>
      </w:r>
      <w:r w:rsidR="00F41C82" w:rsidRPr="00F41C82">
        <w:rPr>
          <w:color w:val="595959" w:themeColor="text1" w:themeTint="A6"/>
          <w:szCs w:val="24"/>
          <w:lang w:eastAsia="lt-LT"/>
        </w:rPr>
        <w:t>(išskyrus sutartis</w:t>
      </w:r>
      <w:r w:rsidR="0015434C">
        <w:rPr>
          <w:color w:val="595959" w:themeColor="text1" w:themeTint="A6"/>
          <w:szCs w:val="24"/>
          <w:lang w:eastAsia="lt-LT"/>
        </w:rPr>
        <w:t>,</w:t>
      </w:r>
      <w:r w:rsidR="00F41C82" w:rsidRPr="00F41C82">
        <w:rPr>
          <w:color w:val="595959" w:themeColor="text1" w:themeTint="A6"/>
          <w:szCs w:val="24"/>
          <w:lang w:eastAsia="lt-LT"/>
        </w:rPr>
        <w:t xml:space="preserve"> dėl kurių su vadovaujančiąja institucija yra suderinti pratęsimai)</w:t>
      </w:r>
      <w:r>
        <w:rPr>
          <w:color w:val="595959" w:themeColor="text1" w:themeTint="A6"/>
          <w:szCs w:val="24"/>
          <w:lang w:eastAsia="lt-LT"/>
        </w:rPr>
        <w:t xml:space="preserve">. </w:t>
      </w:r>
      <w:r w:rsidR="00E920B5">
        <w:rPr>
          <w:color w:val="595959" w:themeColor="text1" w:themeTint="A6"/>
          <w:szCs w:val="24"/>
          <w:lang w:eastAsia="lt-LT"/>
        </w:rPr>
        <w:t xml:space="preserve">Taip pat šiame prioritete ministerijai yra numatyta 156,8 mln. eurų ES lėšų </w:t>
      </w:r>
      <w:proofErr w:type="spellStart"/>
      <w:r w:rsidR="00E920B5">
        <w:rPr>
          <w:color w:val="595959" w:themeColor="text1" w:themeTint="A6"/>
          <w:szCs w:val="24"/>
          <w:lang w:eastAsia="lt-LT"/>
        </w:rPr>
        <w:t>virškontraktavimo</w:t>
      </w:r>
      <w:proofErr w:type="spellEnd"/>
      <w:r w:rsidR="00E920B5">
        <w:rPr>
          <w:color w:val="595959" w:themeColor="text1" w:themeTint="A6"/>
          <w:szCs w:val="24"/>
          <w:lang w:eastAsia="lt-LT"/>
        </w:rPr>
        <w:t xml:space="preserve"> galimybė</w:t>
      </w:r>
      <w:r w:rsidR="001D73A7">
        <w:rPr>
          <w:color w:val="595959" w:themeColor="text1" w:themeTint="A6"/>
          <w:szCs w:val="24"/>
          <w:lang w:eastAsia="lt-LT"/>
        </w:rPr>
        <w:t>. Lėšų investavimo (</w:t>
      </w:r>
      <w:r w:rsidR="00AF6EBD">
        <w:rPr>
          <w:color w:val="595959" w:themeColor="text1" w:themeTint="A6"/>
          <w:szCs w:val="24"/>
          <w:lang w:eastAsia="lt-LT"/>
        </w:rPr>
        <w:t>52</w:t>
      </w:r>
      <w:r w:rsidR="001D73A7" w:rsidRPr="001D73A7">
        <w:rPr>
          <w:color w:val="595959" w:themeColor="text1" w:themeTint="A6"/>
          <w:szCs w:val="24"/>
          <w:lang w:eastAsia="lt-LT"/>
        </w:rPr>
        <w:t xml:space="preserve"> proc.) tempas </w:t>
      </w:r>
      <w:r w:rsidR="001D73A7">
        <w:rPr>
          <w:color w:val="595959" w:themeColor="text1" w:themeTint="A6"/>
          <w:szCs w:val="24"/>
          <w:lang w:eastAsia="lt-LT"/>
        </w:rPr>
        <w:t>yra</w:t>
      </w:r>
      <w:r w:rsidR="001D73A7" w:rsidRPr="001D73A7">
        <w:rPr>
          <w:color w:val="595959" w:themeColor="text1" w:themeTint="A6"/>
          <w:szCs w:val="24"/>
          <w:lang w:eastAsia="lt-LT"/>
        </w:rPr>
        <w:t xml:space="preserve"> nepakankamas</w:t>
      </w:r>
      <w:r w:rsidR="001D73A7">
        <w:rPr>
          <w:color w:val="595959" w:themeColor="text1" w:themeTint="A6"/>
          <w:szCs w:val="24"/>
          <w:lang w:eastAsia="lt-LT"/>
        </w:rPr>
        <w:t>.</w:t>
      </w:r>
    </w:p>
    <w:p w:rsidR="00F41C82" w:rsidRPr="00F41C82" w:rsidRDefault="00F41C82" w:rsidP="00F41C82">
      <w:pPr>
        <w:ind w:firstLine="426"/>
        <w:jc w:val="both"/>
        <w:rPr>
          <w:color w:val="595959" w:themeColor="text1" w:themeTint="A6"/>
          <w:szCs w:val="24"/>
          <w:lang w:eastAsia="lt-LT"/>
        </w:rPr>
      </w:pPr>
      <w:r w:rsidRPr="00F41C82">
        <w:rPr>
          <w:color w:val="595959" w:themeColor="text1" w:themeTint="A6"/>
          <w:szCs w:val="24"/>
          <w:lang w:eastAsia="lt-LT"/>
        </w:rPr>
        <w:t xml:space="preserve">Atsilikimą investuojant lėšas nulemia tai, kad priemonių ,,Eksperimentas“ (145 mln. </w:t>
      </w:r>
      <w:r>
        <w:rPr>
          <w:color w:val="595959" w:themeColor="text1" w:themeTint="A6"/>
          <w:szCs w:val="24"/>
          <w:lang w:eastAsia="lt-LT"/>
        </w:rPr>
        <w:t>eurų</w:t>
      </w:r>
      <w:r w:rsidRPr="00F41C82">
        <w:rPr>
          <w:color w:val="595959" w:themeColor="text1" w:themeTint="A6"/>
          <w:szCs w:val="24"/>
          <w:lang w:eastAsia="lt-LT"/>
        </w:rPr>
        <w:t xml:space="preserve">) ir ,,Skaitmeninių inovacijų centrai“ (17,6 mln. </w:t>
      </w:r>
      <w:r>
        <w:rPr>
          <w:color w:val="595959" w:themeColor="text1" w:themeTint="A6"/>
          <w:szCs w:val="24"/>
          <w:lang w:eastAsia="lt-LT"/>
        </w:rPr>
        <w:t>eurų</w:t>
      </w:r>
      <w:r w:rsidRPr="00F41C82">
        <w:rPr>
          <w:color w:val="595959" w:themeColor="text1" w:themeTint="A6"/>
          <w:szCs w:val="24"/>
          <w:lang w:eastAsia="lt-LT"/>
        </w:rPr>
        <w:t xml:space="preserve">) įgyvendinimo sutartys sudarytos 2020 m. </w:t>
      </w:r>
      <w:r>
        <w:rPr>
          <w:color w:val="595959" w:themeColor="text1" w:themeTint="A6"/>
          <w:szCs w:val="24"/>
          <w:lang w:eastAsia="lt-LT"/>
        </w:rPr>
        <w:t>II pusmetį</w:t>
      </w:r>
      <w:r w:rsidRPr="00F41C82">
        <w:rPr>
          <w:color w:val="595959" w:themeColor="text1" w:themeTint="A6"/>
          <w:szCs w:val="24"/>
          <w:lang w:eastAsia="lt-LT"/>
        </w:rPr>
        <w:t>. Pažymėtina, kad minėtų priemonių finansavimo suma sudaro daugiau kaip 30 proc. visų Ekonomikos ir inovacijų ministerijos 1 prioriteto investicijų.</w:t>
      </w:r>
    </w:p>
    <w:p w:rsidR="005065CD" w:rsidRPr="005065CD" w:rsidRDefault="005065CD" w:rsidP="005065CD">
      <w:pPr>
        <w:ind w:firstLine="426"/>
        <w:jc w:val="both"/>
        <w:rPr>
          <w:color w:val="595959" w:themeColor="text1" w:themeTint="A6"/>
          <w:szCs w:val="24"/>
          <w:lang w:eastAsia="lt-LT"/>
        </w:rPr>
      </w:pPr>
      <w:r w:rsidRPr="005065CD">
        <w:rPr>
          <w:color w:val="595959" w:themeColor="text1" w:themeTint="A6"/>
          <w:szCs w:val="24"/>
          <w:lang w:eastAsia="lt-LT"/>
        </w:rPr>
        <w:t>Nepakankamai spartų priemonės „</w:t>
      </w:r>
      <w:proofErr w:type="spellStart"/>
      <w:r w:rsidRPr="005065CD">
        <w:rPr>
          <w:color w:val="595959" w:themeColor="text1" w:themeTint="A6"/>
          <w:szCs w:val="24"/>
          <w:lang w:eastAsia="lt-LT"/>
        </w:rPr>
        <w:t>Smartparkas</w:t>
      </w:r>
      <w:proofErr w:type="spellEnd"/>
      <w:r w:rsidRPr="005065CD">
        <w:rPr>
          <w:color w:val="595959" w:themeColor="text1" w:themeTint="A6"/>
          <w:szCs w:val="24"/>
          <w:lang w:eastAsia="lt-LT"/>
        </w:rPr>
        <w:t xml:space="preserve"> LT“ lėšų investavimą (43,5 proc. lėšų) nulemia projektų vykdytojų patiriami sunkumai organizuojant viešuosius pirkimus. Taip pat žymiai atsilieka priemonės ,,</w:t>
      </w:r>
      <w:proofErr w:type="spellStart"/>
      <w:r w:rsidRPr="005065CD">
        <w:rPr>
          <w:color w:val="595959" w:themeColor="text1" w:themeTint="A6"/>
          <w:szCs w:val="24"/>
          <w:lang w:eastAsia="lt-LT"/>
        </w:rPr>
        <w:t>Ikiprekybiniai</w:t>
      </w:r>
      <w:proofErr w:type="spellEnd"/>
      <w:r w:rsidRPr="005065CD">
        <w:rPr>
          <w:color w:val="595959" w:themeColor="text1" w:themeTint="A6"/>
          <w:szCs w:val="24"/>
          <w:lang w:eastAsia="lt-LT"/>
        </w:rPr>
        <w:t xml:space="preserve"> pirkimai“ lėšų investavimas (išmokėta 20,8 proc. lėšų), tai lemia projektų specifika - šių MTEP projektų įgyvendinimas užima ilgesnį laiką.</w:t>
      </w:r>
    </w:p>
    <w:p w:rsidR="005065CD" w:rsidRPr="005065CD" w:rsidRDefault="005065CD" w:rsidP="005065CD">
      <w:pPr>
        <w:ind w:firstLine="426"/>
        <w:jc w:val="both"/>
        <w:rPr>
          <w:color w:val="595959" w:themeColor="text1" w:themeTint="A6"/>
          <w:szCs w:val="24"/>
          <w:lang w:eastAsia="lt-LT"/>
        </w:rPr>
      </w:pPr>
      <w:r w:rsidRPr="005065CD">
        <w:rPr>
          <w:color w:val="595959" w:themeColor="text1" w:themeTint="A6"/>
          <w:szCs w:val="24"/>
          <w:lang w:eastAsia="lt-LT"/>
        </w:rPr>
        <w:t>Ekonomikos ir inovacijų ministerijos prašymu iki 2021 m. birželio 30 d. yra pratęstas priemonių ,,</w:t>
      </w:r>
      <w:proofErr w:type="spellStart"/>
      <w:r w:rsidRPr="005065CD">
        <w:rPr>
          <w:color w:val="595959" w:themeColor="text1" w:themeTint="A6"/>
          <w:szCs w:val="24"/>
          <w:lang w:eastAsia="lt-LT"/>
        </w:rPr>
        <w:t>Inoconnect</w:t>
      </w:r>
      <w:proofErr w:type="spellEnd"/>
      <w:r w:rsidRPr="005065CD">
        <w:rPr>
          <w:color w:val="595959" w:themeColor="text1" w:themeTint="A6"/>
          <w:szCs w:val="24"/>
          <w:lang w:eastAsia="lt-LT"/>
        </w:rPr>
        <w:t>“, ,,</w:t>
      </w:r>
      <w:proofErr w:type="spellStart"/>
      <w:r w:rsidRPr="005065CD">
        <w:rPr>
          <w:color w:val="595959" w:themeColor="text1" w:themeTint="A6"/>
          <w:szCs w:val="24"/>
          <w:lang w:eastAsia="lt-LT"/>
        </w:rPr>
        <w:t>Inočekiai</w:t>
      </w:r>
      <w:proofErr w:type="spellEnd"/>
      <w:r w:rsidRPr="005065CD">
        <w:rPr>
          <w:color w:val="595959" w:themeColor="text1" w:themeTint="A6"/>
          <w:szCs w:val="24"/>
          <w:lang w:eastAsia="lt-LT"/>
        </w:rPr>
        <w:t>“ ir ,,</w:t>
      </w:r>
      <w:proofErr w:type="spellStart"/>
      <w:r w:rsidRPr="005065CD">
        <w:rPr>
          <w:color w:val="595959" w:themeColor="text1" w:themeTint="A6"/>
          <w:szCs w:val="24"/>
          <w:lang w:eastAsia="lt-LT"/>
        </w:rPr>
        <w:t>Inostartas</w:t>
      </w:r>
      <w:proofErr w:type="spellEnd"/>
      <w:r w:rsidRPr="005065CD">
        <w:rPr>
          <w:color w:val="595959" w:themeColor="text1" w:themeTint="A6"/>
          <w:szCs w:val="24"/>
          <w:lang w:eastAsia="lt-LT"/>
        </w:rPr>
        <w:t>“ sutarčių sudarymo terminas, pagal kurias vykdant tęstinę projektų atranką, finansuojamos nesudėtingos vienarūšės veiklos susijusios su įmonių atstovų dalyvavimu renginiuose, MTEP projektų įgyvendinimu. Pažymėtina, kad šių priemonių sutarčių sudarymo ir išmokėjimų sparta taip pat nėra pakankama, dėl to Ekonomikos ir inovacijų ministerija bendradarbiaudama su Mokslo, inovacijų ir technologijų agentūra turi imtis aktyvesnių veiksmų pritraukti galimus pareiškėjus į šias priemones arba spręsti lėšų perskirstymo kitoms priemonėms klausimą.</w:t>
      </w:r>
    </w:p>
    <w:p w:rsidR="00AF7D8F" w:rsidRPr="003F625C" w:rsidRDefault="005065CD" w:rsidP="005065CD">
      <w:pPr>
        <w:ind w:firstLine="426"/>
        <w:jc w:val="both"/>
        <w:rPr>
          <w:color w:val="595959" w:themeColor="text1" w:themeTint="A6"/>
          <w:szCs w:val="24"/>
          <w:lang w:eastAsia="lt-LT"/>
        </w:rPr>
      </w:pPr>
      <w:r w:rsidRPr="005065CD">
        <w:rPr>
          <w:color w:val="595959" w:themeColor="text1" w:themeTint="A6"/>
          <w:szCs w:val="24"/>
          <w:lang w:eastAsia="lt-LT"/>
        </w:rPr>
        <w:t xml:space="preserve">Ekonomikos ir inovacijų ministerija per 2014–2020 m. programavimo laikotarpį pradėjo finansuoti naujas iniciatyvas susijusias su skaitmeninių inovacijų centrų plėtra (numatyta investuoti 17,6 mln. eurų, įgyvendinami 4 projektai), inovacijų paklausos skatinimu viešajame sektoriuje per </w:t>
      </w:r>
      <w:proofErr w:type="spellStart"/>
      <w:r w:rsidRPr="005065CD">
        <w:rPr>
          <w:color w:val="595959" w:themeColor="text1" w:themeTint="A6"/>
          <w:szCs w:val="24"/>
          <w:lang w:eastAsia="lt-LT"/>
        </w:rPr>
        <w:t>ikiprekybinius</w:t>
      </w:r>
      <w:proofErr w:type="spellEnd"/>
      <w:r w:rsidRPr="005065CD">
        <w:rPr>
          <w:color w:val="595959" w:themeColor="text1" w:themeTint="A6"/>
          <w:szCs w:val="24"/>
          <w:lang w:eastAsia="lt-LT"/>
        </w:rPr>
        <w:t xml:space="preserve"> pirkimus (numatyta investuoti 10,8 mln. eurų), verslo įmonių MTEP ir inovacijų veiklas ir reikalingos infrastruktūros kūrimą bei naujų produktų ir technologijų sertifikavimą (numatyta investuoti 287 mln. eurų).</w:t>
      </w:r>
    </w:p>
    <w:p w:rsidR="00013F4B" w:rsidRPr="003F625C" w:rsidRDefault="00013F4B">
      <w:pPr>
        <w:ind w:firstLine="426"/>
        <w:jc w:val="both"/>
        <w:rPr>
          <w:color w:val="595959" w:themeColor="text1" w:themeTint="A6"/>
          <w:szCs w:val="24"/>
          <w:lang w:eastAsia="lt-LT"/>
        </w:rPr>
      </w:pPr>
    </w:p>
    <w:p w:rsidR="006810A9" w:rsidRPr="00D76B38" w:rsidRDefault="006810A9" w:rsidP="006810A9">
      <w:pPr>
        <w:ind w:firstLine="426"/>
        <w:jc w:val="both"/>
        <w:rPr>
          <w:color w:val="595959" w:themeColor="text1" w:themeTint="A6"/>
          <w:szCs w:val="24"/>
          <w:lang w:eastAsia="lt-LT"/>
        </w:rPr>
      </w:pPr>
      <w:r>
        <w:rPr>
          <w:color w:val="595959" w:themeColor="text1" w:themeTint="A6"/>
          <w:szCs w:val="24"/>
          <w:lang w:eastAsia="lt-LT"/>
        </w:rPr>
        <w:t>Švietimo mokslo ir sporto bei Ekonomikos ir inovacijų ministerijoms įgyvendinant 1 prioriteto veiklas</w:t>
      </w:r>
      <w:r w:rsidRPr="00D76B38">
        <w:rPr>
          <w:color w:val="595959" w:themeColor="text1" w:themeTint="A6"/>
          <w:szCs w:val="24"/>
          <w:lang w:eastAsia="lt-LT"/>
        </w:rPr>
        <w:t xml:space="preserve"> </w:t>
      </w:r>
      <w:r>
        <w:rPr>
          <w:color w:val="595959" w:themeColor="text1" w:themeTint="A6"/>
          <w:szCs w:val="24"/>
          <w:lang w:eastAsia="lt-LT"/>
        </w:rPr>
        <w:t xml:space="preserve">iki 2020 m. pabaigos pasiekti </w:t>
      </w:r>
      <w:r w:rsidRPr="00D76B38">
        <w:rPr>
          <w:color w:val="595959" w:themeColor="text1" w:themeTint="A6"/>
          <w:szCs w:val="24"/>
          <w:lang w:eastAsia="lt-LT"/>
        </w:rPr>
        <w:t>reikšmingi šių rodiklių pasiekimai:</w:t>
      </w:r>
    </w:p>
    <w:p w:rsidR="006810A9" w:rsidRDefault="006810A9" w:rsidP="006810A9">
      <w:pPr>
        <w:jc w:val="both"/>
        <w:rPr>
          <w:color w:val="595959" w:themeColor="text1" w:themeTint="A6"/>
          <w:szCs w:val="24"/>
          <w:lang w:eastAsia="lt-LT"/>
        </w:rPr>
      </w:pPr>
      <w:r>
        <w:rPr>
          <w:color w:val="595959" w:themeColor="text1" w:themeTint="A6"/>
          <w:szCs w:val="24"/>
          <w:lang w:eastAsia="lt-LT"/>
        </w:rPr>
        <w:t xml:space="preserve">- </w:t>
      </w:r>
      <w:r w:rsidRPr="00D76B38">
        <w:rPr>
          <w:color w:val="595959" w:themeColor="text1" w:themeTint="A6"/>
          <w:szCs w:val="24"/>
          <w:lang w:eastAsia="lt-LT"/>
        </w:rPr>
        <w:t>836 įmonės gavo subsidijas (planuota 600 įmonių), o 947 įmonės – nefinansin</w:t>
      </w:r>
      <w:r>
        <w:rPr>
          <w:color w:val="595959" w:themeColor="text1" w:themeTint="A6"/>
          <w:szCs w:val="24"/>
          <w:lang w:eastAsia="lt-LT"/>
        </w:rPr>
        <w:t>ę paramą (planuota 620 įmonių).</w:t>
      </w:r>
    </w:p>
    <w:p w:rsidR="006810A9" w:rsidRPr="00D76B38" w:rsidRDefault="006810A9" w:rsidP="006810A9">
      <w:pPr>
        <w:jc w:val="both"/>
        <w:rPr>
          <w:color w:val="595959" w:themeColor="text1" w:themeTint="A6"/>
          <w:szCs w:val="24"/>
          <w:lang w:eastAsia="lt-LT"/>
        </w:rPr>
      </w:pPr>
      <w:r>
        <w:rPr>
          <w:color w:val="595959" w:themeColor="text1" w:themeTint="A6"/>
          <w:szCs w:val="24"/>
          <w:lang w:eastAsia="lt-LT"/>
        </w:rPr>
        <w:lastRenderedPageBreak/>
        <w:t xml:space="preserve">- </w:t>
      </w:r>
      <w:r w:rsidRPr="00D76B38">
        <w:rPr>
          <w:color w:val="595959" w:themeColor="text1" w:themeTint="A6"/>
          <w:szCs w:val="24"/>
          <w:lang w:eastAsia="lt-LT"/>
        </w:rPr>
        <w:t>Mokslinių tyrimų ir inovacijų srityje: 515 įmonių bendradarbiavo su tyrimų insti</w:t>
      </w:r>
      <w:r>
        <w:rPr>
          <w:color w:val="595959" w:themeColor="text1" w:themeTint="A6"/>
          <w:szCs w:val="24"/>
          <w:lang w:eastAsia="lt-LT"/>
        </w:rPr>
        <w:t>tucijomis (planuota 436 įmonių),</w:t>
      </w:r>
      <w:r w:rsidRPr="00D76B38">
        <w:rPr>
          <w:color w:val="595959" w:themeColor="text1" w:themeTint="A6"/>
          <w:szCs w:val="24"/>
          <w:lang w:eastAsia="lt-LT"/>
        </w:rPr>
        <w:t xml:space="preserve"> 479 įmonės gavo investicijas siekiant, kad jos pateiktų naujų rinkos produktų (planuota 130 įmonių).</w:t>
      </w:r>
    </w:p>
    <w:p w:rsidR="00A04564" w:rsidRDefault="00D057A1" w:rsidP="006810A9">
      <w:pPr>
        <w:jc w:val="both"/>
        <w:rPr>
          <w:color w:val="595959" w:themeColor="text1" w:themeTint="A6"/>
          <w:szCs w:val="24"/>
          <w:lang w:eastAsia="lt-LT"/>
        </w:rPr>
      </w:pPr>
      <w:r>
        <w:rPr>
          <w:color w:val="595959" w:themeColor="text1" w:themeTint="A6"/>
          <w:szCs w:val="24"/>
          <w:lang w:eastAsia="lt-LT"/>
        </w:rPr>
        <w:t>- 3705 i</w:t>
      </w:r>
      <w:r w:rsidRPr="00D057A1">
        <w:rPr>
          <w:color w:val="595959" w:themeColor="text1" w:themeTint="A6"/>
          <w:szCs w:val="24"/>
          <w:lang w:eastAsia="lt-LT"/>
        </w:rPr>
        <w:t>šorės vartotojai iš ūkio subjektų, pasinaudoję atnaujinta atviros prieigos MTEPI infrastruktūra (</w:t>
      </w:r>
      <w:r>
        <w:rPr>
          <w:color w:val="595959" w:themeColor="text1" w:themeTint="A6"/>
          <w:szCs w:val="24"/>
          <w:lang w:eastAsia="lt-LT"/>
        </w:rPr>
        <w:t xml:space="preserve">planuota </w:t>
      </w:r>
      <w:r w:rsidRPr="00D057A1">
        <w:rPr>
          <w:color w:val="595959" w:themeColor="text1" w:themeTint="A6"/>
          <w:szCs w:val="24"/>
          <w:lang w:eastAsia="lt-LT"/>
        </w:rPr>
        <w:t>3000)</w:t>
      </w:r>
      <w:r w:rsidR="00D25136">
        <w:rPr>
          <w:color w:val="595959" w:themeColor="text1" w:themeTint="A6"/>
          <w:szCs w:val="24"/>
          <w:lang w:eastAsia="lt-LT"/>
        </w:rPr>
        <w:t>.</w:t>
      </w:r>
    </w:p>
    <w:p w:rsidR="00D057A1" w:rsidRPr="009D6C7D" w:rsidRDefault="00D057A1" w:rsidP="006810A9">
      <w:pPr>
        <w:jc w:val="both"/>
        <w:rPr>
          <w:color w:val="595959" w:themeColor="text1" w:themeTint="A6"/>
          <w:szCs w:val="24"/>
          <w:lang w:eastAsia="lt-LT"/>
        </w:rPr>
      </w:pPr>
    </w:p>
    <w:p w:rsidR="000305AE" w:rsidRPr="009D6C7D" w:rsidRDefault="000305AE" w:rsidP="0077692B">
      <w:pPr>
        <w:keepNext/>
        <w:keepLines/>
        <w:jc w:val="both"/>
        <w:outlineLvl w:val="1"/>
        <w:rPr>
          <w:rFonts w:eastAsiaTheme="majorEastAsia"/>
          <w:b/>
          <w:bCs/>
          <w:color w:val="595959" w:themeColor="text1" w:themeTint="A6"/>
          <w:szCs w:val="24"/>
          <w:lang w:eastAsia="lt-LT"/>
        </w:rPr>
      </w:pPr>
      <w:bookmarkStart w:id="11" w:name="_Toc512504078"/>
      <w:bookmarkStart w:id="12" w:name="_Toc10104953"/>
      <w:bookmarkStart w:id="13" w:name="_Toc69114250"/>
      <w:r w:rsidRPr="009D6C7D">
        <w:rPr>
          <w:rFonts w:eastAsiaTheme="majorEastAsia"/>
          <w:b/>
          <w:bCs/>
          <w:color w:val="595959" w:themeColor="text1" w:themeTint="A6"/>
          <w:szCs w:val="24"/>
          <w:lang w:eastAsia="lt-LT"/>
        </w:rPr>
        <w:t>2 prioritetas. Informacinės visuomenės skatinimas</w:t>
      </w:r>
      <w:bookmarkEnd w:id="11"/>
      <w:bookmarkEnd w:id="12"/>
      <w:bookmarkEnd w:id="13"/>
    </w:p>
    <w:p w:rsidR="00927906" w:rsidRDefault="00927906" w:rsidP="00927906">
      <w:pPr>
        <w:jc w:val="both"/>
        <w:rPr>
          <w:color w:val="595959" w:themeColor="text1" w:themeTint="A6"/>
          <w:szCs w:val="24"/>
          <w:lang w:eastAsia="lt-LT"/>
        </w:rPr>
      </w:pPr>
    </w:p>
    <w:p w:rsidR="00C92FA0" w:rsidRDefault="00D25136" w:rsidP="00927906">
      <w:pPr>
        <w:jc w:val="both"/>
        <w:rPr>
          <w:color w:val="595959" w:themeColor="text1" w:themeTint="A6"/>
          <w:szCs w:val="24"/>
          <w:lang w:eastAsia="lt-LT"/>
        </w:rPr>
      </w:pPr>
      <w:r>
        <w:rPr>
          <w:noProof/>
          <w:lang w:eastAsia="lt-LT"/>
        </w:rPr>
        <w:drawing>
          <wp:inline distT="0" distB="0" distL="0" distR="0" wp14:anchorId="51882488" wp14:editId="4A3754F8">
            <wp:extent cx="6120130" cy="681488"/>
            <wp:effectExtent l="0" t="0" r="13970" b="23495"/>
            <wp:docPr id="391" name="Diagrama 3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379C9" w:rsidRPr="00F60757" w:rsidRDefault="008379C9" w:rsidP="008379C9">
      <w:pPr>
        <w:ind w:firstLine="426"/>
        <w:jc w:val="both"/>
        <w:rPr>
          <w:color w:val="595959" w:themeColor="text1" w:themeTint="A6"/>
          <w:szCs w:val="24"/>
          <w:lang w:eastAsia="lt-LT"/>
        </w:rPr>
      </w:pPr>
    </w:p>
    <w:p w:rsidR="00766A64" w:rsidRDefault="00217928" w:rsidP="00766A64">
      <w:pPr>
        <w:ind w:firstLine="426"/>
        <w:jc w:val="both"/>
        <w:rPr>
          <w:color w:val="595959" w:themeColor="text1" w:themeTint="A6"/>
          <w:szCs w:val="24"/>
          <w:lang w:eastAsia="lt-LT"/>
        </w:rPr>
      </w:pPr>
      <w:r>
        <w:rPr>
          <w:color w:val="595959" w:themeColor="text1" w:themeTint="A6"/>
          <w:szCs w:val="24"/>
          <w:lang w:eastAsia="lt-LT"/>
        </w:rPr>
        <w:t>Susisiekimo ministerijos</w:t>
      </w:r>
      <w:r w:rsidR="008379C9" w:rsidRPr="00F60757">
        <w:rPr>
          <w:color w:val="595959" w:themeColor="text1" w:themeTint="A6"/>
          <w:szCs w:val="24"/>
          <w:lang w:eastAsia="lt-LT"/>
        </w:rPr>
        <w:t xml:space="preserve"> </w:t>
      </w:r>
      <w:r w:rsidRPr="00F60757">
        <w:rPr>
          <w:color w:val="595959" w:themeColor="text1" w:themeTint="A6"/>
          <w:szCs w:val="24"/>
          <w:lang w:eastAsia="lt-LT"/>
        </w:rPr>
        <w:t xml:space="preserve">visos </w:t>
      </w:r>
      <w:r w:rsidR="008379C9" w:rsidRPr="00F60757">
        <w:rPr>
          <w:color w:val="595959" w:themeColor="text1" w:themeTint="A6"/>
          <w:szCs w:val="24"/>
          <w:lang w:eastAsia="lt-LT"/>
        </w:rPr>
        <w:t>2 prioriteto investicijos iš esmės supl</w:t>
      </w:r>
      <w:r w:rsidR="001D73A7">
        <w:rPr>
          <w:color w:val="595959" w:themeColor="text1" w:themeTint="A6"/>
          <w:szCs w:val="24"/>
          <w:lang w:eastAsia="lt-LT"/>
        </w:rPr>
        <w:t>anuotos, sutarčių sudaryta už 99</w:t>
      </w:r>
      <w:r w:rsidR="008379C9" w:rsidRPr="00F60757">
        <w:rPr>
          <w:color w:val="595959" w:themeColor="text1" w:themeTint="A6"/>
          <w:szCs w:val="24"/>
          <w:lang w:eastAsia="lt-LT"/>
        </w:rPr>
        <w:t xml:space="preserve"> proc. skirtų lėšų, projekto vykdytojams išmokėta </w:t>
      </w:r>
      <w:r w:rsidR="00D25136">
        <w:rPr>
          <w:color w:val="595959" w:themeColor="text1" w:themeTint="A6"/>
          <w:szCs w:val="24"/>
          <w:lang w:eastAsia="lt-LT"/>
        </w:rPr>
        <w:t>60</w:t>
      </w:r>
      <w:r w:rsidR="001D73A7">
        <w:rPr>
          <w:color w:val="595959" w:themeColor="text1" w:themeTint="A6"/>
          <w:szCs w:val="24"/>
          <w:lang w:eastAsia="lt-LT"/>
        </w:rPr>
        <w:t xml:space="preserve"> proc. lėšų.</w:t>
      </w:r>
      <w:r w:rsidR="00766A64" w:rsidRPr="00766A64">
        <w:rPr>
          <w:color w:val="595959" w:themeColor="text1" w:themeTint="A6"/>
          <w:szCs w:val="24"/>
          <w:lang w:eastAsia="lt-LT"/>
        </w:rPr>
        <w:t xml:space="preserve"> </w:t>
      </w:r>
      <w:r w:rsidR="00766A64" w:rsidRPr="00F65D1E">
        <w:rPr>
          <w:color w:val="595959" w:themeColor="text1" w:themeTint="A6"/>
          <w:szCs w:val="24"/>
          <w:lang w:eastAsia="lt-LT"/>
        </w:rPr>
        <w:t xml:space="preserve">Taip pat šiame prioritete ministerijai </w:t>
      </w:r>
      <w:r w:rsidR="00766A64">
        <w:rPr>
          <w:color w:val="595959" w:themeColor="text1" w:themeTint="A6"/>
          <w:szCs w:val="24"/>
          <w:lang w:eastAsia="lt-LT"/>
        </w:rPr>
        <w:t>numatoma</w:t>
      </w:r>
      <w:r w:rsidR="00766A64" w:rsidRPr="00F65D1E">
        <w:rPr>
          <w:color w:val="595959" w:themeColor="text1" w:themeTint="A6"/>
          <w:szCs w:val="24"/>
          <w:lang w:eastAsia="lt-LT"/>
        </w:rPr>
        <w:t xml:space="preserve"> </w:t>
      </w:r>
      <w:r w:rsidR="00766A64">
        <w:rPr>
          <w:color w:val="595959" w:themeColor="text1" w:themeTint="A6"/>
          <w:szCs w:val="24"/>
          <w:lang w:eastAsia="lt-LT"/>
        </w:rPr>
        <w:t>4</w:t>
      </w:r>
      <w:r w:rsidR="00766A64" w:rsidRPr="00F65D1E">
        <w:rPr>
          <w:color w:val="595959" w:themeColor="text1" w:themeTint="A6"/>
          <w:szCs w:val="24"/>
          <w:lang w:eastAsia="lt-LT"/>
        </w:rPr>
        <w:t xml:space="preserve"> mln.</w:t>
      </w:r>
      <w:r w:rsidR="00D56A2E">
        <w:rPr>
          <w:color w:val="595959" w:themeColor="text1" w:themeTint="A6"/>
          <w:szCs w:val="24"/>
          <w:lang w:eastAsia="lt-LT"/>
        </w:rPr>
        <w:t xml:space="preserve"> eurų</w:t>
      </w:r>
      <w:r w:rsidR="00766A64" w:rsidRPr="00F65D1E">
        <w:rPr>
          <w:color w:val="595959" w:themeColor="text1" w:themeTint="A6"/>
          <w:szCs w:val="24"/>
          <w:lang w:eastAsia="lt-LT"/>
        </w:rPr>
        <w:t xml:space="preserve"> ES </w:t>
      </w:r>
      <w:r w:rsidR="007A1412">
        <w:rPr>
          <w:color w:val="595959" w:themeColor="text1" w:themeTint="A6"/>
          <w:szCs w:val="24"/>
          <w:lang w:eastAsia="lt-LT"/>
        </w:rPr>
        <w:t xml:space="preserve">fondų </w:t>
      </w:r>
      <w:r w:rsidR="00766A64" w:rsidRPr="00F65D1E">
        <w:rPr>
          <w:color w:val="595959" w:themeColor="text1" w:themeTint="A6"/>
          <w:szCs w:val="24"/>
          <w:lang w:eastAsia="lt-LT"/>
        </w:rPr>
        <w:t xml:space="preserve">lėšų </w:t>
      </w:r>
      <w:proofErr w:type="spellStart"/>
      <w:r w:rsidR="00766A64" w:rsidRPr="00F65D1E">
        <w:rPr>
          <w:color w:val="595959" w:themeColor="text1" w:themeTint="A6"/>
          <w:szCs w:val="24"/>
          <w:lang w:eastAsia="lt-LT"/>
        </w:rPr>
        <w:t>virškontraktavimo</w:t>
      </w:r>
      <w:proofErr w:type="spellEnd"/>
      <w:r w:rsidR="00766A64" w:rsidRPr="00F65D1E">
        <w:rPr>
          <w:color w:val="595959" w:themeColor="text1" w:themeTint="A6"/>
          <w:szCs w:val="24"/>
          <w:lang w:eastAsia="lt-LT"/>
        </w:rPr>
        <w:t xml:space="preserve"> galimybė.</w:t>
      </w:r>
    </w:p>
    <w:p w:rsidR="003628C1" w:rsidRPr="003628C1" w:rsidRDefault="00E064BE" w:rsidP="003628C1">
      <w:pPr>
        <w:ind w:firstLine="426"/>
        <w:jc w:val="both"/>
        <w:rPr>
          <w:color w:val="595959" w:themeColor="text1" w:themeTint="A6"/>
          <w:szCs w:val="24"/>
          <w:lang w:eastAsia="lt-LT"/>
        </w:rPr>
      </w:pPr>
      <w:r w:rsidRPr="00E064BE">
        <w:rPr>
          <w:color w:val="595959" w:themeColor="text1" w:themeTint="A6"/>
          <w:szCs w:val="24"/>
          <w:lang w:eastAsia="lt-LT"/>
        </w:rPr>
        <w:t>Finansų ministerijai pritarus sutarties sudarymo termino pratęsimui, Sveikatos apsaugos ministerijos projekto, skirto elektroninių sveikatos paslaugų plėtrai III etapu (1,56 mln. eurų), sutartis pasirašyta 2021 m. vasario 1 d. Projekto planavimas vėlavo, užtrukus viešųjų pirkimų procedūroms bei investicijų projekto parengimui.</w:t>
      </w:r>
    </w:p>
    <w:p w:rsidR="00D50334" w:rsidRDefault="003628C1" w:rsidP="003628C1">
      <w:pPr>
        <w:ind w:firstLine="426"/>
        <w:jc w:val="both"/>
        <w:rPr>
          <w:color w:val="595959" w:themeColor="text1" w:themeTint="A6"/>
          <w:szCs w:val="24"/>
          <w:lang w:eastAsia="lt-LT"/>
        </w:rPr>
      </w:pPr>
      <w:r w:rsidRPr="003628C1">
        <w:rPr>
          <w:color w:val="595959" w:themeColor="text1" w:themeTint="A6"/>
          <w:szCs w:val="24"/>
          <w:lang w:eastAsia="lt-LT"/>
        </w:rPr>
        <w:t xml:space="preserve">Investicijų įgyvendinimas šioje srityje bus tęsiamas ir naujuoju 2021-2027 m. finansavimo laikotarpiu, pvz. naujos kartos interneto prieigos plėtra (RAIN-3), duomenų atvėrimas verslui, duomenų </w:t>
      </w:r>
      <w:proofErr w:type="spellStart"/>
      <w:r w:rsidRPr="003628C1">
        <w:rPr>
          <w:color w:val="595959" w:themeColor="text1" w:themeTint="A6"/>
          <w:szCs w:val="24"/>
          <w:lang w:eastAsia="lt-LT"/>
        </w:rPr>
        <w:t>skaitmenin</w:t>
      </w:r>
      <w:r w:rsidR="00217928">
        <w:rPr>
          <w:color w:val="595959" w:themeColor="text1" w:themeTint="A6"/>
          <w:szCs w:val="24"/>
          <w:lang w:eastAsia="lt-LT"/>
        </w:rPr>
        <w:t>imo</w:t>
      </w:r>
      <w:proofErr w:type="spellEnd"/>
      <w:r w:rsidR="00217928">
        <w:rPr>
          <w:color w:val="595959" w:themeColor="text1" w:themeTint="A6"/>
          <w:szCs w:val="24"/>
          <w:lang w:eastAsia="lt-LT"/>
        </w:rPr>
        <w:t xml:space="preserve"> ir konsolidavimo projektai.</w:t>
      </w:r>
    </w:p>
    <w:p w:rsidR="00D50334" w:rsidRPr="00690DC5" w:rsidRDefault="0038007D" w:rsidP="004D416D">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Vienas iš </w:t>
      </w:r>
      <w:r w:rsidR="00D50334" w:rsidRPr="004D416D">
        <w:rPr>
          <w:rFonts w:ascii="Times New Roman" w:hAnsi="Times New Roman"/>
          <w:color w:val="595959" w:themeColor="text1" w:themeTint="A6"/>
          <w:lang w:eastAsia="lt-LT"/>
        </w:rPr>
        <w:t>Susisiekimo ministerij</w:t>
      </w:r>
      <w:r>
        <w:rPr>
          <w:rFonts w:ascii="Times New Roman" w:hAnsi="Times New Roman"/>
          <w:color w:val="595959" w:themeColor="text1" w:themeTint="A6"/>
          <w:lang w:eastAsia="lt-LT"/>
        </w:rPr>
        <w:t>os</w:t>
      </w:r>
      <w:r w:rsidR="00D50334" w:rsidRPr="004D416D">
        <w:rPr>
          <w:rFonts w:ascii="Times New Roman" w:hAnsi="Times New Roman"/>
          <w:color w:val="595959" w:themeColor="text1" w:themeTint="A6"/>
          <w:lang w:eastAsia="lt-LT"/>
        </w:rPr>
        <w:t xml:space="preserve"> spręsti</w:t>
      </w:r>
      <w:r>
        <w:rPr>
          <w:rFonts w:ascii="Times New Roman" w:hAnsi="Times New Roman"/>
          <w:color w:val="595959" w:themeColor="text1" w:themeTint="A6"/>
          <w:lang w:eastAsia="lt-LT"/>
        </w:rPr>
        <w:t xml:space="preserve">nų klausimų </w:t>
      </w:r>
      <w:r w:rsidR="0095364A">
        <w:rPr>
          <w:rFonts w:ascii="Times New Roman" w:hAnsi="Times New Roman"/>
          <w:color w:val="595959" w:themeColor="text1" w:themeTint="A6"/>
          <w:lang w:eastAsia="lt-LT"/>
        </w:rPr>
        <w:t>–</w:t>
      </w:r>
      <w:r w:rsidR="00D50334" w:rsidRPr="004D416D">
        <w:rPr>
          <w:rFonts w:ascii="Times New Roman" w:hAnsi="Times New Roman"/>
          <w:color w:val="595959" w:themeColor="text1" w:themeTint="A6"/>
          <w:lang w:eastAsia="lt-LT"/>
        </w:rPr>
        <w:t xml:space="preserve"> </w:t>
      </w:r>
      <w:r w:rsidR="00D50334">
        <w:rPr>
          <w:rFonts w:ascii="Times New Roman" w:hAnsi="Times New Roman"/>
          <w:color w:val="595959" w:themeColor="text1" w:themeTint="A6"/>
          <w:lang w:eastAsia="lt-LT"/>
        </w:rPr>
        <w:t>s</w:t>
      </w:r>
      <w:r w:rsidR="00D50334" w:rsidRPr="000478EC">
        <w:rPr>
          <w:rFonts w:ascii="Times New Roman" w:hAnsi="Times New Roman"/>
          <w:color w:val="595959" w:themeColor="text1" w:themeTint="A6"/>
          <w:lang w:eastAsia="lt-LT"/>
        </w:rPr>
        <w:t>kaitmeninio junglumo gerinim</w:t>
      </w:r>
      <w:r>
        <w:rPr>
          <w:rFonts w:ascii="Times New Roman" w:hAnsi="Times New Roman"/>
          <w:color w:val="595959" w:themeColor="text1" w:themeTint="A6"/>
          <w:lang w:eastAsia="lt-LT"/>
        </w:rPr>
        <w:t>as</w:t>
      </w:r>
      <w:r w:rsidR="00D50334" w:rsidRPr="000478EC">
        <w:rPr>
          <w:rFonts w:ascii="Times New Roman" w:hAnsi="Times New Roman"/>
          <w:color w:val="595959" w:themeColor="text1" w:themeTint="A6"/>
          <w:lang w:eastAsia="lt-LT"/>
        </w:rPr>
        <w:t xml:space="preserve"> visoje Lietuvos teritorijoje ypač regionuose. Prie kaimiškuosiuose regionuose (gyvena beveik 55 % gyventojų) gyventojų skaiči</w:t>
      </w:r>
      <w:r w:rsidR="0095364A">
        <w:rPr>
          <w:rFonts w:ascii="Times New Roman" w:hAnsi="Times New Roman"/>
          <w:color w:val="595959" w:themeColor="text1" w:themeTint="A6"/>
          <w:lang w:eastAsia="lt-LT"/>
        </w:rPr>
        <w:t>a</w:t>
      </w:r>
      <w:r w:rsidR="00D50334" w:rsidRPr="000478EC">
        <w:rPr>
          <w:rFonts w:ascii="Times New Roman" w:hAnsi="Times New Roman"/>
          <w:color w:val="595959" w:themeColor="text1" w:themeTint="A6"/>
          <w:lang w:eastAsia="lt-LT"/>
        </w:rPr>
        <w:t>us spartaus mažėjimo prisideda ir mažėjančios galimybės naudotis kokybiškomis viešosiomis paslaugomis. Siūloma investuoti į didelio pralaidumo plačiajuosčio ryšio tinklus vietovėse, kuriose tinklų diegimas nėra ekonomiškai naudingas.</w:t>
      </w:r>
    </w:p>
    <w:p w:rsidR="003912F3" w:rsidRPr="003628C1" w:rsidRDefault="003628C1" w:rsidP="003628C1">
      <w:pPr>
        <w:ind w:firstLine="426"/>
        <w:jc w:val="both"/>
        <w:rPr>
          <w:color w:val="595959" w:themeColor="text1" w:themeTint="A6"/>
          <w:szCs w:val="24"/>
          <w:lang w:eastAsia="lt-LT"/>
        </w:rPr>
      </w:pPr>
      <w:r w:rsidRPr="003628C1">
        <w:rPr>
          <w:color w:val="595959" w:themeColor="text1" w:themeTint="A6"/>
          <w:szCs w:val="24"/>
          <w:lang w:eastAsia="lt-LT"/>
        </w:rPr>
        <w:t>Nuo 2018 m. rugsėjo mėn. už valstybės politikos informacinės visuomenės srityje koordinavimą atsakinga paskirta Ekonomikos ir inovacijų ministerija. Susisiekimo ministerija lieka atsakinga tik už skaitmeninį junglumą, t.y. spartaus interneto prieigos plėtrą.</w:t>
      </w:r>
      <w:r w:rsidR="00A94F7D">
        <w:rPr>
          <w:color w:val="595959" w:themeColor="text1" w:themeTint="A6"/>
          <w:szCs w:val="24"/>
          <w:lang w:eastAsia="lt-LT"/>
        </w:rPr>
        <w:t xml:space="preserve"> </w:t>
      </w:r>
      <w:r w:rsidR="00D50334">
        <w:rPr>
          <w:color w:val="595959" w:themeColor="text1" w:themeTint="A6"/>
          <w:szCs w:val="24"/>
          <w:lang w:eastAsia="lt-LT"/>
        </w:rPr>
        <w:t xml:space="preserve">Todėl </w:t>
      </w:r>
      <w:r w:rsidR="00D50334" w:rsidRPr="00D50334">
        <w:rPr>
          <w:color w:val="595959" w:themeColor="text1" w:themeTint="A6"/>
          <w:szCs w:val="24"/>
          <w:lang w:eastAsia="lt-LT"/>
        </w:rPr>
        <w:t xml:space="preserve">Ekonomikos ir inovacijų ministerija </w:t>
      </w:r>
      <w:r w:rsidR="00D50334">
        <w:rPr>
          <w:color w:val="595959" w:themeColor="text1" w:themeTint="A6"/>
          <w:szCs w:val="24"/>
          <w:lang w:eastAsia="lt-LT"/>
        </w:rPr>
        <w:t xml:space="preserve">turi prisiimti </w:t>
      </w:r>
      <w:r w:rsidR="0038007D" w:rsidRPr="004D416D">
        <w:rPr>
          <w:color w:val="595959" w:themeColor="text1" w:themeTint="A6"/>
          <w:szCs w:val="24"/>
          <w:lang w:eastAsia="lt-LT"/>
        </w:rPr>
        <w:t>l</w:t>
      </w:r>
      <w:r w:rsidR="00D50334" w:rsidRPr="004D416D">
        <w:rPr>
          <w:color w:val="595959" w:themeColor="text1" w:themeTint="A6"/>
          <w:szCs w:val="24"/>
          <w:lang w:eastAsia="lt-LT"/>
        </w:rPr>
        <w:t>yderystę ir koordinavimą formuojant Lietuvos investicijų politiką informacinės visuomenės srityje, turėti informacinės visuomenės plėtros veiksmų koordinavimo viziją.</w:t>
      </w:r>
    </w:p>
    <w:p w:rsidR="00D50334" w:rsidRDefault="00D50334" w:rsidP="00F60757">
      <w:pPr>
        <w:ind w:firstLine="426"/>
        <w:jc w:val="both"/>
        <w:rPr>
          <w:color w:val="595959" w:themeColor="text1" w:themeTint="A6"/>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3628C1" w:rsidRPr="0040787A" w:rsidTr="00574E3F">
        <w:tc>
          <w:tcPr>
            <w:tcW w:w="9638" w:type="dxa"/>
            <w:tcBorders>
              <w:top w:val="nil"/>
              <w:left w:val="nil"/>
              <w:bottom w:val="nil"/>
              <w:right w:val="nil"/>
            </w:tcBorders>
            <w:shd w:val="clear" w:color="auto" w:fill="D9D9D9" w:themeFill="background1" w:themeFillShade="D9"/>
          </w:tcPr>
          <w:p w:rsidR="003628C1" w:rsidRPr="0040787A" w:rsidRDefault="003628C1" w:rsidP="00574E3F">
            <w:pPr>
              <w:jc w:val="both"/>
              <w:rPr>
                <w:b/>
                <w:color w:val="365F91" w:themeColor="accent1" w:themeShade="BF"/>
              </w:rPr>
            </w:pPr>
            <w:r>
              <w:rPr>
                <w:b/>
                <w:color w:val="365F91" w:themeColor="accent1" w:themeShade="BF"/>
              </w:rPr>
              <w:t>Siūlymas</w:t>
            </w:r>
            <w:r w:rsidRPr="003628C1">
              <w:rPr>
                <w:b/>
                <w:color w:val="365F91" w:themeColor="accent1" w:themeShade="BF"/>
              </w:rPr>
              <w:t xml:space="preserve"> </w:t>
            </w:r>
            <w:r w:rsidR="00BE53ED">
              <w:rPr>
                <w:b/>
                <w:color w:val="365F91" w:themeColor="accent1" w:themeShade="BF"/>
              </w:rPr>
              <w:t>Ekonomikos ir inovacijų</w:t>
            </w:r>
            <w:r w:rsidRPr="003628C1">
              <w:rPr>
                <w:b/>
                <w:color w:val="365F91" w:themeColor="accent1" w:themeShade="BF"/>
              </w:rPr>
              <w:t xml:space="preserve"> </w:t>
            </w:r>
            <w:r w:rsidRPr="0040787A">
              <w:rPr>
                <w:b/>
                <w:color w:val="365F91" w:themeColor="accent1" w:themeShade="BF"/>
              </w:rPr>
              <w:t>ministerijai:</w:t>
            </w:r>
          </w:p>
          <w:p w:rsidR="003628C1" w:rsidRPr="00835C89" w:rsidRDefault="003628C1" w:rsidP="00766A64">
            <w:pPr>
              <w:jc w:val="both"/>
              <w:rPr>
                <w:color w:val="365F91" w:themeColor="accent1" w:themeShade="BF"/>
              </w:rPr>
            </w:pPr>
            <w:r w:rsidRPr="004D416D">
              <w:rPr>
                <w:color w:val="365F91" w:themeColor="accent1" w:themeShade="BF"/>
                <w:szCs w:val="24"/>
              </w:rPr>
              <w:t>-</w:t>
            </w:r>
            <w:r w:rsidRPr="00604311">
              <w:rPr>
                <w:color w:val="365F91" w:themeColor="accent1" w:themeShade="BF"/>
                <w:szCs w:val="24"/>
              </w:rPr>
              <w:t xml:space="preserve"> </w:t>
            </w:r>
            <w:r w:rsidR="00766A64" w:rsidRPr="004D416D">
              <w:rPr>
                <w:color w:val="365F91" w:themeColor="accent1" w:themeShade="BF"/>
                <w:szCs w:val="24"/>
              </w:rPr>
              <w:t>per 2021 m. I pusmetį apsispręsti dėl duomenų centrų paslaugų įsigijimo principų bei suplanuoti resursus dėl papildomai reikalingų duomenų centrų patalpų finansavimo</w:t>
            </w:r>
            <w:r w:rsidR="00766A64" w:rsidRPr="00604311">
              <w:rPr>
                <w:color w:val="365F91" w:themeColor="accent1" w:themeShade="BF"/>
                <w:szCs w:val="24"/>
              </w:rPr>
              <w:t xml:space="preserve"> </w:t>
            </w:r>
            <w:r w:rsidRPr="00604311">
              <w:rPr>
                <w:color w:val="365F91" w:themeColor="accent1" w:themeShade="BF"/>
                <w:szCs w:val="24"/>
              </w:rPr>
              <w:t>nuo 2022 m.</w:t>
            </w:r>
            <w:r>
              <w:rPr>
                <w:color w:val="365F91" w:themeColor="accent1" w:themeShade="BF"/>
                <w:szCs w:val="24"/>
              </w:rPr>
              <w:t>,</w:t>
            </w:r>
            <w:r w:rsidRPr="00604311">
              <w:rPr>
                <w:color w:val="365F91" w:themeColor="accent1" w:themeShade="BF"/>
                <w:szCs w:val="24"/>
              </w:rPr>
              <w:t xml:space="preserve"> siekiant </w:t>
            </w:r>
            <w:r w:rsidR="00766A64">
              <w:rPr>
                <w:color w:val="365F91" w:themeColor="accent1" w:themeShade="BF"/>
                <w:szCs w:val="24"/>
              </w:rPr>
              <w:t xml:space="preserve">tinkamai ir </w:t>
            </w:r>
            <w:r w:rsidRPr="00604311">
              <w:rPr>
                <w:color w:val="365F91" w:themeColor="accent1" w:themeShade="BF"/>
                <w:szCs w:val="24"/>
              </w:rPr>
              <w:t xml:space="preserve">laiku įgyvendinti viešosios IT infrastruktūros konsolidavimo projektą „Valstybės </w:t>
            </w:r>
            <w:proofErr w:type="spellStart"/>
            <w:r w:rsidRPr="00604311">
              <w:rPr>
                <w:color w:val="365F91" w:themeColor="accent1" w:themeShade="BF"/>
                <w:szCs w:val="24"/>
              </w:rPr>
              <w:t>debesijos</w:t>
            </w:r>
            <w:proofErr w:type="spellEnd"/>
            <w:r w:rsidRPr="00604311">
              <w:rPr>
                <w:color w:val="365F91" w:themeColor="accent1" w:themeShade="BF"/>
                <w:szCs w:val="24"/>
              </w:rPr>
              <w:t xml:space="preserve"> paslaugų teikimo infrastruktūros sukūrimas”.</w:t>
            </w:r>
          </w:p>
        </w:tc>
      </w:tr>
    </w:tbl>
    <w:p w:rsidR="006810A9" w:rsidRDefault="006810A9" w:rsidP="006810A9">
      <w:pPr>
        <w:ind w:firstLine="426"/>
        <w:jc w:val="both"/>
        <w:rPr>
          <w:color w:val="595959" w:themeColor="text1" w:themeTint="A6"/>
          <w:szCs w:val="24"/>
          <w:lang w:eastAsia="lt-LT"/>
        </w:rPr>
      </w:pPr>
    </w:p>
    <w:p w:rsidR="006810A9" w:rsidRPr="00D76B38" w:rsidRDefault="006810A9" w:rsidP="006810A9">
      <w:pPr>
        <w:ind w:firstLine="426"/>
        <w:jc w:val="both"/>
        <w:rPr>
          <w:color w:val="595959" w:themeColor="text1" w:themeTint="A6"/>
          <w:szCs w:val="24"/>
          <w:lang w:eastAsia="lt-LT"/>
        </w:rPr>
      </w:pPr>
      <w:r>
        <w:rPr>
          <w:color w:val="595959" w:themeColor="text1" w:themeTint="A6"/>
          <w:szCs w:val="24"/>
          <w:lang w:eastAsia="lt-LT"/>
        </w:rPr>
        <w:t>Susisiekimo ministerijai įgyvendinant 2 prioriteto veiklas</w:t>
      </w:r>
      <w:r w:rsidRPr="00D76B38">
        <w:rPr>
          <w:color w:val="595959" w:themeColor="text1" w:themeTint="A6"/>
          <w:szCs w:val="24"/>
          <w:lang w:eastAsia="lt-LT"/>
        </w:rPr>
        <w:t xml:space="preserve"> </w:t>
      </w:r>
      <w:r>
        <w:rPr>
          <w:color w:val="595959" w:themeColor="text1" w:themeTint="A6"/>
          <w:szCs w:val="24"/>
          <w:lang w:eastAsia="lt-LT"/>
        </w:rPr>
        <w:t xml:space="preserve">pasiekti </w:t>
      </w:r>
      <w:r w:rsidRPr="00D76B38">
        <w:rPr>
          <w:color w:val="595959" w:themeColor="text1" w:themeTint="A6"/>
          <w:szCs w:val="24"/>
          <w:lang w:eastAsia="lt-LT"/>
        </w:rPr>
        <w:t>reikšmingi šių rodiklių pasiekimai:</w:t>
      </w:r>
    </w:p>
    <w:p w:rsidR="006810A9" w:rsidRDefault="006810A9" w:rsidP="006810A9">
      <w:pPr>
        <w:ind w:firstLine="426"/>
        <w:jc w:val="both"/>
        <w:rPr>
          <w:color w:val="595959" w:themeColor="text1" w:themeTint="A6"/>
          <w:szCs w:val="24"/>
          <w:lang w:eastAsia="lt-LT"/>
        </w:rPr>
      </w:pPr>
      <w:r>
        <w:rPr>
          <w:color w:val="595959" w:themeColor="text1" w:themeTint="A6"/>
          <w:szCs w:val="24"/>
          <w:lang w:eastAsia="lt-LT"/>
        </w:rPr>
        <w:t>- auga g</w:t>
      </w:r>
      <w:r w:rsidRPr="000D6804">
        <w:rPr>
          <w:color w:val="595959" w:themeColor="text1" w:themeTint="A6"/>
          <w:szCs w:val="24"/>
          <w:lang w:eastAsia="lt-LT"/>
        </w:rPr>
        <w:t>yventojų, kurie nuolat naudojasi internetu</w:t>
      </w:r>
      <w:r>
        <w:rPr>
          <w:color w:val="595959" w:themeColor="text1" w:themeTint="A6"/>
          <w:szCs w:val="24"/>
          <w:lang w:eastAsia="lt-LT"/>
        </w:rPr>
        <w:t xml:space="preserve"> dalis - </w:t>
      </w:r>
      <w:r w:rsidRPr="00217928">
        <w:rPr>
          <w:color w:val="595959" w:themeColor="text1" w:themeTint="A6"/>
          <w:szCs w:val="24"/>
          <w:lang w:eastAsia="lt-LT"/>
        </w:rPr>
        <w:t>2019-12-31 duomenimis</w:t>
      </w:r>
      <w:r>
        <w:rPr>
          <w:color w:val="595959" w:themeColor="text1" w:themeTint="A6"/>
          <w:szCs w:val="24"/>
          <w:lang w:eastAsia="lt-LT"/>
        </w:rPr>
        <w:t xml:space="preserve"> </w:t>
      </w:r>
      <w:r w:rsidRPr="00217928">
        <w:rPr>
          <w:color w:val="595959" w:themeColor="text1" w:themeTint="A6"/>
          <w:szCs w:val="24"/>
          <w:lang w:eastAsia="lt-LT"/>
        </w:rPr>
        <w:t xml:space="preserve">(2020 metų duomenys dar nėra </w:t>
      </w:r>
      <w:r>
        <w:rPr>
          <w:color w:val="595959" w:themeColor="text1" w:themeTint="A6"/>
          <w:szCs w:val="24"/>
          <w:lang w:eastAsia="lt-LT"/>
        </w:rPr>
        <w:t>iki galo</w:t>
      </w:r>
      <w:r w:rsidRPr="00217928">
        <w:rPr>
          <w:color w:val="595959" w:themeColor="text1" w:themeTint="A6"/>
          <w:szCs w:val="24"/>
          <w:lang w:eastAsia="lt-LT"/>
        </w:rPr>
        <w:t xml:space="preserve"> apskaičiuoti)</w:t>
      </w:r>
      <w:r>
        <w:rPr>
          <w:color w:val="595959" w:themeColor="text1" w:themeTint="A6"/>
          <w:szCs w:val="24"/>
          <w:lang w:eastAsia="lt-LT"/>
        </w:rPr>
        <w:t xml:space="preserve"> ji </w:t>
      </w:r>
      <w:r w:rsidRPr="00217928">
        <w:rPr>
          <w:color w:val="595959" w:themeColor="text1" w:themeTint="A6"/>
          <w:szCs w:val="24"/>
          <w:lang w:eastAsia="lt-LT"/>
        </w:rPr>
        <w:t>sudaro 82 procentus</w:t>
      </w:r>
      <w:r>
        <w:rPr>
          <w:color w:val="595959" w:themeColor="text1" w:themeTint="A6"/>
          <w:szCs w:val="24"/>
          <w:lang w:eastAsia="lt-LT"/>
        </w:rPr>
        <w:t xml:space="preserve"> (planuojama </w:t>
      </w:r>
      <w:r w:rsidRPr="00217928">
        <w:rPr>
          <w:color w:val="595959" w:themeColor="text1" w:themeTint="A6"/>
          <w:szCs w:val="24"/>
          <w:lang w:eastAsia="lt-LT"/>
        </w:rPr>
        <w:t>p</w:t>
      </w:r>
      <w:r>
        <w:rPr>
          <w:color w:val="595959" w:themeColor="text1" w:themeTint="A6"/>
          <w:szCs w:val="24"/>
          <w:lang w:eastAsia="lt-LT"/>
        </w:rPr>
        <w:t>asiekti reikšmė – 87 procentai)</w:t>
      </w:r>
    </w:p>
    <w:p w:rsidR="006810A9" w:rsidRPr="00B56B1D" w:rsidRDefault="006810A9" w:rsidP="006810A9">
      <w:pPr>
        <w:ind w:firstLine="426"/>
        <w:jc w:val="both"/>
        <w:rPr>
          <w:color w:val="595959" w:themeColor="text1" w:themeTint="A6"/>
          <w:szCs w:val="24"/>
          <w:lang w:val="en-US" w:eastAsia="lt-LT"/>
        </w:rPr>
      </w:pPr>
      <w:r>
        <w:rPr>
          <w:color w:val="595959" w:themeColor="text1" w:themeTint="A6"/>
          <w:szCs w:val="24"/>
          <w:lang w:eastAsia="lt-LT"/>
        </w:rPr>
        <w:t>- taip pat auga g</w:t>
      </w:r>
      <w:r w:rsidRPr="000D6804">
        <w:rPr>
          <w:color w:val="595959" w:themeColor="text1" w:themeTint="A6"/>
          <w:szCs w:val="24"/>
          <w:lang w:eastAsia="lt-LT"/>
        </w:rPr>
        <w:t>yventojų, kurie naudojasi elektroniniu būdu teikiamomis viešosiomis ir admi</w:t>
      </w:r>
      <w:r>
        <w:rPr>
          <w:color w:val="595959" w:themeColor="text1" w:themeTint="A6"/>
          <w:szCs w:val="24"/>
          <w:lang w:eastAsia="lt-LT"/>
        </w:rPr>
        <w:t xml:space="preserve">nistracinėmis paslaugomis </w:t>
      </w:r>
      <w:r w:rsidRPr="000D6804">
        <w:rPr>
          <w:color w:val="595959" w:themeColor="text1" w:themeTint="A6"/>
          <w:szCs w:val="24"/>
          <w:lang w:eastAsia="lt-LT"/>
        </w:rPr>
        <w:t>dalis</w:t>
      </w:r>
      <w:r>
        <w:rPr>
          <w:color w:val="595959" w:themeColor="text1" w:themeTint="A6"/>
          <w:szCs w:val="24"/>
          <w:lang w:eastAsia="lt-LT"/>
        </w:rPr>
        <w:t xml:space="preserve"> – ji </w:t>
      </w:r>
      <w:r w:rsidRPr="00217928">
        <w:rPr>
          <w:color w:val="595959" w:themeColor="text1" w:themeTint="A6"/>
          <w:szCs w:val="24"/>
          <w:lang w:eastAsia="lt-LT"/>
        </w:rPr>
        <w:t>sudaro beveik</w:t>
      </w:r>
      <w:r>
        <w:rPr>
          <w:color w:val="595959" w:themeColor="text1" w:themeTint="A6"/>
          <w:szCs w:val="24"/>
          <w:lang w:val="en-US" w:eastAsia="lt-LT"/>
        </w:rPr>
        <w:t xml:space="preserve"> 55 </w:t>
      </w:r>
      <w:r w:rsidRPr="00217928">
        <w:rPr>
          <w:color w:val="595959" w:themeColor="text1" w:themeTint="A6"/>
          <w:szCs w:val="24"/>
          <w:lang w:eastAsia="lt-LT"/>
        </w:rPr>
        <w:t>procentus</w:t>
      </w:r>
      <w:r>
        <w:rPr>
          <w:color w:val="595959" w:themeColor="text1" w:themeTint="A6"/>
          <w:szCs w:val="24"/>
          <w:lang w:val="en-US" w:eastAsia="lt-LT"/>
        </w:rPr>
        <w:t xml:space="preserve"> (</w:t>
      </w:r>
      <w:r>
        <w:rPr>
          <w:color w:val="595959" w:themeColor="text1" w:themeTint="A6"/>
          <w:lang w:eastAsia="lt-LT"/>
        </w:rPr>
        <w:t>planuojama pasiekti reikšmė 63 procentai).</w:t>
      </w:r>
    </w:p>
    <w:p w:rsidR="004A7DE0" w:rsidRDefault="004A7DE0" w:rsidP="003628C1">
      <w:pPr>
        <w:jc w:val="both"/>
        <w:rPr>
          <w:color w:val="595959" w:themeColor="text1" w:themeTint="A6"/>
          <w:szCs w:val="24"/>
          <w:lang w:eastAsia="lt-LT"/>
        </w:rPr>
      </w:pPr>
    </w:p>
    <w:p w:rsidR="004A7DE0" w:rsidRPr="00F60757" w:rsidRDefault="004A7DE0" w:rsidP="003628C1">
      <w:pPr>
        <w:jc w:val="both"/>
        <w:rPr>
          <w:color w:val="595959" w:themeColor="text1" w:themeTint="A6"/>
          <w:szCs w:val="24"/>
          <w:lang w:eastAsia="lt-LT"/>
        </w:rPr>
      </w:pPr>
    </w:p>
    <w:p w:rsidR="000305AE" w:rsidRPr="005713AF" w:rsidRDefault="000305AE" w:rsidP="0077692B">
      <w:pPr>
        <w:keepNext/>
        <w:keepLines/>
        <w:jc w:val="both"/>
        <w:outlineLvl w:val="1"/>
        <w:rPr>
          <w:rFonts w:eastAsiaTheme="majorEastAsia"/>
          <w:b/>
          <w:bCs/>
          <w:color w:val="595959" w:themeColor="text1" w:themeTint="A6"/>
          <w:szCs w:val="24"/>
          <w:lang w:eastAsia="lt-LT"/>
        </w:rPr>
      </w:pPr>
      <w:bookmarkStart w:id="14" w:name="_Toc10104954"/>
      <w:bookmarkStart w:id="15" w:name="_Toc69114251"/>
      <w:r w:rsidRPr="005713AF">
        <w:rPr>
          <w:rFonts w:eastAsiaTheme="majorEastAsia"/>
          <w:b/>
          <w:bCs/>
          <w:color w:val="595959" w:themeColor="text1" w:themeTint="A6"/>
          <w:szCs w:val="24"/>
          <w:lang w:eastAsia="lt-LT"/>
        </w:rPr>
        <w:lastRenderedPageBreak/>
        <w:t>3 prioritetas. Smulkiojo ir vidutinio verslo konkurencingumo skatinimas</w:t>
      </w:r>
      <w:bookmarkEnd w:id="14"/>
      <w:bookmarkEnd w:id="15"/>
    </w:p>
    <w:p w:rsidR="006810A9" w:rsidRDefault="006810A9" w:rsidP="008510B0">
      <w:pPr>
        <w:jc w:val="both"/>
        <w:rPr>
          <w:color w:val="595959" w:themeColor="text1" w:themeTint="A6"/>
          <w:szCs w:val="24"/>
          <w:lang w:eastAsia="lt-LT"/>
        </w:rPr>
      </w:pPr>
      <w:bookmarkStart w:id="16" w:name="_Toc10104955"/>
    </w:p>
    <w:p w:rsidR="00294C36" w:rsidRDefault="00690C00" w:rsidP="00190FF1">
      <w:pPr>
        <w:pStyle w:val="tekstas"/>
        <w:ind w:firstLine="0"/>
        <w:rPr>
          <w:rFonts w:ascii="Times New Roman" w:hAnsi="Times New Roman"/>
          <w:color w:val="595959" w:themeColor="text1" w:themeTint="A6"/>
          <w:lang w:eastAsia="lt-LT"/>
        </w:rPr>
      </w:pPr>
      <w:r>
        <w:rPr>
          <w:noProof/>
          <w:lang w:eastAsia="lt-LT"/>
        </w:rPr>
        <w:drawing>
          <wp:inline distT="0" distB="0" distL="0" distR="0" wp14:anchorId="1F9F6A76" wp14:editId="14667246">
            <wp:extent cx="6120130" cy="767385"/>
            <wp:effectExtent l="0" t="0" r="13970" b="13970"/>
            <wp:docPr id="392" name="Diagrama 39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D5333" w:rsidRDefault="009D5333" w:rsidP="009D5333">
      <w:pPr>
        <w:pStyle w:val="tekstas"/>
        <w:rPr>
          <w:rFonts w:ascii="Times New Roman" w:hAnsi="Times New Roman"/>
          <w:color w:val="595959" w:themeColor="text1" w:themeTint="A6"/>
          <w:lang w:eastAsia="lt-LT"/>
        </w:rPr>
      </w:pPr>
    </w:p>
    <w:p w:rsidR="009D5333" w:rsidRDefault="00F65D1E" w:rsidP="009D5333">
      <w:pPr>
        <w:pStyle w:val="tekstas"/>
        <w:rPr>
          <w:rFonts w:ascii="Times New Roman" w:hAnsi="Times New Roman"/>
          <w:color w:val="595959" w:themeColor="text1" w:themeTint="A6"/>
          <w:lang w:eastAsia="lt-LT"/>
        </w:rPr>
      </w:pPr>
      <w:r w:rsidRPr="00F65D1E">
        <w:rPr>
          <w:rFonts w:ascii="Times New Roman" w:hAnsi="Times New Roman"/>
          <w:color w:val="595959" w:themeColor="text1" w:themeTint="A6"/>
          <w:lang w:eastAsia="lt-LT"/>
        </w:rPr>
        <w:t>Ekonomikos ir inovacijų minister</w:t>
      </w:r>
      <w:r>
        <w:rPr>
          <w:rFonts w:ascii="Times New Roman" w:hAnsi="Times New Roman"/>
          <w:color w:val="595959" w:themeColor="text1" w:themeTint="A6"/>
          <w:lang w:eastAsia="lt-LT"/>
        </w:rPr>
        <w:t>ijos sudarytos sutartys visoms 3</w:t>
      </w:r>
      <w:r w:rsidRPr="00F65D1E">
        <w:rPr>
          <w:rFonts w:ascii="Times New Roman" w:hAnsi="Times New Roman"/>
          <w:color w:val="595959" w:themeColor="text1" w:themeTint="A6"/>
          <w:lang w:eastAsia="lt-LT"/>
        </w:rPr>
        <w:t xml:space="preserve"> prioriteto administruojamų priemonių lėšoms.</w:t>
      </w:r>
      <w:r w:rsidR="00F60757">
        <w:rPr>
          <w:rFonts w:ascii="Times New Roman" w:hAnsi="Times New Roman"/>
          <w:color w:val="595959" w:themeColor="text1" w:themeTint="A6"/>
          <w:lang w:eastAsia="lt-LT"/>
        </w:rPr>
        <w:t xml:space="preserve"> Papildomai</w:t>
      </w:r>
      <w:r w:rsidR="00F60757" w:rsidRPr="00F60757">
        <w:rPr>
          <w:rFonts w:ascii="Times New Roman" w:hAnsi="Times New Roman"/>
          <w:color w:val="595959" w:themeColor="text1" w:themeTint="A6"/>
          <w:lang w:eastAsia="lt-LT"/>
        </w:rPr>
        <w:t xml:space="preserve"> šiame priorite</w:t>
      </w:r>
      <w:r w:rsidR="00F60757">
        <w:rPr>
          <w:rFonts w:ascii="Times New Roman" w:hAnsi="Times New Roman"/>
          <w:color w:val="595959" w:themeColor="text1" w:themeTint="A6"/>
          <w:lang w:eastAsia="lt-LT"/>
        </w:rPr>
        <w:t xml:space="preserve">te ministerijai yra numatyta </w:t>
      </w:r>
      <w:r>
        <w:rPr>
          <w:rFonts w:ascii="Times New Roman" w:hAnsi="Times New Roman"/>
          <w:color w:val="595959" w:themeColor="text1" w:themeTint="A6"/>
          <w:lang w:eastAsia="lt-LT"/>
        </w:rPr>
        <w:t>97</w:t>
      </w:r>
      <w:r w:rsidR="00F60757" w:rsidRPr="00F60757">
        <w:rPr>
          <w:rFonts w:ascii="Times New Roman" w:hAnsi="Times New Roman"/>
          <w:color w:val="595959" w:themeColor="text1" w:themeTint="A6"/>
          <w:lang w:eastAsia="lt-LT"/>
        </w:rPr>
        <w:t xml:space="preserve"> mln. eurų ES lėšų </w:t>
      </w:r>
      <w:proofErr w:type="spellStart"/>
      <w:r w:rsidR="00F60757" w:rsidRPr="00F60757">
        <w:rPr>
          <w:rFonts w:ascii="Times New Roman" w:hAnsi="Times New Roman"/>
          <w:color w:val="595959" w:themeColor="text1" w:themeTint="A6"/>
          <w:lang w:eastAsia="lt-LT"/>
        </w:rPr>
        <w:t>virškontraktavimo</w:t>
      </w:r>
      <w:proofErr w:type="spellEnd"/>
      <w:r w:rsidR="00F60757" w:rsidRPr="00F60757">
        <w:rPr>
          <w:rFonts w:ascii="Times New Roman" w:hAnsi="Times New Roman"/>
          <w:color w:val="595959" w:themeColor="text1" w:themeTint="A6"/>
          <w:lang w:eastAsia="lt-LT"/>
        </w:rPr>
        <w:t xml:space="preserve"> galimybė.</w:t>
      </w:r>
      <w:r w:rsidR="00F60757">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I</w:t>
      </w:r>
      <w:r w:rsidR="00F60757">
        <w:rPr>
          <w:rFonts w:ascii="Times New Roman" w:hAnsi="Times New Roman"/>
          <w:color w:val="595959" w:themeColor="text1" w:themeTint="A6"/>
          <w:lang w:eastAsia="lt-LT"/>
        </w:rPr>
        <w:t xml:space="preserve">nvestavimo sparta – </w:t>
      </w:r>
      <w:r w:rsidR="00690C00">
        <w:rPr>
          <w:rFonts w:ascii="Times New Roman" w:hAnsi="Times New Roman"/>
          <w:color w:val="595959" w:themeColor="text1" w:themeTint="A6"/>
          <w:lang w:eastAsia="lt-LT"/>
        </w:rPr>
        <w:t>60</w:t>
      </w:r>
      <w:r w:rsidR="00F60757">
        <w:rPr>
          <w:rFonts w:ascii="Times New Roman" w:hAnsi="Times New Roman"/>
          <w:color w:val="595959" w:themeColor="text1" w:themeTint="A6"/>
          <w:lang w:eastAsia="lt-LT"/>
        </w:rPr>
        <w:t xml:space="preserve"> proc. </w:t>
      </w:r>
      <w:r>
        <w:rPr>
          <w:rFonts w:ascii="Times New Roman" w:hAnsi="Times New Roman"/>
          <w:color w:val="595959" w:themeColor="text1" w:themeTint="A6"/>
          <w:lang w:eastAsia="lt-LT"/>
        </w:rPr>
        <w:t>šiek tiek atsilieka nuo Veiksmų programos vidurkio.</w:t>
      </w:r>
    </w:p>
    <w:p w:rsidR="009D5333" w:rsidRDefault="009D5333" w:rsidP="009D5333">
      <w:pPr>
        <w:pStyle w:val="tekstas"/>
        <w:rPr>
          <w:rFonts w:ascii="Times New Roman" w:hAnsi="Times New Roman"/>
          <w:color w:val="595959" w:themeColor="text1" w:themeTint="A6"/>
          <w:lang w:eastAsia="lt-LT"/>
        </w:rPr>
      </w:pPr>
      <w:r w:rsidRPr="0038007D">
        <w:rPr>
          <w:rFonts w:ascii="Times New Roman" w:hAnsi="Times New Roman"/>
          <w:color w:val="595959" w:themeColor="text1" w:themeTint="A6"/>
          <w:lang w:eastAsia="lt-LT"/>
        </w:rPr>
        <w:t xml:space="preserve">Ekonomikos ir inovacijų ministerijos </w:t>
      </w:r>
      <w:r w:rsidR="00CA452C">
        <w:rPr>
          <w:rFonts w:ascii="Times New Roman" w:hAnsi="Times New Roman"/>
          <w:color w:val="595959" w:themeColor="text1" w:themeTint="A6"/>
          <w:lang w:eastAsia="lt-LT"/>
        </w:rPr>
        <w:t>investicijos šiame prioritete sprendžia šiuos iššūkius</w:t>
      </w:r>
      <w:r w:rsidRPr="0038007D">
        <w:rPr>
          <w:rFonts w:ascii="Times New Roman" w:hAnsi="Times New Roman"/>
          <w:color w:val="595959" w:themeColor="text1" w:themeTint="A6"/>
          <w:lang w:eastAsia="lt-LT"/>
        </w:rPr>
        <w:t>:</w:t>
      </w:r>
    </w:p>
    <w:p w:rsidR="009D5333" w:rsidRPr="00F67703" w:rsidRDefault="009D5333" w:rsidP="006810A9">
      <w:pPr>
        <w:pStyle w:val="tekstas"/>
        <w:numPr>
          <w:ilvl w:val="0"/>
          <w:numId w:val="36"/>
        </w:numPr>
        <w:tabs>
          <w:tab w:val="left" w:pos="426"/>
        </w:tabs>
        <w:ind w:left="0" w:firstLine="0"/>
        <w:rPr>
          <w:rFonts w:ascii="Times New Roman" w:hAnsi="Times New Roman"/>
          <w:color w:val="595959" w:themeColor="text1" w:themeTint="A6"/>
          <w:lang w:eastAsia="lt-LT"/>
        </w:rPr>
      </w:pPr>
      <w:r w:rsidRPr="00F67703">
        <w:rPr>
          <w:rFonts w:ascii="Times New Roman" w:hAnsi="Times New Roman"/>
          <w:color w:val="595959" w:themeColor="text1" w:themeTint="A6"/>
          <w:lang w:eastAsia="lt-LT"/>
        </w:rPr>
        <w:t>Nepakankamai sparčiai, palyginti su darbo užmokesčiu, augantis darbo našumas – vienas iš esminių iššūkių šalies verslo konkurencingumui. Siekiant augimo ilgalaikėje perspektyvoje, būtina didinti žiniomis bei technologijomis grindžiamos ekonomikos dalį. Priemonių, skirtų darbo našumui didinti, taikymas turi būti diferencijuojamas pagal sektorius ir juose veikiančių įmonių specifiką.</w:t>
      </w:r>
    </w:p>
    <w:p w:rsidR="009D5333" w:rsidRPr="00F67703" w:rsidRDefault="009D5333" w:rsidP="006810A9">
      <w:pPr>
        <w:pStyle w:val="tekstas"/>
        <w:numPr>
          <w:ilvl w:val="0"/>
          <w:numId w:val="36"/>
        </w:numPr>
        <w:tabs>
          <w:tab w:val="left" w:pos="426"/>
          <w:tab w:val="left" w:pos="993"/>
        </w:tabs>
        <w:ind w:left="0" w:firstLine="0"/>
        <w:rPr>
          <w:rFonts w:ascii="Times New Roman" w:hAnsi="Times New Roman"/>
          <w:color w:val="595959" w:themeColor="text1" w:themeTint="A6"/>
          <w:lang w:eastAsia="lt-LT"/>
        </w:rPr>
      </w:pPr>
      <w:r w:rsidRPr="00F67703">
        <w:rPr>
          <w:rFonts w:ascii="Times New Roman" w:hAnsi="Times New Roman"/>
          <w:color w:val="595959" w:themeColor="text1" w:themeTint="A6"/>
          <w:lang w:eastAsia="lt-LT"/>
        </w:rPr>
        <w:t xml:space="preserve">Šalies įmonės daugiausiai konkuruoja žemos pridėtinės vertės veiklose, dėl to svarbu investuoti į </w:t>
      </w:r>
      <w:proofErr w:type="spellStart"/>
      <w:r w:rsidRPr="00F67703">
        <w:rPr>
          <w:rFonts w:ascii="Times New Roman" w:hAnsi="Times New Roman"/>
          <w:color w:val="595959" w:themeColor="text1" w:themeTint="A6"/>
          <w:lang w:eastAsia="lt-LT"/>
        </w:rPr>
        <w:t>inovatyvaus</w:t>
      </w:r>
      <w:proofErr w:type="spellEnd"/>
      <w:r w:rsidRPr="00F67703">
        <w:rPr>
          <w:rFonts w:ascii="Times New Roman" w:hAnsi="Times New Roman"/>
          <w:color w:val="595959" w:themeColor="text1" w:themeTint="A6"/>
          <w:lang w:eastAsia="lt-LT"/>
        </w:rPr>
        <w:t xml:space="preserve"> verslo plėtrą, skatinti pradedančiųjų SVV subjektų </w:t>
      </w:r>
      <w:proofErr w:type="spellStart"/>
      <w:r w:rsidRPr="00F67703">
        <w:rPr>
          <w:rFonts w:ascii="Times New Roman" w:hAnsi="Times New Roman"/>
          <w:color w:val="595959" w:themeColor="text1" w:themeTint="A6"/>
          <w:lang w:eastAsia="lt-LT"/>
        </w:rPr>
        <w:t>akseleravimą</w:t>
      </w:r>
      <w:proofErr w:type="spellEnd"/>
      <w:r w:rsidRPr="00F67703">
        <w:rPr>
          <w:rFonts w:ascii="Times New Roman" w:hAnsi="Times New Roman"/>
          <w:color w:val="595959" w:themeColor="text1" w:themeTint="A6"/>
          <w:lang w:eastAsia="lt-LT"/>
        </w:rPr>
        <w:t xml:space="preserve"> ir plėtrą, MVĮ </w:t>
      </w:r>
      <w:proofErr w:type="spellStart"/>
      <w:r w:rsidRPr="00F67703">
        <w:rPr>
          <w:rFonts w:ascii="Times New Roman" w:hAnsi="Times New Roman"/>
          <w:color w:val="595959" w:themeColor="text1" w:themeTint="A6"/>
          <w:lang w:eastAsia="lt-LT"/>
        </w:rPr>
        <w:t>tarptautiškumą</w:t>
      </w:r>
      <w:proofErr w:type="spellEnd"/>
      <w:r w:rsidRPr="00F67703">
        <w:rPr>
          <w:rFonts w:ascii="Times New Roman" w:hAnsi="Times New Roman"/>
          <w:color w:val="595959" w:themeColor="text1" w:themeTint="A6"/>
          <w:lang w:eastAsia="lt-LT"/>
        </w:rPr>
        <w:t xml:space="preserve"> bei įsitraukimą į tarptautines vertės grandines.</w:t>
      </w:r>
    </w:p>
    <w:p w:rsidR="009D5333" w:rsidRDefault="009D5333" w:rsidP="006810A9">
      <w:pPr>
        <w:pStyle w:val="tekstas"/>
        <w:numPr>
          <w:ilvl w:val="0"/>
          <w:numId w:val="36"/>
        </w:numPr>
        <w:tabs>
          <w:tab w:val="left" w:pos="426"/>
          <w:tab w:val="left" w:pos="993"/>
        </w:tabs>
        <w:ind w:left="0" w:firstLine="0"/>
        <w:rPr>
          <w:rFonts w:ascii="Times New Roman" w:hAnsi="Times New Roman"/>
          <w:color w:val="595959" w:themeColor="text1" w:themeTint="A6"/>
          <w:lang w:eastAsia="lt-LT"/>
        </w:rPr>
      </w:pPr>
      <w:r w:rsidRPr="00F67703">
        <w:rPr>
          <w:rFonts w:ascii="Times New Roman" w:hAnsi="Times New Roman"/>
          <w:color w:val="595959" w:themeColor="text1" w:themeTint="A6"/>
          <w:lang w:eastAsia="lt-LT"/>
        </w:rPr>
        <w:t>Neišnaudojamas potencialas eksporto rinkoje. Svarbu šalinti pagrindinius eksporto konkurencingumą ribojančius veiksnius.</w:t>
      </w:r>
    </w:p>
    <w:p w:rsidR="00151342" w:rsidRDefault="009D5333" w:rsidP="009D5333">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Trečio </w:t>
      </w:r>
      <w:r w:rsidR="00151342">
        <w:rPr>
          <w:rFonts w:ascii="Times New Roman" w:hAnsi="Times New Roman"/>
          <w:color w:val="595959" w:themeColor="text1" w:themeTint="A6"/>
          <w:lang w:eastAsia="lt-LT"/>
        </w:rPr>
        <w:t>prioriteto i</w:t>
      </w:r>
      <w:r w:rsidR="00151342" w:rsidRPr="00151342">
        <w:rPr>
          <w:rFonts w:ascii="Times New Roman" w:hAnsi="Times New Roman"/>
          <w:color w:val="595959" w:themeColor="text1" w:themeTint="A6"/>
          <w:lang w:eastAsia="lt-LT"/>
        </w:rPr>
        <w:t xml:space="preserve">nvesticijos </w:t>
      </w:r>
      <w:r w:rsidR="00151342">
        <w:rPr>
          <w:rFonts w:ascii="Times New Roman" w:hAnsi="Times New Roman"/>
          <w:color w:val="595959" w:themeColor="text1" w:themeTint="A6"/>
          <w:lang w:eastAsia="lt-LT"/>
        </w:rPr>
        <w:t xml:space="preserve">nukreiptos </w:t>
      </w:r>
      <w:r w:rsidR="00151342" w:rsidRPr="00151342">
        <w:rPr>
          <w:rFonts w:ascii="Times New Roman" w:hAnsi="Times New Roman"/>
          <w:color w:val="595959" w:themeColor="text1" w:themeTint="A6"/>
          <w:lang w:eastAsia="lt-LT"/>
        </w:rPr>
        <w:t>į smulk</w:t>
      </w:r>
      <w:r w:rsidR="003912F3">
        <w:rPr>
          <w:rFonts w:ascii="Times New Roman" w:hAnsi="Times New Roman"/>
          <w:color w:val="595959" w:themeColor="text1" w:themeTint="A6"/>
          <w:lang w:eastAsia="lt-LT"/>
        </w:rPr>
        <w:t xml:space="preserve">iojo </w:t>
      </w:r>
      <w:r w:rsidR="00151342" w:rsidRPr="00151342">
        <w:rPr>
          <w:rFonts w:ascii="Times New Roman" w:hAnsi="Times New Roman"/>
          <w:color w:val="595959" w:themeColor="text1" w:themeTint="A6"/>
          <w:lang w:eastAsia="lt-LT"/>
        </w:rPr>
        <w:t>ir vidutin</w:t>
      </w:r>
      <w:r w:rsidR="003912F3">
        <w:rPr>
          <w:rFonts w:ascii="Times New Roman" w:hAnsi="Times New Roman"/>
          <w:color w:val="595959" w:themeColor="text1" w:themeTint="A6"/>
          <w:lang w:eastAsia="lt-LT"/>
        </w:rPr>
        <w:t>io</w:t>
      </w:r>
      <w:r w:rsidR="00151342" w:rsidRPr="00151342">
        <w:rPr>
          <w:rFonts w:ascii="Times New Roman" w:hAnsi="Times New Roman"/>
          <w:color w:val="595959" w:themeColor="text1" w:themeTint="A6"/>
          <w:lang w:eastAsia="lt-LT"/>
        </w:rPr>
        <w:t xml:space="preserve"> versl</w:t>
      </w:r>
      <w:r w:rsidR="003912F3">
        <w:rPr>
          <w:rFonts w:ascii="Times New Roman" w:hAnsi="Times New Roman"/>
          <w:color w:val="595959" w:themeColor="text1" w:themeTint="A6"/>
          <w:lang w:eastAsia="lt-LT"/>
        </w:rPr>
        <w:t>o konkurencingumo skatinimą</w:t>
      </w:r>
      <w:r w:rsidR="00151342" w:rsidRPr="00151342">
        <w:rPr>
          <w:rFonts w:ascii="Times New Roman" w:hAnsi="Times New Roman"/>
          <w:color w:val="595959" w:themeColor="text1" w:themeTint="A6"/>
          <w:lang w:eastAsia="lt-LT"/>
        </w:rPr>
        <w:t xml:space="preserve">: verslumo </w:t>
      </w:r>
      <w:r w:rsidR="003912F3">
        <w:rPr>
          <w:rFonts w:ascii="Times New Roman" w:hAnsi="Times New Roman"/>
          <w:color w:val="595959" w:themeColor="text1" w:themeTint="A6"/>
          <w:lang w:eastAsia="lt-LT"/>
        </w:rPr>
        <w:t>augimą</w:t>
      </w:r>
      <w:r w:rsidR="00151342" w:rsidRPr="00151342">
        <w:rPr>
          <w:rFonts w:ascii="Times New Roman" w:hAnsi="Times New Roman"/>
          <w:color w:val="595959" w:themeColor="text1" w:themeTint="A6"/>
          <w:lang w:eastAsia="lt-LT"/>
        </w:rPr>
        <w:t>, naujų MVĮ verslo modelių įgyvendinim</w:t>
      </w:r>
      <w:r w:rsidR="003912F3">
        <w:rPr>
          <w:rFonts w:ascii="Times New Roman" w:hAnsi="Times New Roman"/>
          <w:color w:val="595959" w:themeColor="text1" w:themeTint="A6"/>
          <w:lang w:eastAsia="lt-LT"/>
        </w:rPr>
        <w:t>ą,</w:t>
      </w:r>
      <w:r w:rsidR="00151342" w:rsidRPr="00151342">
        <w:rPr>
          <w:rFonts w:ascii="Times New Roman" w:hAnsi="Times New Roman"/>
          <w:color w:val="595959" w:themeColor="text1" w:themeTint="A6"/>
          <w:lang w:eastAsia="lt-LT"/>
        </w:rPr>
        <w:t xml:space="preserve"> MVĮ gebėjimų augti nacionalinėse, regioninėse ir tarptautinėse rinkose ir inova</w:t>
      </w:r>
      <w:r w:rsidR="00B71BE8">
        <w:rPr>
          <w:rFonts w:ascii="Times New Roman" w:hAnsi="Times New Roman"/>
          <w:color w:val="595959" w:themeColor="text1" w:themeTint="A6"/>
          <w:lang w:eastAsia="lt-LT"/>
        </w:rPr>
        <w:t>cijų diegimo procesuose rėmim</w:t>
      </w:r>
      <w:r w:rsidR="003912F3">
        <w:rPr>
          <w:rFonts w:ascii="Times New Roman" w:hAnsi="Times New Roman"/>
          <w:color w:val="595959" w:themeColor="text1" w:themeTint="A6"/>
          <w:lang w:eastAsia="lt-LT"/>
        </w:rPr>
        <w:t>ą</w:t>
      </w:r>
      <w:r w:rsidR="003D6D63">
        <w:rPr>
          <w:rFonts w:ascii="Times New Roman" w:hAnsi="Times New Roman"/>
          <w:color w:val="595959" w:themeColor="text1" w:themeTint="A6"/>
          <w:lang w:eastAsia="lt-LT"/>
        </w:rPr>
        <w:t xml:space="preserve"> – </w:t>
      </w:r>
      <w:proofErr w:type="spellStart"/>
      <w:r w:rsidR="003D6D63">
        <w:rPr>
          <w:rFonts w:ascii="Times New Roman" w:hAnsi="Times New Roman"/>
          <w:color w:val="595959" w:themeColor="text1" w:themeTint="A6"/>
          <w:lang w:eastAsia="lt-LT"/>
        </w:rPr>
        <w:t>produktyvo</w:t>
      </w:r>
      <w:proofErr w:type="spellEnd"/>
      <w:r w:rsidR="003D6D63">
        <w:rPr>
          <w:rFonts w:ascii="Times New Roman" w:hAnsi="Times New Roman"/>
          <w:color w:val="595959" w:themeColor="text1" w:themeTint="A6"/>
          <w:lang w:eastAsia="lt-LT"/>
        </w:rPr>
        <w:t xml:space="preserve">, </w:t>
      </w:r>
      <w:proofErr w:type="spellStart"/>
      <w:r w:rsidR="003D6D63">
        <w:rPr>
          <w:rFonts w:ascii="Times New Roman" w:hAnsi="Times New Roman"/>
          <w:color w:val="595959" w:themeColor="text1" w:themeTint="A6"/>
          <w:lang w:eastAsia="lt-LT"/>
        </w:rPr>
        <w:t>tarptautiškumo</w:t>
      </w:r>
      <w:proofErr w:type="spellEnd"/>
      <w:r w:rsidR="003D6D63">
        <w:rPr>
          <w:rFonts w:ascii="Times New Roman" w:hAnsi="Times New Roman"/>
          <w:color w:val="595959" w:themeColor="text1" w:themeTint="A6"/>
          <w:lang w:eastAsia="lt-LT"/>
        </w:rPr>
        <w:t xml:space="preserve"> ir </w:t>
      </w:r>
      <w:proofErr w:type="spellStart"/>
      <w:r w:rsidR="003D6D63">
        <w:rPr>
          <w:rFonts w:ascii="Times New Roman" w:hAnsi="Times New Roman"/>
          <w:color w:val="595959" w:themeColor="text1" w:themeTint="A6"/>
          <w:lang w:eastAsia="lt-LT"/>
        </w:rPr>
        <w:t>ekoinovacijų</w:t>
      </w:r>
      <w:proofErr w:type="spellEnd"/>
      <w:r w:rsidR="003D6D63">
        <w:rPr>
          <w:rFonts w:ascii="Times New Roman" w:hAnsi="Times New Roman"/>
          <w:color w:val="595959" w:themeColor="text1" w:themeTint="A6"/>
          <w:lang w:eastAsia="lt-LT"/>
        </w:rPr>
        <w:t xml:space="preserve"> skatinim</w:t>
      </w:r>
      <w:r w:rsidR="003912F3">
        <w:rPr>
          <w:rFonts w:ascii="Times New Roman" w:hAnsi="Times New Roman"/>
          <w:color w:val="595959" w:themeColor="text1" w:themeTint="A6"/>
          <w:lang w:eastAsia="lt-LT"/>
        </w:rPr>
        <w:t>ą</w:t>
      </w:r>
      <w:r w:rsidR="003D6D63">
        <w:rPr>
          <w:rFonts w:ascii="Times New Roman" w:hAnsi="Times New Roman"/>
          <w:color w:val="595959" w:themeColor="text1" w:themeTint="A6"/>
          <w:lang w:eastAsia="lt-LT"/>
        </w:rPr>
        <w:t>.</w:t>
      </w:r>
    </w:p>
    <w:p w:rsidR="00151342" w:rsidRPr="00151342" w:rsidRDefault="00151342" w:rsidP="00115F21">
      <w:pPr>
        <w:pStyle w:val="tekstas"/>
        <w:rPr>
          <w:rFonts w:ascii="Times New Roman" w:hAnsi="Times New Roman"/>
          <w:color w:val="595959" w:themeColor="text1" w:themeTint="A6"/>
          <w:lang w:eastAsia="lt-LT"/>
        </w:rPr>
      </w:pPr>
      <w:r w:rsidRPr="00151342">
        <w:rPr>
          <w:rFonts w:ascii="Times New Roman" w:hAnsi="Times New Roman"/>
          <w:color w:val="595959" w:themeColor="text1" w:themeTint="A6"/>
          <w:lang w:eastAsia="lt-LT"/>
        </w:rPr>
        <w:t>Mažiausios investicijos yra priemonėse „Pramonės skaitmeniniams LT“ (</w:t>
      </w:r>
      <w:r w:rsidR="000D45F3" w:rsidRPr="00151342">
        <w:rPr>
          <w:rFonts w:ascii="Times New Roman" w:hAnsi="Times New Roman"/>
          <w:color w:val="595959" w:themeColor="text1" w:themeTint="A6"/>
          <w:lang w:eastAsia="lt-LT"/>
        </w:rPr>
        <w:t>2</w:t>
      </w:r>
      <w:r w:rsidR="000D45F3">
        <w:rPr>
          <w:rFonts w:ascii="Times New Roman" w:hAnsi="Times New Roman"/>
          <w:color w:val="595959" w:themeColor="text1" w:themeTint="A6"/>
          <w:lang w:eastAsia="lt-LT"/>
        </w:rPr>
        <w:t>3,5</w:t>
      </w:r>
      <w:r w:rsidR="000D45F3" w:rsidRPr="00151342">
        <w:rPr>
          <w:rFonts w:ascii="Times New Roman" w:hAnsi="Times New Roman"/>
          <w:color w:val="595959" w:themeColor="text1" w:themeTint="A6"/>
          <w:lang w:eastAsia="lt-LT"/>
        </w:rPr>
        <w:t xml:space="preserve"> </w:t>
      </w:r>
      <w:r w:rsidRPr="00151342">
        <w:rPr>
          <w:rFonts w:ascii="Times New Roman" w:hAnsi="Times New Roman"/>
          <w:color w:val="595959" w:themeColor="text1" w:themeTint="A6"/>
          <w:lang w:eastAsia="lt-LT"/>
        </w:rPr>
        <w:t>proc.) bei „</w:t>
      </w:r>
      <w:proofErr w:type="spellStart"/>
      <w:r w:rsidRPr="00151342">
        <w:rPr>
          <w:rFonts w:ascii="Times New Roman" w:hAnsi="Times New Roman"/>
          <w:color w:val="595959" w:themeColor="text1" w:themeTint="A6"/>
          <w:lang w:eastAsia="lt-LT"/>
        </w:rPr>
        <w:t>Eco</w:t>
      </w:r>
      <w:proofErr w:type="spellEnd"/>
      <w:r w:rsidRPr="00151342">
        <w:rPr>
          <w:rFonts w:ascii="Times New Roman" w:hAnsi="Times New Roman"/>
          <w:color w:val="595959" w:themeColor="text1" w:themeTint="A6"/>
          <w:lang w:eastAsia="lt-LT"/>
        </w:rPr>
        <w:t xml:space="preserve"> inovacijos LT+” (</w:t>
      </w:r>
      <w:r w:rsidR="000D45F3" w:rsidRPr="00151342">
        <w:rPr>
          <w:rFonts w:ascii="Times New Roman" w:hAnsi="Times New Roman"/>
          <w:color w:val="595959" w:themeColor="text1" w:themeTint="A6"/>
          <w:lang w:eastAsia="lt-LT"/>
        </w:rPr>
        <w:t>2</w:t>
      </w:r>
      <w:r w:rsidR="000D45F3">
        <w:rPr>
          <w:rFonts w:ascii="Times New Roman" w:hAnsi="Times New Roman"/>
          <w:color w:val="595959" w:themeColor="text1" w:themeTint="A6"/>
          <w:lang w:eastAsia="lt-LT"/>
        </w:rPr>
        <w:t>6</w:t>
      </w:r>
      <w:r w:rsidR="000D45F3" w:rsidRPr="00151342">
        <w:rPr>
          <w:rFonts w:ascii="Times New Roman" w:hAnsi="Times New Roman"/>
          <w:color w:val="595959" w:themeColor="text1" w:themeTint="A6"/>
          <w:lang w:eastAsia="lt-LT"/>
        </w:rPr>
        <w:t xml:space="preserve"> </w:t>
      </w:r>
      <w:r w:rsidRPr="00151342">
        <w:rPr>
          <w:rFonts w:ascii="Times New Roman" w:hAnsi="Times New Roman"/>
          <w:color w:val="595959" w:themeColor="text1" w:themeTint="A6"/>
          <w:lang w:eastAsia="lt-LT"/>
        </w:rPr>
        <w:t xml:space="preserve">proc.). </w:t>
      </w:r>
      <w:r w:rsidR="00CF75A9">
        <w:rPr>
          <w:rFonts w:ascii="Times New Roman" w:hAnsi="Times New Roman"/>
          <w:color w:val="595959" w:themeColor="text1" w:themeTint="A6"/>
          <w:lang w:eastAsia="lt-LT"/>
        </w:rPr>
        <w:t xml:space="preserve">Taip yra todėl, </w:t>
      </w:r>
      <w:r w:rsidR="00B715F7">
        <w:rPr>
          <w:rFonts w:ascii="Times New Roman" w:hAnsi="Times New Roman"/>
          <w:color w:val="595959" w:themeColor="text1" w:themeTint="A6"/>
          <w:lang w:eastAsia="lt-LT"/>
        </w:rPr>
        <w:t>kad</w:t>
      </w:r>
      <w:r w:rsidR="00CF75A9">
        <w:rPr>
          <w:rFonts w:ascii="Times New Roman" w:hAnsi="Times New Roman"/>
          <w:color w:val="595959" w:themeColor="text1" w:themeTint="A6"/>
          <w:lang w:eastAsia="lt-LT"/>
        </w:rPr>
        <w:t xml:space="preserve"> p</w:t>
      </w:r>
      <w:r w:rsidRPr="00151342">
        <w:rPr>
          <w:rFonts w:ascii="Times New Roman" w:hAnsi="Times New Roman"/>
          <w:color w:val="595959" w:themeColor="text1" w:themeTint="A6"/>
          <w:lang w:eastAsia="lt-LT"/>
        </w:rPr>
        <w:t>riemonės „</w:t>
      </w:r>
      <w:proofErr w:type="spellStart"/>
      <w:r w:rsidRPr="00151342">
        <w:rPr>
          <w:rFonts w:ascii="Times New Roman" w:hAnsi="Times New Roman"/>
          <w:color w:val="595959" w:themeColor="text1" w:themeTint="A6"/>
          <w:lang w:eastAsia="lt-LT"/>
        </w:rPr>
        <w:t>Eco</w:t>
      </w:r>
      <w:proofErr w:type="spellEnd"/>
      <w:r w:rsidRPr="00151342">
        <w:rPr>
          <w:rFonts w:ascii="Times New Roman" w:hAnsi="Times New Roman"/>
          <w:color w:val="595959" w:themeColor="text1" w:themeTint="A6"/>
          <w:lang w:eastAsia="lt-LT"/>
        </w:rPr>
        <w:t xml:space="preserve"> inovacijos LT+” daugiau nei 60 proc. sutarčių sudaryta 2019 m. </w:t>
      </w:r>
      <w:r w:rsidR="00B71BE8">
        <w:rPr>
          <w:rFonts w:ascii="Times New Roman" w:hAnsi="Times New Roman"/>
          <w:color w:val="595959" w:themeColor="text1" w:themeTint="A6"/>
          <w:lang w:eastAsia="lt-LT"/>
        </w:rPr>
        <w:t xml:space="preserve">II pusmetį bei 2020 m. IV </w:t>
      </w:r>
      <w:proofErr w:type="spellStart"/>
      <w:r w:rsidR="00B71BE8">
        <w:rPr>
          <w:rFonts w:ascii="Times New Roman" w:hAnsi="Times New Roman"/>
          <w:color w:val="595959" w:themeColor="text1" w:themeTint="A6"/>
          <w:lang w:eastAsia="lt-LT"/>
        </w:rPr>
        <w:t>ketv</w:t>
      </w:r>
      <w:proofErr w:type="spellEnd"/>
      <w:r w:rsidR="00B71BE8">
        <w:rPr>
          <w:rFonts w:ascii="Times New Roman" w:hAnsi="Times New Roman"/>
          <w:color w:val="595959" w:themeColor="text1" w:themeTint="A6"/>
          <w:lang w:eastAsia="lt-LT"/>
        </w:rPr>
        <w:t xml:space="preserve">., o </w:t>
      </w:r>
      <w:r w:rsidRPr="00151342">
        <w:rPr>
          <w:rFonts w:ascii="Times New Roman" w:hAnsi="Times New Roman"/>
          <w:color w:val="595959" w:themeColor="text1" w:themeTint="A6"/>
          <w:lang w:eastAsia="lt-LT"/>
        </w:rPr>
        <w:t xml:space="preserve">daugiau nei pusė priemonės „Pramonės skaitmeniniams LT“ sutarčių sudaryta tik 2020 m. IV </w:t>
      </w:r>
      <w:proofErr w:type="spellStart"/>
      <w:r w:rsidRPr="00151342">
        <w:rPr>
          <w:rFonts w:ascii="Times New Roman" w:hAnsi="Times New Roman"/>
          <w:color w:val="595959" w:themeColor="text1" w:themeTint="A6"/>
          <w:lang w:eastAsia="lt-LT"/>
        </w:rPr>
        <w:t>ketv</w:t>
      </w:r>
      <w:proofErr w:type="spellEnd"/>
      <w:r w:rsidRPr="00151342">
        <w:rPr>
          <w:rFonts w:ascii="Times New Roman" w:hAnsi="Times New Roman"/>
          <w:color w:val="595959" w:themeColor="text1" w:themeTint="A6"/>
          <w:lang w:eastAsia="lt-LT"/>
        </w:rPr>
        <w:t xml:space="preserve">. </w:t>
      </w:r>
      <w:r w:rsidR="00CF75A9">
        <w:rPr>
          <w:rFonts w:ascii="Times New Roman" w:hAnsi="Times New Roman"/>
          <w:color w:val="595959" w:themeColor="text1" w:themeTint="A6"/>
          <w:lang w:eastAsia="lt-LT"/>
        </w:rPr>
        <w:t>Taip pat l</w:t>
      </w:r>
      <w:r w:rsidR="00CF75A9" w:rsidRPr="00151342">
        <w:rPr>
          <w:rFonts w:ascii="Times New Roman" w:hAnsi="Times New Roman"/>
          <w:color w:val="595959" w:themeColor="text1" w:themeTint="A6"/>
          <w:lang w:eastAsia="lt-LT"/>
        </w:rPr>
        <w:t xml:space="preserve">ėtesnius </w:t>
      </w:r>
      <w:r w:rsidRPr="00151342">
        <w:rPr>
          <w:rFonts w:ascii="Times New Roman" w:hAnsi="Times New Roman"/>
          <w:color w:val="595959" w:themeColor="text1" w:themeTint="A6"/>
          <w:lang w:eastAsia="lt-LT"/>
        </w:rPr>
        <w:t>išmokėjimus priemonėse sąlygoja projektų specifika – projektai yra infrastruktūriniai, išlaidos patiriamos antraisiais projekto įgyvendinimo metais, kadangi prieš tai vykdomi pirkimai, gaminama specifinė projekto vykdytojų poreikiams pritaikyta gamybinė įranga</w:t>
      </w:r>
      <w:r w:rsidR="00B71BE8">
        <w:rPr>
          <w:rFonts w:ascii="Times New Roman" w:hAnsi="Times New Roman"/>
          <w:color w:val="595959" w:themeColor="text1" w:themeTint="A6"/>
          <w:lang w:eastAsia="lt-LT"/>
        </w:rPr>
        <w:t>. Taip pat įtakos turėjo</w:t>
      </w:r>
      <w:r w:rsidRPr="00151342">
        <w:rPr>
          <w:rFonts w:ascii="Times New Roman" w:hAnsi="Times New Roman"/>
          <w:color w:val="595959" w:themeColor="text1" w:themeTint="A6"/>
          <w:lang w:eastAsia="lt-LT"/>
        </w:rPr>
        <w:t xml:space="preserve"> su </w:t>
      </w:r>
      <w:proofErr w:type="spellStart"/>
      <w:r w:rsidRPr="00151342">
        <w:rPr>
          <w:rFonts w:ascii="Times New Roman" w:hAnsi="Times New Roman"/>
          <w:color w:val="595959" w:themeColor="text1" w:themeTint="A6"/>
          <w:lang w:eastAsia="lt-LT"/>
        </w:rPr>
        <w:t>Covid-19</w:t>
      </w:r>
      <w:proofErr w:type="spellEnd"/>
      <w:r w:rsidRPr="00151342">
        <w:rPr>
          <w:rFonts w:ascii="Times New Roman" w:hAnsi="Times New Roman"/>
          <w:color w:val="595959" w:themeColor="text1" w:themeTint="A6"/>
          <w:lang w:eastAsia="lt-LT"/>
        </w:rPr>
        <w:t xml:space="preserve"> situacija susijusios aplinkybės, problem</w:t>
      </w:r>
      <w:r w:rsidR="00B71BE8">
        <w:rPr>
          <w:rFonts w:ascii="Times New Roman" w:hAnsi="Times New Roman"/>
          <w:color w:val="595959" w:themeColor="text1" w:themeTint="A6"/>
          <w:lang w:eastAsia="lt-LT"/>
        </w:rPr>
        <w:t>ini</w:t>
      </w:r>
      <w:r w:rsidRPr="00151342">
        <w:rPr>
          <w:rFonts w:ascii="Times New Roman" w:hAnsi="Times New Roman"/>
          <w:color w:val="595959" w:themeColor="text1" w:themeTint="A6"/>
          <w:lang w:eastAsia="lt-LT"/>
        </w:rPr>
        <w:t>s įrangos transportavimas ir diegimas Lietuvoje, kai įranga įsigyjama iš užsienio šalių gamintojų.</w:t>
      </w:r>
      <w:r w:rsidR="00440C4E">
        <w:rPr>
          <w:rFonts w:ascii="Times New Roman" w:hAnsi="Times New Roman"/>
          <w:color w:val="595959" w:themeColor="text1" w:themeTint="A6"/>
          <w:lang w:eastAsia="lt-LT"/>
        </w:rPr>
        <w:t xml:space="preserve"> </w:t>
      </w:r>
      <w:r w:rsidR="00440C4E" w:rsidRPr="00F65D1E">
        <w:rPr>
          <w:rFonts w:ascii="Times New Roman" w:hAnsi="Times New Roman"/>
          <w:color w:val="595959" w:themeColor="text1" w:themeTint="A6"/>
          <w:lang w:eastAsia="lt-LT"/>
        </w:rPr>
        <w:t>Ekonomikos ir inovacijų minister</w:t>
      </w:r>
      <w:r w:rsidR="00440C4E">
        <w:rPr>
          <w:rFonts w:ascii="Times New Roman" w:hAnsi="Times New Roman"/>
          <w:color w:val="595959" w:themeColor="text1" w:themeTint="A6"/>
          <w:lang w:eastAsia="lt-LT"/>
        </w:rPr>
        <w:t>ij</w:t>
      </w:r>
      <w:r w:rsidR="00440C4E" w:rsidRPr="001347DE">
        <w:rPr>
          <w:rFonts w:ascii="Times New Roman" w:hAnsi="Times New Roman"/>
          <w:color w:val="595959" w:themeColor="text1" w:themeTint="A6"/>
          <w:lang w:eastAsia="lt-LT"/>
        </w:rPr>
        <w:t>a kartu su LVPA</w:t>
      </w:r>
      <w:r w:rsidR="00FC28A8">
        <w:rPr>
          <w:rFonts w:ascii="Times New Roman" w:hAnsi="Times New Roman"/>
          <w:color w:val="595959" w:themeColor="text1" w:themeTint="A6"/>
          <w:lang w:eastAsia="lt-LT"/>
        </w:rPr>
        <w:t>, valdydamos rizikas,</w:t>
      </w:r>
      <w:r w:rsidR="00440C4E" w:rsidRPr="001347DE">
        <w:rPr>
          <w:rFonts w:ascii="Times New Roman" w:hAnsi="Times New Roman"/>
          <w:color w:val="595959" w:themeColor="text1" w:themeTint="A6"/>
          <w:lang w:eastAsia="lt-LT"/>
        </w:rPr>
        <w:t xml:space="preserve"> nuolat organizuoja susitikimus su </w:t>
      </w:r>
      <w:r w:rsidR="00ED1281">
        <w:rPr>
          <w:rFonts w:ascii="Times New Roman" w:hAnsi="Times New Roman"/>
          <w:color w:val="595959" w:themeColor="text1" w:themeTint="A6"/>
          <w:lang w:eastAsia="lt-LT"/>
        </w:rPr>
        <w:t xml:space="preserve">probleminių </w:t>
      </w:r>
      <w:r w:rsidR="00440C4E" w:rsidRPr="001347DE">
        <w:rPr>
          <w:rFonts w:ascii="Times New Roman" w:hAnsi="Times New Roman"/>
          <w:color w:val="595959" w:themeColor="text1" w:themeTint="A6"/>
          <w:lang w:eastAsia="lt-LT"/>
        </w:rPr>
        <w:t>projektų</w:t>
      </w:r>
      <w:r w:rsidR="00ED1281">
        <w:rPr>
          <w:rFonts w:ascii="Times New Roman" w:hAnsi="Times New Roman"/>
          <w:color w:val="595959" w:themeColor="text1" w:themeTint="A6"/>
          <w:lang w:eastAsia="lt-LT"/>
        </w:rPr>
        <w:t xml:space="preserve"> </w:t>
      </w:r>
      <w:r w:rsidR="00440C4E" w:rsidRPr="001347DE">
        <w:rPr>
          <w:rFonts w:ascii="Times New Roman" w:hAnsi="Times New Roman"/>
          <w:color w:val="595959" w:themeColor="text1" w:themeTint="A6"/>
          <w:lang w:eastAsia="lt-LT"/>
        </w:rPr>
        <w:t>vykdytojais</w:t>
      </w:r>
      <w:r w:rsidR="00FC28A8">
        <w:rPr>
          <w:rFonts w:ascii="Times New Roman" w:hAnsi="Times New Roman"/>
          <w:color w:val="595959" w:themeColor="text1" w:themeTint="A6"/>
          <w:lang w:eastAsia="lt-LT"/>
        </w:rPr>
        <w:t>, kurių metu aptaria</w:t>
      </w:r>
      <w:r w:rsidR="001347DE">
        <w:rPr>
          <w:rFonts w:ascii="Times New Roman" w:hAnsi="Times New Roman"/>
          <w:color w:val="595959" w:themeColor="text1" w:themeTint="A6"/>
          <w:lang w:eastAsia="lt-LT"/>
        </w:rPr>
        <w:t xml:space="preserve"> </w:t>
      </w:r>
      <w:r w:rsidR="00440C4E" w:rsidRPr="001347DE">
        <w:rPr>
          <w:rFonts w:ascii="Times New Roman" w:hAnsi="Times New Roman"/>
          <w:color w:val="595959" w:themeColor="text1" w:themeTint="A6"/>
          <w:lang w:eastAsia="lt-LT"/>
        </w:rPr>
        <w:t>galimyb</w:t>
      </w:r>
      <w:r w:rsidR="00FC28A8">
        <w:rPr>
          <w:rFonts w:ascii="Times New Roman" w:hAnsi="Times New Roman"/>
          <w:color w:val="595959" w:themeColor="text1" w:themeTint="A6"/>
          <w:lang w:eastAsia="lt-LT"/>
        </w:rPr>
        <w:t xml:space="preserve">es, kaip būtų galima </w:t>
      </w:r>
      <w:r w:rsidR="00440C4E" w:rsidRPr="001347DE">
        <w:rPr>
          <w:rFonts w:ascii="Times New Roman" w:hAnsi="Times New Roman"/>
          <w:color w:val="595959" w:themeColor="text1" w:themeTint="A6"/>
          <w:lang w:eastAsia="lt-LT"/>
        </w:rPr>
        <w:t>spartinti investicijas</w:t>
      </w:r>
      <w:r w:rsidR="001347DE" w:rsidRPr="001347DE">
        <w:rPr>
          <w:rFonts w:ascii="Times New Roman" w:hAnsi="Times New Roman"/>
          <w:color w:val="595959" w:themeColor="text1" w:themeTint="A6"/>
          <w:lang w:eastAsia="lt-LT"/>
        </w:rPr>
        <w:t>.</w:t>
      </w:r>
    </w:p>
    <w:p w:rsidR="006810A9" w:rsidRDefault="006810A9" w:rsidP="006810A9">
      <w:pPr>
        <w:ind w:firstLine="426"/>
        <w:jc w:val="both"/>
        <w:rPr>
          <w:color w:val="595959" w:themeColor="text1" w:themeTint="A6"/>
          <w:lang w:eastAsia="lt-LT"/>
        </w:rPr>
      </w:pPr>
      <w:r>
        <w:rPr>
          <w:color w:val="595959" w:themeColor="text1" w:themeTint="A6"/>
          <w:szCs w:val="24"/>
          <w:lang w:eastAsia="lt-LT"/>
        </w:rPr>
        <w:t>Ekonomikos ir inovacijų ministerijai įgyvendinant 3 prioriteto veiklas</w:t>
      </w:r>
      <w:r w:rsidRPr="00D76B38">
        <w:rPr>
          <w:color w:val="595959" w:themeColor="text1" w:themeTint="A6"/>
          <w:szCs w:val="24"/>
          <w:lang w:eastAsia="lt-LT"/>
        </w:rPr>
        <w:t xml:space="preserve"> </w:t>
      </w:r>
      <w:r>
        <w:rPr>
          <w:color w:val="595959" w:themeColor="text1" w:themeTint="A6"/>
          <w:lang w:eastAsia="lt-LT"/>
        </w:rPr>
        <w:t>iki 2020 m. pabaigos</w:t>
      </w:r>
      <w:r>
        <w:rPr>
          <w:color w:val="595959" w:themeColor="text1" w:themeTint="A6"/>
          <w:lang w:val="en-US" w:eastAsia="lt-LT"/>
        </w:rPr>
        <w:t xml:space="preserve"> </w:t>
      </w:r>
      <w:r>
        <w:rPr>
          <w:color w:val="595959" w:themeColor="text1" w:themeTint="A6"/>
          <w:lang w:eastAsia="lt-LT"/>
        </w:rPr>
        <w:t>daugiau nei</w:t>
      </w:r>
      <w:r>
        <w:rPr>
          <w:color w:val="595959" w:themeColor="text1" w:themeTint="A6"/>
          <w:lang w:val="en-US" w:eastAsia="lt-LT"/>
        </w:rPr>
        <w:t xml:space="preserve"> 5 </w:t>
      </w:r>
      <w:r w:rsidRPr="006810A9">
        <w:rPr>
          <w:color w:val="595959" w:themeColor="text1" w:themeTint="A6"/>
          <w:lang w:eastAsia="lt-LT"/>
        </w:rPr>
        <w:t>tūkstančiai</w:t>
      </w:r>
      <w:r>
        <w:rPr>
          <w:color w:val="595959" w:themeColor="text1" w:themeTint="A6"/>
          <w:lang w:val="en-US" w:eastAsia="lt-LT"/>
        </w:rPr>
        <w:t xml:space="preserve"> </w:t>
      </w:r>
      <w:r>
        <w:rPr>
          <w:color w:val="595959" w:themeColor="text1" w:themeTint="A6"/>
          <w:lang w:eastAsia="lt-LT"/>
        </w:rPr>
        <w:t>įmonių</w:t>
      </w:r>
      <w:r>
        <w:rPr>
          <w:color w:val="595959" w:themeColor="text1" w:themeTint="A6"/>
          <w:lang w:val="en-US" w:eastAsia="lt-LT"/>
        </w:rPr>
        <w:t xml:space="preserve"> </w:t>
      </w:r>
      <w:r w:rsidRPr="006810A9">
        <w:rPr>
          <w:color w:val="595959" w:themeColor="text1" w:themeTint="A6"/>
          <w:lang w:eastAsia="lt-LT"/>
        </w:rPr>
        <w:t>gavo</w:t>
      </w:r>
      <w:r>
        <w:rPr>
          <w:color w:val="595959" w:themeColor="text1" w:themeTint="A6"/>
          <w:lang w:val="en-US" w:eastAsia="lt-LT"/>
        </w:rPr>
        <w:t xml:space="preserve"> </w:t>
      </w:r>
      <w:r w:rsidRPr="006810A9">
        <w:rPr>
          <w:color w:val="595959" w:themeColor="text1" w:themeTint="A6"/>
          <w:lang w:eastAsia="lt-LT"/>
        </w:rPr>
        <w:t>subsidijas</w:t>
      </w:r>
      <w:r>
        <w:rPr>
          <w:color w:val="595959" w:themeColor="text1" w:themeTint="A6"/>
          <w:lang w:val="en-US" w:eastAsia="lt-LT"/>
        </w:rPr>
        <w:t xml:space="preserve"> </w:t>
      </w:r>
      <w:r>
        <w:rPr>
          <w:color w:val="595959" w:themeColor="text1" w:themeTint="A6"/>
          <w:lang w:eastAsia="lt-LT"/>
        </w:rPr>
        <w:t>(planuota 2 250 įmonių), o 1 841 įmonės – paremtos kaip naujos įmonės (planuota paremti 1 500 įmonių).</w:t>
      </w:r>
    </w:p>
    <w:p w:rsidR="00151342" w:rsidRDefault="00151342" w:rsidP="001D73A7">
      <w:pPr>
        <w:pStyle w:val="tekstas"/>
        <w:ind w:firstLine="0"/>
        <w:rPr>
          <w:rFonts w:ascii="Times New Roman" w:hAnsi="Times New Roman"/>
          <w:color w:val="595959" w:themeColor="text1" w:themeTint="A6"/>
          <w:lang w:eastAsia="lt-LT"/>
        </w:rPr>
      </w:pPr>
    </w:p>
    <w:p w:rsidR="00DD3394" w:rsidRPr="00BF1D4C" w:rsidRDefault="000305AE" w:rsidP="006B1184">
      <w:pPr>
        <w:keepNext/>
        <w:keepLines/>
        <w:jc w:val="both"/>
        <w:outlineLvl w:val="1"/>
        <w:rPr>
          <w:rFonts w:eastAsiaTheme="majorEastAsia"/>
          <w:b/>
          <w:bCs/>
          <w:color w:val="595959" w:themeColor="text1" w:themeTint="A6"/>
          <w:szCs w:val="24"/>
          <w:lang w:eastAsia="lt-LT"/>
        </w:rPr>
      </w:pPr>
      <w:bookmarkStart w:id="17" w:name="_Toc69114252"/>
      <w:r w:rsidRPr="00BF1D4C">
        <w:rPr>
          <w:rFonts w:eastAsiaTheme="majorEastAsia"/>
          <w:b/>
          <w:bCs/>
          <w:color w:val="595959" w:themeColor="text1" w:themeTint="A6"/>
          <w:szCs w:val="24"/>
          <w:lang w:eastAsia="lt-LT"/>
        </w:rPr>
        <w:t>4 prioritetas. Energijos efektyvumo ir atsinaujinančių išteklių energijos gamybos ir naudojimo skatinimas</w:t>
      </w:r>
      <w:bookmarkEnd w:id="16"/>
      <w:bookmarkEnd w:id="17"/>
    </w:p>
    <w:p w:rsidR="00C92FA0" w:rsidRDefault="00C92FA0" w:rsidP="00AC3A0A">
      <w:pPr>
        <w:jc w:val="both"/>
        <w:rPr>
          <w:color w:val="595959" w:themeColor="text1" w:themeTint="A6"/>
          <w:szCs w:val="24"/>
          <w:lang w:eastAsia="lt-LT"/>
        </w:rPr>
      </w:pPr>
      <w:bookmarkStart w:id="18" w:name="_Toc10104956"/>
    </w:p>
    <w:p w:rsidR="005F5E07" w:rsidRDefault="00690C00" w:rsidP="00AC3A0A">
      <w:pPr>
        <w:jc w:val="both"/>
        <w:rPr>
          <w:color w:val="595959" w:themeColor="text1" w:themeTint="A6"/>
          <w:szCs w:val="24"/>
          <w:lang w:eastAsia="lt-LT"/>
        </w:rPr>
      </w:pPr>
      <w:r>
        <w:rPr>
          <w:noProof/>
          <w:lang w:eastAsia="lt-LT"/>
        </w:rPr>
        <w:drawing>
          <wp:inline distT="0" distB="0" distL="0" distR="0" wp14:anchorId="2A8E56BF" wp14:editId="31A299DB">
            <wp:extent cx="6120130" cy="795806"/>
            <wp:effectExtent l="0" t="0" r="13970" b="23495"/>
            <wp:docPr id="393" name="Diagrama 39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F5E07" w:rsidRDefault="005F5E07" w:rsidP="00AC3A0A">
      <w:pPr>
        <w:jc w:val="both"/>
        <w:rPr>
          <w:color w:val="595959" w:themeColor="text1" w:themeTint="A6"/>
          <w:szCs w:val="24"/>
          <w:lang w:eastAsia="lt-LT"/>
        </w:rPr>
      </w:pPr>
    </w:p>
    <w:p w:rsidR="005F5E07" w:rsidRDefault="005F5E07" w:rsidP="00907BD5">
      <w:pPr>
        <w:ind w:firstLine="426"/>
        <w:jc w:val="both"/>
        <w:rPr>
          <w:color w:val="595959" w:themeColor="text1" w:themeTint="A6"/>
          <w:szCs w:val="24"/>
          <w:lang w:eastAsia="lt-LT"/>
        </w:rPr>
      </w:pPr>
      <w:r>
        <w:rPr>
          <w:color w:val="595959" w:themeColor="text1" w:themeTint="A6"/>
          <w:szCs w:val="24"/>
          <w:lang w:eastAsia="lt-LT"/>
        </w:rPr>
        <w:lastRenderedPageBreak/>
        <w:t xml:space="preserve">Aplinkos </w:t>
      </w:r>
      <w:r w:rsidRPr="00D43A9F">
        <w:rPr>
          <w:color w:val="595959" w:themeColor="text1" w:themeTint="A6"/>
          <w:lang w:eastAsia="lt-LT"/>
        </w:rPr>
        <w:t xml:space="preserve">ministerija sudarė sutartis visoms </w:t>
      </w:r>
      <w:r>
        <w:rPr>
          <w:color w:val="595959" w:themeColor="text1" w:themeTint="A6"/>
          <w:lang w:eastAsia="lt-LT"/>
        </w:rPr>
        <w:t>4</w:t>
      </w:r>
      <w:r w:rsidRPr="00D43A9F">
        <w:rPr>
          <w:color w:val="595959" w:themeColor="text1" w:themeTint="A6"/>
          <w:lang w:eastAsia="lt-LT"/>
        </w:rPr>
        <w:t xml:space="preserve"> prioriteto a</w:t>
      </w:r>
      <w:r>
        <w:rPr>
          <w:color w:val="595959" w:themeColor="text1" w:themeTint="A6"/>
          <w:lang w:eastAsia="lt-LT"/>
        </w:rPr>
        <w:t>dministruojamų priemonių lėšoms. Lėšų investavimas yra pakankama</w:t>
      </w:r>
      <w:r w:rsidR="00E04078">
        <w:rPr>
          <w:color w:val="595959" w:themeColor="text1" w:themeTint="A6"/>
          <w:lang w:eastAsia="lt-LT"/>
        </w:rPr>
        <w:t>i</w:t>
      </w:r>
      <w:r>
        <w:rPr>
          <w:color w:val="595959" w:themeColor="text1" w:themeTint="A6"/>
          <w:lang w:eastAsia="lt-LT"/>
        </w:rPr>
        <w:t xml:space="preserve"> spartus ir viršija Veiksmų programos vidurkį.</w:t>
      </w:r>
    </w:p>
    <w:p w:rsidR="00B71BE8" w:rsidRPr="00B71BE8" w:rsidRDefault="00B71BE8" w:rsidP="00B71BE8">
      <w:pPr>
        <w:ind w:firstLine="426"/>
        <w:jc w:val="both"/>
        <w:rPr>
          <w:color w:val="595959" w:themeColor="text1" w:themeTint="A6"/>
          <w:lang w:eastAsia="lt-LT"/>
        </w:rPr>
      </w:pPr>
      <w:r w:rsidRPr="00B71BE8">
        <w:rPr>
          <w:color w:val="595959" w:themeColor="text1" w:themeTint="A6"/>
          <w:lang w:eastAsia="lt-LT"/>
        </w:rPr>
        <w:t xml:space="preserve">Europos investicijų bankas (EIB), kaip </w:t>
      </w:r>
      <w:proofErr w:type="spellStart"/>
      <w:r w:rsidRPr="00B71BE8">
        <w:rPr>
          <w:color w:val="595959" w:themeColor="text1" w:themeTint="A6"/>
          <w:lang w:eastAsia="lt-LT"/>
        </w:rPr>
        <w:t>Jessica</w:t>
      </w:r>
      <w:proofErr w:type="spellEnd"/>
      <w:r w:rsidRPr="00B71BE8">
        <w:rPr>
          <w:color w:val="595959" w:themeColor="text1" w:themeTint="A6"/>
          <w:lang w:eastAsia="lt-LT"/>
        </w:rPr>
        <w:t xml:space="preserve"> II </w:t>
      </w:r>
      <w:proofErr w:type="spellStart"/>
      <w:r w:rsidRPr="00B71BE8">
        <w:rPr>
          <w:color w:val="595959" w:themeColor="text1" w:themeTint="A6"/>
          <w:lang w:eastAsia="lt-LT"/>
        </w:rPr>
        <w:t>FoF</w:t>
      </w:r>
      <w:proofErr w:type="spellEnd"/>
      <w:r w:rsidRPr="00B71BE8">
        <w:rPr>
          <w:color w:val="595959" w:themeColor="text1" w:themeTint="A6"/>
          <w:lang w:eastAsia="lt-LT"/>
        </w:rPr>
        <w:t xml:space="preserve"> valdytojas, su AB Šiaulių banku 2020 m. gruodžio 29 d. pasirašė dvišalę sutartį, kurios pagrindu 50 mln. eur</w:t>
      </w:r>
      <w:r>
        <w:rPr>
          <w:color w:val="595959" w:themeColor="text1" w:themeTint="A6"/>
          <w:lang w:eastAsia="lt-LT"/>
        </w:rPr>
        <w:t>ų</w:t>
      </w:r>
      <w:r w:rsidRPr="00B71BE8">
        <w:rPr>
          <w:color w:val="595959" w:themeColor="text1" w:themeTint="A6"/>
          <w:lang w:eastAsia="lt-LT"/>
        </w:rPr>
        <w:t xml:space="preserve"> </w:t>
      </w:r>
      <w:r>
        <w:rPr>
          <w:color w:val="595959" w:themeColor="text1" w:themeTint="A6"/>
          <w:lang w:eastAsia="lt-LT"/>
        </w:rPr>
        <w:t>ERPF</w:t>
      </w:r>
      <w:r w:rsidRPr="00B71BE8">
        <w:rPr>
          <w:color w:val="595959" w:themeColor="text1" w:themeTint="A6"/>
          <w:lang w:eastAsia="lt-LT"/>
        </w:rPr>
        <w:t xml:space="preserve"> lėšų investuojama į naujai kuriamą Investavimo platformą (IP). Preliminari IP vertė – 250 mln. </w:t>
      </w:r>
      <w:r>
        <w:rPr>
          <w:color w:val="595959" w:themeColor="text1" w:themeTint="A6"/>
          <w:lang w:eastAsia="lt-LT"/>
        </w:rPr>
        <w:t>eurų</w:t>
      </w:r>
      <w:r w:rsidRPr="00B71BE8">
        <w:rPr>
          <w:color w:val="595959" w:themeColor="text1" w:themeTint="A6"/>
          <w:lang w:eastAsia="lt-LT"/>
        </w:rPr>
        <w:t xml:space="preserve"> (ES fondų lėšos kartu su privačių investuotojų lėšomis), kuri prisidės prie ne mažiau nei 22 000 daugiabučių namų ūkių atnaujinimo (modernizavimo) visoje šalyje. </w:t>
      </w:r>
    </w:p>
    <w:p w:rsidR="00B71BE8" w:rsidRPr="00E04078" w:rsidRDefault="00B71BE8" w:rsidP="000B2E6D">
      <w:pPr>
        <w:ind w:firstLine="426"/>
        <w:jc w:val="both"/>
        <w:rPr>
          <w:strike/>
          <w:color w:val="595959" w:themeColor="text1" w:themeTint="A6"/>
          <w:lang w:eastAsia="lt-LT"/>
        </w:rPr>
      </w:pPr>
      <w:r w:rsidRPr="00B71BE8">
        <w:rPr>
          <w:color w:val="595959" w:themeColor="text1" w:themeTint="A6"/>
          <w:lang w:eastAsia="lt-LT"/>
        </w:rPr>
        <w:t>Nepaisant Aplinkos ministerijos nuolat inicijuojamų teisės aktų pakeitimų, kuriais siekiama spartinti įvairias projektų pasiruošimo stadijas, susiduriama su kitais trukdžiais (nepakankamas projektuotojų susidomėjimas, daugiabučių namų administratorių mažas interesas, nepakankama jų kompetencija ir pajėgumai, rangovų pajėgumai ir tiekėjų skaičius nepakankamas, darbo jėgos trūkumas, rangovų bankrotai ir pan.), kurie lėtina daugiabučių namų modernizavimo projektų įgyvendinimo pradžią nepaisant šiuo metu rinkoje esančio pakankamo finansavimo. Siekiant užtikrinti ES fondų lėšų investavimą bei privačių investuotojų lėšų pritraukimą į IP, kuri pradės veikti 2021 m. pirmoje pusėje, būtina suformuoti tvarius daugiabučių namų modernizavimo projektų srautus, kurie turėtų galimybę pretenduoti į IP lengvatinių paskolų portfelį ateityje.</w:t>
      </w:r>
    </w:p>
    <w:p w:rsidR="001E0D87" w:rsidRDefault="005065CD" w:rsidP="005065CD">
      <w:pPr>
        <w:ind w:firstLine="426"/>
        <w:jc w:val="both"/>
        <w:rPr>
          <w:color w:val="595959" w:themeColor="text1" w:themeTint="A6"/>
          <w:lang w:eastAsia="lt-LT"/>
        </w:rPr>
      </w:pPr>
      <w:r w:rsidRPr="005065CD">
        <w:rPr>
          <w:color w:val="595959" w:themeColor="text1" w:themeTint="A6"/>
          <w:lang w:eastAsia="lt-LT"/>
        </w:rPr>
        <w:t>2020 m. balandžio 1 d. pasibaigęs, trečiasis kvietimas teikti paraiškas Nuotekų surinkimo tinklų plėtrai patrauklesnėmis finansavimo sąlygomis (kai pareiškėjas investuoja kitos savivaldybės teritorijoje, projektai finansuojami grąžinamąja subsidija (nuo 70 procentų iki 90 procentų), o likusi dalis finansuojama iš Vandentvarkos fondo lėšų) susilaukė pareiškėjų susidomėjimo. Gauta 16 paraiškų iš vandentvarkos įmonių už 37 m</w:t>
      </w:r>
      <w:r>
        <w:rPr>
          <w:color w:val="595959" w:themeColor="text1" w:themeTint="A6"/>
          <w:lang w:eastAsia="lt-LT"/>
        </w:rPr>
        <w:t>ln</w:t>
      </w:r>
      <w:r w:rsidRPr="005065CD">
        <w:rPr>
          <w:color w:val="595959" w:themeColor="text1" w:themeTint="A6"/>
          <w:lang w:eastAsia="lt-LT"/>
        </w:rPr>
        <w:t xml:space="preserve">. </w:t>
      </w:r>
      <w:r>
        <w:rPr>
          <w:color w:val="595959" w:themeColor="text1" w:themeTint="A6"/>
          <w:lang w:eastAsia="lt-LT"/>
        </w:rPr>
        <w:t>eurų</w:t>
      </w:r>
      <w:r w:rsidRPr="005065CD">
        <w:rPr>
          <w:color w:val="595959" w:themeColor="text1" w:themeTint="A6"/>
          <w:lang w:eastAsia="lt-LT"/>
        </w:rPr>
        <w:t xml:space="preserve"> (ši</w:t>
      </w:r>
      <w:r>
        <w:rPr>
          <w:color w:val="595959" w:themeColor="text1" w:themeTint="A6"/>
          <w:lang w:eastAsia="lt-LT"/>
        </w:rPr>
        <w:t>uo metu nustatytas apie 6 mln. eurų</w:t>
      </w:r>
      <w:r w:rsidRPr="005065CD">
        <w:rPr>
          <w:color w:val="595959" w:themeColor="text1" w:themeTint="A6"/>
          <w:lang w:eastAsia="lt-LT"/>
        </w:rPr>
        <w:t xml:space="preserve"> lėšų trūkumas)</w:t>
      </w:r>
      <w:r>
        <w:rPr>
          <w:color w:val="595959" w:themeColor="text1" w:themeTint="A6"/>
          <w:lang w:eastAsia="lt-LT"/>
        </w:rPr>
        <w:t>.</w:t>
      </w: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B71BE8" w:rsidRPr="0040787A" w:rsidTr="00574E3F">
        <w:tc>
          <w:tcPr>
            <w:tcW w:w="9638" w:type="dxa"/>
            <w:tcBorders>
              <w:top w:val="nil"/>
              <w:left w:val="nil"/>
              <w:bottom w:val="nil"/>
              <w:right w:val="nil"/>
            </w:tcBorders>
            <w:shd w:val="clear" w:color="auto" w:fill="D9D9D9" w:themeFill="background1" w:themeFillShade="D9"/>
          </w:tcPr>
          <w:p w:rsidR="00B71BE8" w:rsidRPr="0040787A" w:rsidRDefault="00B71BE8" w:rsidP="00574E3F">
            <w:pPr>
              <w:jc w:val="both"/>
              <w:rPr>
                <w:b/>
                <w:color w:val="365F91" w:themeColor="accent1" w:themeShade="BF"/>
              </w:rPr>
            </w:pPr>
            <w:r>
              <w:rPr>
                <w:b/>
                <w:color w:val="365F91" w:themeColor="accent1" w:themeShade="BF"/>
              </w:rPr>
              <w:t>Siūlymas Aplinkos</w:t>
            </w:r>
            <w:r>
              <w:t xml:space="preserve"> </w:t>
            </w:r>
            <w:r w:rsidRPr="0040787A">
              <w:rPr>
                <w:b/>
                <w:color w:val="365F91" w:themeColor="accent1" w:themeShade="BF"/>
              </w:rPr>
              <w:t>ministerijai:</w:t>
            </w:r>
          </w:p>
          <w:p w:rsidR="00B71BE8" w:rsidRPr="00835C89" w:rsidRDefault="00B71BE8" w:rsidP="00574E3F">
            <w:pPr>
              <w:jc w:val="both"/>
              <w:rPr>
                <w:color w:val="365F91" w:themeColor="accent1" w:themeShade="BF"/>
              </w:rPr>
            </w:pPr>
            <w:r w:rsidRPr="0040787A">
              <w:rPr>
                <w:color w:val="365F91" w:themeColor="accent1" w:themeShade="BF"/>
              </w:rPr>
              <w:t>-</w:t>
            </w:r>
            <w:r>
              <w:t xml:space="preserve"> </w:t>
            </w:r>
            <w:r>
              <w:rPr>
                <w:color w:val="365F91" w:themeColor="accent1" w:themeShade="BF"/>
              </w:rPr>
              <w:t>užtikrinti pakankamą</w:t>
            </w:r>
            <w:r w:rsidRPr="0056375D">
              <w:rPr>
                <w:color w:val="365F91" w:themeColor="accent1" w:themeShade="BF"/>
              </w:rPr>
              <w:t xml:space="preserve"> daugiabučių na</w:t>
            </w:r>
            <w:r>
              <w:rPr>
                <w:color w:val="365F91" w:themeColor="accent1" w:themeShade="BF"/>
              </w:rPr>
              <w:t xml:space="preserve">mų modernizavimo projektų srautą ir jų </w:t>
            </w:r>
            <w:proofErr w:type="spellStart"/>
            <w:r>
              <w:rPr>
                <w:color w:val="365F91" w:themeColor="accent1" w:themeShade="BF"/>
              </w:rPr>
              <w:t>parengtumą</w:t>
            </w:r>
            <w:proofErr w:type="spellEnd"/>
            <w:r>
              <w:rPr>
                <w:color w:val="365F91" w:themeColor="accent1" w:themeShade="BF"/>
              </w:rPr>
              <w:t xml:space="preserve">, </w:t>
            </w:r>
            <w:r w:rsidRPr="0056375D">
              <w:rPr>
                <w:color w:val="365F91" w:themeColor="accent1" w:themeShade="BF"/>
              </w:rPr>
              <w:t xml:space="preserve">kurie būtų </w:t>
            </w:r>
            <w:r>
              <w:rPr>
                <w:color w:val="365F91" w:themeColor="accent1" w:themeShade="BF"/>
              </w:rPr>
              <w:t>įgyvendinami</w:t>
            </w:r>
            <w:r w:rsidRPr="0056375D">
              <w:rPr>
                <w:color w:val="365F91" w:themeColor="accent1" w:themeShade="BF"/>
              </w:rPr>
              <w:t xml:space="preserve"> pagal šiuo metu veikiančią garantinę Rizikos pasidalijimo fondo finansinę priemonę</w:t>
            </w:r>
            <w:r>
              <w:rPr>
                <w:color w:val="365F91" w:themeColor="accent1" w:themeShade="BF"/>
              </w:rPr>
              <w:t xml:space="preserve"> bei IP.</w:t>
            </w:r>
          </w:p>
        </w:tc>
      </w:tr>
    </w:tbl>
    <w:p w:rsidR="00B71BE8" w:rsidRPr="00B71BE8" w:rsidRDefault="00B71BE8" w:rsidP="00AC3A0A">
      <w:pPr>
        <w:jc w:val="both"/>
        <w:rPr>
          <w:color w:val="595959" w:themeColor="text1" w:themeTint="A6"/>
          <w:lang w:eastAsia="lt-LT"/>
        </w:rPr>
      </w:pPr>
    </w:p>
    <w:p w:rsidR="00C92FA0" w:rsidRDefault="00E04078" w:rsidP="00AC3A0A">
      <w:pPr>
        <w:jc w:val="both"/>
        <w:rPr>
          <w:color w:val="595959" w:themeColor="text1" w:themeTint="A6"/>
          <w:szCs w:val="24"/>
          <w:lang w:eastAsia="lt-LT"/>
        </w:rPr>
      </w:pPr>
      <w:r>
        <w:rPr>
          <w:noProof/>
          <w:lang w:eastAsia="lt-LT"/>
        </w:rPr>
        <w:drawing>
          <wp:inline distT="0" distB="0" distL="0" distR="0" wp14:anchorId="45F53070" wp14:editId="6A501645">
            <wp:extent cx="6120130" cy="975810"/>
            <wp:effectExtent l="0" t="0" r="13970" b="15240"/>
            <wp:docPr id="394" name="Diagrama 39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864A0" w:rsidRDefault="005864A0" w:rsidP="003F625C">
      <w:pPr>
        <w:jc w:val="both"/>
        <w:rPr>
          <w:color w:val="595959" w:themeColor="text1" w:themeTint="A6"/>
          <w:szCs w:val="24"/>
          <w:lang w:eastAsia="lt-LT"/>
        </w:rPr>
      </w:pPr>
    </w:p>
    <w:p w:rsidR="005864A0" w:rsidRPr="005864A0" w:rsidRDefault="005864A0" w:rsidP="00907BD5">
      <w:pPr>
        <w:ind w:firstLine="426"/>
        <w:jc w:val="both"/>
        <w:rPr>
          <w:color w:val="595959" w:themeColor="text1" w:themeTint="A6"/>
          <w:szCs w:val="24"/>
          <w:lang w:eastAsia="lt-LT"/>
        </w:rPr>
      </w:pPr>
      <w:r w:rsidRPr="005864A0">
        <w:rPr>
          <w:color w:val="595959" w:themeColor="text1" w:themeTint="A6"/>
          <w:szCs w:val="24"/>
          <w:lang w:eastAsia="lt-LT"/>
        </w:rPr>
        <w:t xml:space="preserve">Energetikos ministerijos 4 prioriteto </w:t>
      </w:r>
      <w:r w:rsidR="00210C2E">
        <w:rPr>
          <w:color w:val="595959" w:themeColor="text1" w:themeTint="A6"/>
          <w:szCs w:val="24"/>
          <w:lang w:eastAsia="lt-LT"/>
        </w:rPr>
        <w:t xml:space="preserve">administruojamose priemonėse sutarčių sudarymo sparta yra pakankama. </w:t>
      </w:r>
      <w:r w:rsidR="0034618A">
        <w:rPr>
          <w:color w:val="595959" w:themeColor="text1" w:themeTint="A6"/>
          <w:szCs w:val="24"/>
          <w:lang w:eastAsia="lt-LT"/>
        </w:rPr>
        <w:t xml:space="preserve">Taip pat šiame prioritete ministerijai yra numatyta </w:t>
      </w:r>
      <w:r w:rsidR="005F5E07">
        <w:rPr>
          <w:color w:val="595959" w:themeColor="text1" w:themeTint="A6"/>
          <w:szCs w:val="24"/>
          <w:lang w:eastAsia="lt-LT"/>
        </w:rPr>
        <w:t>70</w:t>
      </w:r>
      <w:r w:rsidR="0034618A">
        <w:rPr>
          <w:color w:val="595959" w:themeColor="text1" w:themeTint="A6"/>
          <w:szCs w:val="24"/>
          <w:lang w:eastAsia="lt-LT"/>
        </w:rPr>
        <w:t xml:space="preserve"> mln. eurų ERPF ir </w:t>
      </w:r>
      <w:r w:rsidR="005F5E07">
        <w:rPr>
          <w:color w:val="595959" w:themeColor="text1" w:themeTint="A6"/>
          <w:szCs w:val="24"/>
          <w:lang w:eastAsia="lt-LT"/>
        </w:rPr>
        <w:t>37,8</w:t>
      </w:r>
      <w:r w:rsidR="0034618A">
        <w:rPr>
          <w:color w:val="595959" w:themeColor="text1" w:themeTint="A6"/>
          <w:szCs w:val="24"/>
          <w:lang w:eastAsia="lt-LT"/>
        </w:rPr>
        <w:t xml:space="preserve"> mln. eurų </w:t>
      </w:r>
      <w:proofErr w:type="spellStart"/>
      <w:r w:rsidR="0034618A">
        <w:rPr>
          <w:color w:val="595959" w:themeColor="text1" w:themeTint="A6"/>
          <w:szCs w:val="24"/>
          <w:lang w:eastAsia="lt-LT"/>
        </w:rPr>
        <w:t>SaF</w:t>
      </w:r>
      <w:proofErr w:type="spellEnd"/>
      <w:r w:rsidR="0034618A">
        <w:rPr>
          <w:color w:val="595959" w:themeColor="text1" w:themeTint="A6"/>
          <w:szCs w:val="24"/>
          <w:lang w:eastAsia="lt-LT"/>
        </w:rPr>
        <w:t xml:space="preserve"> lėšų </w:t>
      </w:r>
      <w:proofErr w:type="spellStart"/>
      <w:r w:rsidR="0034618A">
        <w:rPr>
          <w:color w:val="595959" w:themeColor="text1" w:themeTint="A6"/>
          <w:szCs w:val="24"/>
          <w:lang w:eastAsia="lt-LT"/>
        </w:rPr>
        <w:t>virškontraktavimo</w:t>
      </w:r>
      <w:proofErr w:type="spellEnd"/>
      <w:r w:rsidR="0034618A">
        <w:rPr>
          <w:color w:val="595959" w:themeColor="text1" w:themeTint="A6"/>
          <w:szCs w:val="24"/>
          <w:lang w:eastAsia="lt-LT"/>
        </w:rPr>
        <w:t xml:space="preserve"> galimybė. </w:t>
      </w:r>
      <w:r w:rsidR="00210C2E">
        <w:rPr>
          <w:color w:val="595959" w:themeColor="text1" w:themeTint="A6"/>
          <w:szCs w:val="24"/>
          <w:lang w:eastAsia="lt-LT"/>
        </w:rPr>
        <w:t xml:space="preserve">Investicijos </w:t>
      </w:r>
      <w:proofErr w:type="spellStart"/>
      <w:r w:rsidR="00210C2E" w:rsidRPr="005864A0">
        <w:rPr>
          <w:color w:val="595959" w:themeColor="text1" w:themeTint="A6"/>
          <w:szCs w:val="24"/>
          <w:lang w:eastAsia="lt-LT"/>
        </w:rPr>
        <w:t>SaF</w:t>
      </w:r>
      <w:proofErr w:type="spellEnd"/>
      <w:r w:rsidR="00210C2E">
        <w:rPr>
          <w:color w:val="595959" w:themeColor="text1" w:themeTint="A6"/>
          <w:szCs w:val="24"/>
          <w:lang w:eastAsia="lt-LT"/>
        </w:rPr>
        <w:t xml:space="preserve"> lėšomis finansuojamose priemonėse atitinka Veiksmų programos vidurkį, tačiau </w:t>
      </w:r>
      <w:r w:rsidRPr="005864A0">
        <w:rPr>
          <w:color w:val="595959" w:themeColor="text1" w:themeTint="A6"/>
          <w:szCs w:val="24"/>
          <w:lang w:eastAsia="lt-LT"/>
        </w:rPr>
        <w:t>ERPF lėšomis finansuojamose p</w:t>
      </w:r>
      <w:r w:rsidR="00E04078">
        <w:rPr>
          <w:color w:val="595959" w:themeColor="text1" w:themeTint="A6"/>
          <w:szCs w:val="24"/>
          <w:lang w:eastAsia="lt-LT"/>
        </w:rPr>
        <w:t>riemonėse investavimo sparta (30</w:t>
      </w:r>
      <w:r w:rsidRPr="005864A0">
        <w:rPr>
          <w:color w:val="595959" w:themeColor="text1" w:themeTint="A6"/>
          <w:szCs w:val="24"/>
          <w:lang w:eastAsia="lt-LT"/>
        </w:rPr>
        <w:t xml:space="preserve"> proc.) </w:t>
      </w:r>
      <w:r w:rsidR="00210C2E">
        <w:rPr>
          <w:color w:val="595959" w:themeColor="text1" w:themeTint="A6"/>
          <w:szCs w:val="24"/>
          <w:lang w:eastAsia="lt-LT"/>
        </w:rPr>
        <w:t xml:space="preserve">žymiai </w:t>
      </w:r>
      <w:r w:rsidRPr="005864A0">
        <w:rPr>
          <w:color w:val="595959" w:themeColor="text1" w:themeTint="A6"/>
          <w:szCs w:val="24"/>
          <w:lang w:eastAsia="lt-LT"/>
        </w:rPr>
        <w:t>atsilieka.</w:t>
      </w:r>
    </w:p>
    <w:p w:rsidR="003F625C" w:rsidRDefault="003F625C" w:rsidP="00907BD5">
      <w:pPr>
        <w:ind w:firstLine="426"/>
        <w:jc w:val="both"/>
        <w:rPr>
          <w:color w:val="595959" w:themeColor="text1" w:themeTint="A6"/>
          <w:szCs w:val="24"/>
          <w:lang w:eastAsia="lt-LT"/>
        </w:rPr>
      </w:pPr>
      <w:r w:rsidRPr="003F625C">
        <w:rPr>
          <w:color w:val="595959" w:themeColor="text1" w:themeTint="A6"/>
          <w:szCs w:val="24"/>
          <w:lang w:eastAsia="lt-LT"/>
        </w:rPr>
        <w:t xml:space="preserve">Energetikos ministerija </w:t>
      </w:r>
      <w:proofErr w:type="spellStart"/>
      <w:r w:rsidRPr="003F625C">
        <w:rPr>
          <w:color w:val="595959" w:themeColor="text1" w:themeTint="A6"/>
          <w:szCs w:val="24"/>
          <w:lang w:eastAsia="lt-LT"/>
        </w:rPr>
        <w:t>SaF</w:t>
      </w:r>
      <w:proofErr w:type="spellEnd"/>
      <w:r w:rsidRPr="003F625C">
        <w:rPr>
          <w:color w:val="595959" w:themeColor="text1" w:themeTint="A6"/>
          <w:szCs w:val="24"/>
          <w:lang w:eastAsia="lt-LT"/>
        </w:rPr>
        <w:t xml:space="preserve"> lėšomis finansuoja atsinaujinančių išteklių energijos naudojimo skatinimą (didelio efektyvumo </w:t>
      </w:r>
      <w:proofErr w:type="spellStart"/>
      <w:r w:rsidRPr="003F625C">
        <w:rPr>
          <w:color w:val="595959" w:themeColor="text1" w:themeTint="A6"/>
          <w:szCs w:val="24"/>
          <w:lang w:eastAsia="lt-LT"/>
        </w:rPr>
        <w:t>kogeneracijos</w:t>
      </w:r>
      <w:proofErr w:type="spellEnd"/>
      <w:r w:rsidRPr="003F625C">
        <w:rPr>
          <w:color w:val="595959" w:themeColor="text1" w:themeTint="A6"/>
          <w:szCs w:val="24"/>
          <w:lang w:eastAsia="lt-LT"/>
        </w:rPr>
        <w:t xml:space="preserve"> diegimą Vilniaus mieste, nedidelės galios biokuro </w:t>
      </w:r>
      <w:proofErr w:type="spellStart"/>
      <w:r w:rsidRPr="003F625C">
        <w:rPr>
          <w:color w:val="595959" w:themeColor="text1" w:themeTint="A6"/>
          <w:szCs w:val="24"/>
          <w:lang w:eastAsia="lt-LT"/>
        </w:rPr>
        <w:t>kogeneracijos</w:t>
      </w:r>
      <w:proofErr w:type="spellEnd"/>
      <w:r w:rsidRPr="003F625C">
        <w:rPr>
          <w:color w:val="595959" w:themeColor="text1" w:themeTint="A6"/>
          <w:szCs w:val="24"/>
          <w:lang w:eastAsia="lt-LT"/>
        </w:rPr>
        <w:t xml:space="preserve"> diegimą, iškastinį kurą naudojančių katilinių modernizavimą, gaminančių vartotojų skatinimą) ir energijos vartojimo efektyvumo šilumos tiekimo srityje ir namų ūkiuose didinimą (neprijungtų prie centralizuotų šilumos tinklų namų ūkių neefektyvių katilų keitimą į efektyvius, šilumos tiekimo tinklų modernizavimą ir plėtrą).</w:t>
      </w:r>
    </w:p>
    <w:p w:rsidR="00DB0F3B" w:rsidRDefault="00355ECB" w:rsidP="00355ECB">
      <w:pPr>
        <w:ind w:firstLine="426"/>
        <w:jc w:val="both"/>
        <w:rPr>
          <w:color w:val="595959" w:themeColor="text1" w:themeTint="A6"/>
          <w:szCs w:val="24"/>
          <w:lang w:eastAsia="lt-LT"/>
        </w:rPr>
      </w:pPr>
      <w:r>
        <w:rPr>
          <w:color w:val="595959" w:themeColor="text1" w:themeTint="A6"/>
          <w:szCs w:val="24"/>
          <w:lang w:eastAsia="lt-LT"/>
        </w:rPr>
        <w:t>V</w:t>
      </w:r>
      <w:r w:rsidRPr="00BB3944">
        <w:rPr>
          <w:color w:val="595959" w:themeColor="text1" w:themeTint="A6"/>
          <w:szCs w:val="24"/>
          <w:lang w:eastAsia="lt-LT"/>
        </w:rPr>
        <w:t>ienu didžiausių Ene</w:t>
      </w:r>
      <w:r>
        <w:rPr>
          <w:color w:val="595959" w:themeColor="text1" w:themeTint="A6"/>
          <w:szCs w:val="24"/>
          <w:lang w:eastAsia="lt-LT"/>
        </w:rPr>
        <w:t xml:space="preserve">rgetikos ministerijos pasiekimų galima laikyti </w:t>
      </w:r>
      <w:r w:rsidRPr="00BB3944">
        <w:rPr>
          <w:color w:val="595959" w:themeColor="text1" w:themeTint="A6"/>
          <w:szCs w:val="24"/>
          <w:lang w:eastAsia="lt-LT"/>
        </w:rPr>
        <w:t xml:space="preserve">didžiulio gyventojų susidomėjimo </w:t>
      </w:r>
      <w:r>
        <w:rPr>
          <w:color w:val="595959" w:themeColor="text1" w:themeTint="A6"/>
          <w:szCs w:val="24"/>
          <w:lang w:eastAsia="lt-LT"/>
        </w:rPr>
        <w:t xml:space="preserve">sulaukusių katilų keitimo ir </w:t>
      </w:r>
      <w:r w:rsidRPr="00BB3944">
        <w:rPr>
          <w:color w:val="595959" w:themeColor="text1" w:themeTint="A6"/>
          <w:szCs w:val="24"/>
          <w:lang w:eastAsia="lt-LT"/>
        </w:rPr>
        <w:t xml:space="preserve">gaminančių vartotojų skatinimo priemonių </w:t>
      </w:r>
      <w:r>
        <w:rPr>
          <w:color w:val="595959" w:themeColor="text1" w:themeTint="A6"/>
          <w:szCs w:val="24"/>
          <w:lang w:eastAsia="lt-LT"/>
        </w:rPr>
        <w:t>(76,5</w:t>
      </w:r>
      <w:r w:rsidRPr="00BB3944">
        <w:rPr>
          <w:color w:val="595959" w:themeColor="text1" w:themeTint="A6"/>
          <w:szCs w:val="24"/>
          <w:lang w:eastAsia="lt-LT"/>
        </w:rPr>
        <w:t xml:space="preserve"> mln. eurų) </w:t>
      </w:r>
      <w:r>
        <w:rPr>
          <w:color w:val="595959" w:themeColor="text1" w:themeTint="A6"/>
          <w:szCs w:val="24"/>
          <w:lang w:eastAsia="lt-LT"/>
        </w:rPr>
        <w:t xml:space="preserve">sėkmingą įgyvendinimą. Nuo 2019 m. pradžioje paskelbto pirmojo gaminančių vartotojų skatinimo priemonės kvietimo </w:t>
      </w:r>
      <w:r w:rsidR="001D2A6B">
        <w:rPr>
          <w:color w:val="595959" w:themeColor="text1" w:themeTint="A6"/>
          <w:szCs w:val="24"/>
          <w:lang w:eastAsia="lt-LT"/>
        </w:rPr>
        <w:t xml:space="preserve">prijungtų </w:t>
      </w:r>
      <w:r>
        <w:rPr>
          <w:color w:val="595959" w:themeColor="text1" w:themeTint="A6"/>
          <w:szCs w:val="24"/>
          <w:lang w:eastAsia="lt-LT"/>
        </w:rPr>
        <w:t>gaminančių vartotojų skaičius išaugo daugiau nei 2,</w:t>
      </w:r>
      <w:r w:rsidR="001D2A6B">
        <w:rPr>
          <w:color w:val="595959" w:themeColor="text1" w:themeTint="A6"/>
          <w:szCs w:val="24"/>
          <w:lang w:eastAsia="lt-LT"/>
        </w:rPr>
        <w:t>7</w:t>
      </w:r>
      <w:r>
        <w:rPr>
          <w:color w:val="595959" w:themeColor="text1" w:themeTint="A6"/>
          <w:szCs w:val="24"/>
          <w:lang w:eastAsia="lt-LT"/>
        </w:rPr>
        <w:t xml:space="preserve"> karto ir šiuo metu siekia </w:t>
      </w:r>
      <w:r w:rsidR="001D2A6B">
        <w:rPr>
          <w:color w:val="595959" w:themeColor="text1" w:themeTint="A6"/>
          <w:szCs w:val="24"/>
          <w:lang w:eastAsia="lt-LT"/>
        </w:rPr>
        <w:t>9</w:t>
      </w:r>
      <w:r>
        <w:rPr>
          <w:color w:val="595959" w:themeColor="text1" w:themeTint="A6"/>
          <w:szCs w:val="24"/>
          <w:lang w:eastAsia="lt-LT"/>
        </w:rPr>
        <w:t>,</w:t>
      </w:r>
      <w:r w:rsidR="004556CA">
        <w:rPr>
          <w:color w:val="595959" w:themeColor="text1" w:themeTint="A6"/>
          <w:szCs w:val="24"/>
          <w:lang w:eastAsia="lt-LT"/>
        </w:rPr>
        <w:t>5</w:t>
      </w:r>
      <w:r>
        <w:rPr>
          <w:color w:val="595959" w:themeColor="text1" w:themeTint="A6"/>
          <w:szCs w:val="24"/>
          <w:lang w:eastAsia="lt-LT"/>
        </w:rPr>
        <w:t xml:space="preserve"> tūkst., kurių</w:t>
      </w:r>
      <w:r w:rsidRPr="004342A7">
        <w:rPr>
          <w:color w:val="595959" w:themeColor="text1" w:themeTint="A6"/>
          <w:szCs w:val="24"/>
          <w:lang w:eastAsia="lt-LT"/>
        </w:rPr>
        <w:t xml:space="preserve"> kaupiamoji galia</w:t>
      </w:r>
      <w:r>
        <w:rPr>
          <w:color w:val="595959" w:themeColor="text1" w:themeTint="A6"/>
          <w:szCs w:val="24"/>
          <w:lang w:eastAsia="lt-LT"/>
        </w:rPr>
        <w:t xml:space="preserve"> sudaro </w:t>
      </w:r>
      <w:r w:rsidR="004556CA">
        <w:rPr>
          <w:color w:val="595959" w:themeColor="text1" w:themeTint="A6"/>
          <w:szCs w:val="24"/>
          <w:lang w:eastAsia="lt-LT"/>
        </w:rPr>
        <w:t xml:space="preserve">daugiau nei </w:t>
      </w:r>
      <w:r>
        <w:rPr>
          <w:color w:val="595959" w:themeColor="text1" w:themeTint="A6"/>
          <w:szCs w:val="24"/>
          <w:lang w:eastAsia="lt-LT"/>
        </w:rPr>
        <w:t>8</w:t>
      </w:r>
      <w:r w:rsidR="001D2A6B">
        <w:rPr>
          <w:color w:val="595959" w:themeColor="text1" w:themeTint="A6"/>
          <w:szCs w:val="24"/>
          <w:lang w:eastAsia="lt-LT"/>
        </w:rPr>
        <w:t>8</w:t>
      </w:r>
      <w:r>
        <w:rPr>
          <w:color w:val="595959" w:themeColor="text1" w:themeTint="A6"/>
          <w:szCs w:val="24"/>
          <w:lang w:eastAsia="lt-LT"/>
        </w:rPr>
        <w:t xml:space="preserve"> MW. </w:t>
      </w:r>
      <w:r w:rsidRPr="003F625C">
        <w:rPr>
          <w:color w:val="595959" w:themeColor="text1" w:themeTint="A6"/>
          <w:szCs w:val="24"/>
          <w:lang w:eastAsia="lt-LT"/>
        </w:rPr>
        <w:t xml:space="preserve">Atsižvelgiant į didelį gyventojų susidomėjimą žaliąja energetika, Energetikos ministerija ir toliau </w:t>
      </w:r>
      <w:proofErr w:type="spellStart"/>
      <w:r w:rsidRPr="003F625C">
        <w:rPr>
          <w:color w:val="595959" w:themeColor="text1" w:themeTint="A6"/>
          <w:szCs w:val="24"/>
          <w:lang w:eastAsia="lt-LT"/>
        </w:rPr>
        <w:t>SaF</w:t>
      </w:r>
      <w:proofErr w:type="spellEnd"/>
      <w:r w:rsidRPr="003F625C">
        <w:rPr>
          <w:color w:val="595959" w:themeColor="text1" w:themeTint="A6"/>
          <w:szCs w:val="24"/>
          <w:lang w:eastAsia="lt-LT"/>
        </w:rPr>
        <w:t xml:space="preserve"> lėšomis skatins tvarų žaliosios energetikos namų ūkiuose modelį. Tuo tikslu, 2021 m. kovo</w:t>
      </w:r>
      <w:r w:rsidR="00C15715">
        <w:rPr>
          <w:color w:val="595959" w:themeColor="text1" w:themeTint="A6"/>
          <w:szCs w:val="24"/>
          <w:lang w:eastAsia="lt-LT"/>
        </w:rPr>
        <w:t xml:space="preserve"> 31 d.</w:t>
      </w:r>
      <w:r w:rsidRPr="003F625C">
        <w:rPr>
          <w:color w:val="595959" w:themeColor="text1" w:themeTint="A6"/>
          <w:szCs w:val="24"/>
          <w:lang w:eastAsia="lt-LT"/>
        </w:rPr>
        <w:t xml:space="preserve"> už </w:t>
      </w:r>
      <w:r w:rsidR="00C15715">
        <w:rPr>
          <w:color w:val="595959" w:themeColor="text1" w:themeTint="A6"/>
          <w:szCs w:val="24"/>
          <w:lang w:eastAsia="lt-LT"/>
        </w:rPr>
        <w:t xml:space="preserve">daugiau </w:t>
      </w:r>
      <w:r w:rsidR="00C15715">
        <w:rPr>
          <w:color w:val="595959" w:themeColor="text1" w:themeTint="A6"/>
          <w:szCs w:val="24"/>
          <w:lang w:eastAsia="lt-LT"/>
        </w:rPr>
        <w:lastRenderedPageBreak/>
        <w:t>nei 21</w:t>
      </w:r>
      <w:r w:rsidRPr="003F625C">
        <w:rPr>
          <w:color w:val="595959" w:themeColor="text1" w:themeTint="A6"/>
          <w:szCs w:val="24"/>
          <w:lang w:eastAsia="lt-LT"/>
        </w:rPr>
        <w:t xml:space="preserve"> mln. eurų paskelbti kvietim</w:t>
      </w:r>
      <w:r w:rsidR="00C15715">
        <w:rPr>
          <w:color w:val="595959" w:themeColor="text1" w:themeTint="A6"/>
          <w:szCs w:val="24"/>
          <w:lang w:eastAsia="lt-LT"/>
        </w:rPr>
        <w:t>ai</w:t>
      </w:r>
      <w:r w:rsidRPr="003F625C">
        <w:rPr>
          <w:color w:val="595959" w:themeColor="text1" w:themeTint="A6"/>
          <w:szCs w:val="24"/>
          <w:lang w:eastAsia="lt-LT"/>
        </w:rPr>
        <w:t xml:space="preserve"> gyventojams, norintiems įsirengti nedidelės galios (iki 10 kW) saulės elektrines </w:t>
      </w:r>
      <w:r w:rsidR="004556CA">
        <w:rPr>
          <w:color w:val="595959" w:themeColor="text1" w:themeTint="A6"/>
          <w:szCs w:val="24"/>
          <w:lang w:eastAsia="lt-LT"/>
        </w:rPr>
        <w:t xml:space="preserve">arba </w:t>
      </w:r>
      <w:r w:rsidR="004556CA" w:rsidRPr="004556CA">
        <w:rPr>
          <w:color w:val="595959" w:themeColor="text1" w:themeTint="A6"/>
          <w:szCs w:val="24"/>
          <w:lang w:eastAsia="lt-LT"/>
        </w:rPr>
        <w:t>jas įsigyti iš elektrinių parko</w:t>
      </w:r>
      <w:r w:rsidR="004556CA">
        <w:rPr>
          <w:color w:val="595959" w:themeColor="text1" w:themeTint="A6"/>
          <w:szCs w:val="24"/>
          <w:lang w:eastAsia="lt-LT"/>
        </w:rPr>
        <w:t xml:space="preserve">, taip pat </w:t>
      </w:r>
      <w:r w:rsidRPr="003F625C">
        <w:rPr>
          <w:color w:val="595959" w:themeColor="text1" w:themeTint="A6"/>
          <w:szCs w:val="24"/>
          <w:lang w:eastAsia="lt-LT"/>
        </w:rPr>
        <w:t>pasikeisti senus šildymo katilus.</w:t>
      </w:r>
    </w:p>
    <w:p w:rsidR="00D408C5" w:rsidRPr="004342A7" w:rsidRDefault="00D408C5" w:rsidP="00B715F7">
      <w:pPr>
        <w:ind w:firstLine="426"/>
        <w:jc w:val="both"/>
        <w:rPr>
          <w:color w:val="595959" w:themeColor="text1" w:themeTint="A6"/>
          <w:szCs w:val="24"/>
          <w:lang w:eastAsia="lt-LT"/>
        </w:rPr>
      </w:pPr>
      <w:r w:rsidRPr="004342A7">
        <w:rPr>
          <w:color w:val="595959" w:themeColor="text1" w:themeTint="A6"/>
          <w:szCs w:val="24"/>
          <w:lang w:eastAsia="lt-LT"/>
        </w:rPr>
        <w:t>Pažymėtina</w:t>
      </w:r>
      <w:r w:rsidR="00355ECB" w:rsidRPr="004342A7">
        <w:rPr>
          <w:color w:val="595959" w:themeColor="text1" w:themeTint="A6"/>
          <w:szCs w:val="24"/>
          <w:lang w:eastAsia="lt-LT"/>
        </w:rPr>
        <w:t>, kad</w:t>
      </w:r>
      <w:r w:rsidRPr="004342A7">
        <w:rPr>
          <w:color w:val="595959" w:themeColor="text1" w:themeTint="A6"/>
          <w:szCs w:val="24"/>
          <w:lang w:eastAsia="lt-LT"/>
        </w:rPr>
        <w:t xml:space="preserve"> priklausomybė nuo iškastinio kuro ir energijos importo</w:t>
      </w:r>
      <w:r w:rsidR="00355ECB" w:rsidRPr="004342A7">
        <w:rPr>
          <w:color w:val="595959" w:themeColor="text1" w:themeTint="A6"/>
          <w:szCs w:val="24"/>
          <w:lang w:eastAsia="lt-LT"/>
        </w:rPr>
        <w:t xml:space="preserve"> vis dar išlieka nemaža</w:t>
      </w:r>
      <w:r w:rsidRPr="004342A7">
        <w:rPr>
          <w:color w:val="595959" w:themeColor="text1" w:themeTint="A6"/>
          <w:szCs w:val="24"/>
          <w:lang w:eastAsia="lt-LT"/>
        </w:rPr>
        <w:t xml:space="preserve">. </w:t>
      </w:r>
      <w:r w:rsidR="00355ECB" w:rsidRPr="004342A7">
        <w:rPr>
          <w:color w:val="595959" w:themeColor="text1" w:themeTint="A6"/>
          <w:szCs w:val="24"/>
          <w:lang w:eastAsia="lt-LT"/>
        </w:rPr>
        <w:t xml:space="preserve">Todėl </w:t>
      </w:r>
      <w:r w:rsidRPr="004342A7">
        <w:rPr>
          <w:color w:val="595959" w:themeColor="text1" w:themeTint="A6"/>
          <w:szCs w:val="24"/>
          <w:lang w:eastAsia="lt-LT"/>
        </w:rPr>
        <w:t xml:space="preserve">AEI plėtra </w:t>
      </w:r>
      <w:r w:rsidR="00DB0F3B" w:rsidRPr="004342A7">
        <w:rPr>
          <w:color w:val="595959" w:themeColor="text1" w:themeTint="A6"/>
          <w:szCs w:val="24"/>
          <w:lang w:eastAsia="lt-LT"/>
        </w:rPr>
        <w:t>y</w:t>
      </w:r>
      <w:r w:rsidR="00355ECB" w:rsidRPr="004342A7">
        <w:rPr>
          <w:color w:val="595959" w:themeColor="text1" w:themeTint="A6"/>
          <w:szCs w:val="24"/>
          <w:lang w:eastAsia="lt-LT"/>
        </w:rPr>
        <w:t xml:space="preserve">ra labai svarbi, </w:t>
      </w:r>
      <w:r w:rsidR="00DB0F3B" w:rsidRPr="004342A7">
        <w:rPr>
          <w:color w:val="595959" w:themeColor="text1" w:themeTint="A6"/>
          <w:szCs w:val="24"/>
          <w:lang w:eastAsia="lt-LT"/>
        </w:rPr>
        <w:t>nes</w:t>
      </w:r>
      <w:r w:rsidR="00355ECB" w:rsidRPr="004342A7">
        <w:rPr>
          <w:color w:val="595959" w:themeColor="text1" w:themeTint="A6"/>
          <w:szCs w:val="24"/>
          <w:lang w:eastAsia="lt-LT"/>
        </w:rPr>
        <w:t xml:space="preserve"> </w:t>
      </w:r>
      <w:r w:rsidRPr="004342A7">
        <w:rPr>
          <w:color w:val="595959" w:themeColor="text1" w:themeTint="A6"/>
          <w:szCs w:val="24"/>
          <w:lang w:eastAsia="lt-LT"/>
        </w:rPr>
        <w:t>ženkliai padės mažinti Lietuvos energetinę priklausomybę nuo importuojamos elektros energijos ir prisidės prie siekiamo tikslo – iki 2030 m. padidinti elektros energijos gamybą Lietuvoje iki 70 proc.</w:t>
      </w:r>
      <w:r w:rsidR="00DB0F3B" w:rsidRPr="004342A7">
        <w:rPr>
          <w:color w:val="595959" w:themeColor="text1" w:themeTint="A6"/>
          <w:szCs w:val="24"/>
          <w:lang w:eastAsia="lt-LT"/>
        </w:rPr>
        <w:t xml:space="preserve"> Lietuvos AEI potencialas, k</w:t>
      </w:r>
      <w:r w:rsidRPr="004342A7">
        <w:rPr>
          <w:color w:val="595959" w:themeColor="text1" w:themeTint="A6"/>
          <w:szCs w:val="24"/>
          <w:lang w:eastAsia="lt-LT"/>
        </w:rPr>
        <w:t xml:space="preserve">ol kas nėra išnaudojamas </w:t>
      </w:r>
      <w:r w:rsidR="009D2AE9">
        <w:rPr>
          <w:color w:val="595959" w:themeColor="text1" w:themeTint="A6"/>
          <w:szCs w:val="24"/>
          <w:lang w:eastAsia="lt-LT"/>
        </w:rPr>
        <w:t>–</w:t>
      </w:r>
      <w:r w:rsidR="00DB0F3B" w:rsidRPr="004342A7">
        <w:rPr>
          <w:color w:val="595959" w:themeColor="text1" w:themeTint="A6"/>
          <w:szCs w:val="24"/>
          <w:lang w:eastAsia="lt-LT"/>
        </w:rPr>
        <w:t xml:space="preserve"> </w:t>
      </w:r>
      <w:r w:rsidRPr="004342A7">
        <w:rPr>
          <w:color w:val="595959" w:themeColor="text1" w:themeTint="A6"/>
          <w:szCs w:val="24"/>
          <w:lang w:eastAsia="lt-LT"/>
        </w:rPr>
        <w:t>siekiama didinti AEI dalį suvartojamos energijos balanse ir iki 2030 m. pasiekti, kad 45 proc. elektros energijos bei 60 proc. šiluminės energijos Lietuvoje būtų pagaminta iš AEI. Si</w:t>
      </w:r>
      <w:r w:rsidR="00355ECB" w:rsidRPr="004342A7">
        <w:rPr>
          <w:color w:val="595959" w:themeColor="text1" w:themeTint="A6"/>
          <w:szCs w:val="24"/>
          <w:lang w:eastAsia="lt-LT"/>
        </w:rPr>
        <w:t>ekiama</w:t>
      </w:r>
      <w:r w:rsidRPr="004342A7">
        <w:rPr>
          <w:color w:val="595959" w:themeColor="text1" w:themeTint="A6"/>
          <w:szCs w:val="24"/>
          <w:lang w:eastAsia="lt-LT"/>
        </w:rPr>
        <w:t xml:space="preserve"> visapusiškai įgalinti Baltijos jūros atsinaujinančios vėjo energijos potencialą. Toliau skatinti naudoti AEI elektros energijos ir šilumos gamybą namų ūkiuose bei centralizuoto šilumos ir vėsumos tiekimo sektoriuje. Investuoti į elektros energijos skirstomojo tinklo </w:t>
      </w:r>
      <w:proofErr w:type="spellStart"/>
      <w:r w:rsidRPr="004342A7">
        <w:rPr>
          <w:color w:val="595959" w:themeColor="text1" w:themeTint="A6"/>
          <w:szCs w:val="24"/>
          <w:lang w:eastAsia="lt-LT"/>
        </w:rPr>
        <w:t>išmanizaciją</w:t>
      </w:r>
      <w:proofErr w:type="spellEnd"/>
      <w:r w:rsidRPr="004342A7">
        <w:rPr>
          <w:color w:val="595959" w:themeColor="text1" w:themeTint="A6"/>
          <w:szCs w:val="24"/>
          <w:lang w:eastAsia="lt-LT"/>
        </w:rPr>
        <w:t>, pritaikymą decentralizuotai elektros energijos iš AEI gamybai ir kaupimui bei į didelio AEI kiekio integraciją į elektros energijos skirstomuosius tinklus.</w:t>
      </w:r>
    </w:p>
    <w:p w:rsidR="003F625C" w:rsidRPr="003F625C" w:rsidRDefault="000B72B4" w:rsidP="00907BD5">
      <w:pPr>
        <w:ind w:firstLine="426"/>
        <w:jc w:val="both"/>
        <w:rPr>
          <w:color w:val="595959" w:themeColor="text1" w:themeTint="A6"/>
          <w:szCs w:val="24"/>
          <w:lang w:eastAsia="lt-LT"/>
        </w:rPr>
      </w:pPr>
      <w:r w:rsidRPr="003F625C">
        <w:rPr>
          <w:color w:val="595959" w:themeColor="text1" w:themeTint="A6"/>
          <w:szCs w:val="24"/>
          <w:lang w:eastAsia="lt-LT"/>
        </w:rPr>
        <w:t>Taip pat šiame prioritete Energetikos ministerija ERPF lėšomis finansuoja energijos vartojimo efektyvumo viešojoje infrastruktūroje priemones. Investuojama į valstybei nuosavybės teise priklausančių pastatų atnaujinimą ir gatvių apšvietimo modernizavimą.</w:t>
      </w:r>
      <w:r w:rsidR="004342A7">
        <w:rPr>
          <w:color w:val="595959" w:themeColor="text1" w:themeTint="A6"/>
          <w:szCs w:val="24"/>
          <w:lang w:eastAsia="lt-LT"/>
        </w:rPr>
        <w:t xml:space="preserve"> </w:t>
      </w:r>
      <w:r w:rsidR="003F625C" w:rsidRPr="003F625C">
        <w:rPr>
          <w:color w:val="595959" w:themeColor="text1" w:themeTint="A6"/>
          <w:szCs w:val="24"/>
          <w:lang w:eastAsia="lt-LT"/>
        </w:rPr>
        <w:t>Prie ERPF lėšomis finansuojamų priemonių nepakankamos investavimo spartos prisidėjo lėtas ir komplikuotas energijos vartojimo efektyvumo didinimo viešojoje infrastruktūroje priemonių planavimas ir įgyvendinimas. Tačiau pagal patrauklesnes ir lankstesnes priemonių „Valstybei nuosavybės teise priklausančių pastatų atnaujinimas (II)“ (įgyvendinama kartu su finansine priemone), „Gatvių apšvietimo modernizavimas“ įgyvendinimo sąlygas paskelbti kvietimai sulaukė didelio pareiškėjų susidomėjimo ir pateiktų paraiškų prašoma finansuoti suma ženkliai viršijo kvietimų sumas. Atsižvelgiant į ženkliai viršytą pateiktų paraiškų prašomą finansuoti sumą ir siekiant įgyvendinti privalomus nacionalinius energijos taupymo tikslus, rezerviniams projektams papildomai skirta 69,9 mln. eurų, kurie bus finansuojami „</w:t>
      </w:r>
      <w:proofErr w:type="spellStart"/>
      <w:r w:rsidR="003F625C" w:rsidRPr="003F625C">
        <w:rPr>
          <w:color w:val="595959" w:themeColor="text1" w:themeTint="A6"/>
          <w:szCs w:val="24"/>
          <w:lang w:eastAsia="lt-LT"/>
        </w:rPr>
        <w:t>React</w:t>
      </w:r>
      <w:proofErr w:type="spellEnd"/>
      <w:r w:rsidR="003F625C" w:rsidRPr="003F625C">
        <w:rPr>
          <w:color w:val="595959" w:themeColor="text1" w:themeTint="A6"/>
          <w:szCs w:val="24"/>
          <w:lang w:eastAsia="lt-LT"/>
        </w:rPr>
        <w:t xml:space="preserve">–EU“ iniciatyvos ir 4 prioriteto </w:t>
      </w:r>
      <w:proofErr w:type="spellStart"/>
      <w:r w:rsidR="003F625C" w:rsidRPr="003F625C">
        <w:rPr>
          <w:color w:val="595959" w:themeColor="text1" w:themeTint="A6"/>
          <w:szCs w:val="24"/>
          <w:lang w:eastAsia="lt-LT"/>
        </w:rPr>
        <w:t>virškontraktavimo</w:t>
      </w:r>
      <w:proofErr w:type="spellEnd"/>
      <w:r w:rsidR="003F625C" w:rsidRPr="003F625C">
        <w:rPr>
          <w:color w:val="595959" w:themeColor="text1" w:themeTint="A6"/>
          <w:szCs w:val="24"/>
          <w:lang w:eastAsia="lt-LT"/>
        </w:rPr>
        <w:t xml:space="preserve"> lėšomis. Pažymėtina, kad dalis šių lėšų (6,5 mln. eurų) </w:t>
      </w:r>
      <w:r w:rsidR="009D2AE9">
        <w:rPr>
          <w:color w:val="595959" w:themeColor="text1" w:themeTint="A6"/>
          <w:szCs w:val="24"/>
          <w:lang w:eastAsia="lt-LT"/>
        </w:rPr>
        <w:t xml:space="preserve">bus </w:t>
      </w:r>
      <w:r w:rsidR="003F625C" w:rsidRPr="003F625C">
        <w:rPr>
          <w:color w:val="595959" w:themeColor="text1" w:themeTint="A6"/>
          <w:szCs w:val="24"/>
          <w:lang w:eastAsia="lt-LT"/>
        </w:rPr>
        <w:t xml:space="preserve">panaudota 2021 m. sausio </w:t>
      </w:r>
      <w:r w:rsidR="00197D5C">
        <w:rPr>
          <w:color w:val="595959" w:themeColor="text1" w:themeTint="A6"/>
          <w:szCs w:val="24"/>
          <w:lang w:eastAsia="lt-LT"/>
        </w:rPr>
        <w:t>18 d.</w:t>
      </w:r>
      <w:r w:rsidR="003F625C" w:rsidRPr="003F625C">
        <w:rPr>
          <w:color w:val="595959" w:themeColor="text1" w:themeTint="A6"/>
          <w:szCs w:val="24"/>
          <w:lang w:eastAsia="lt-LT"/>
        </w:rPr>
        <w:t xml:space="preserve"> </w:t>
      </w:r>
      <w:r w:rsidR="00197D5C">
        <w:rPr>
          <w:color w:val="595959" w:themeColor="text1" w:themeTint="A6"/>
          <w:szCs w:val="24"/>
          <w:lang w:eastAsia="lt-LT"/>
        </w:rPr>
        <w:t>pa</w:t>
      </w:r>
      <w:r w:rsidR="003F625C" w:rsidRPr="003F625C">
        <w:rPr>
          <w:color w:val="595959" w:themeColor="text1" w:themeTint="A6"/>
          <w:szCs w:val="24"/>
          <w:lang w:eastAsia="lt-LT"/>
        </w:rPr>
        <w:t>skelbt</w:t>
      </w:r>
      <w:r w:rsidR="00197D5C">
        <w:rPr>
          <w:color w:val="595959" w:themeColor="text1" w:themeTint="A6"/>
          <w:szCs w:val="24"/>
          <w:lang w:eastAsia="lt-LT"/>
        </w:rPr>
        <w:t>am</w:t>
      </w:r>
      <w:r w:rsidR="003F625C" w:rsidRPr="003F625C">
        <w:rPr>
          <w:color w:val="595959" w:themeColor="text1" w:themeTint="A6"/>
          <w:szCs w:val="24"/>
          <w:lang w:eastAsia="lt-LT"/>
        </w:rPr>
        <w:t xml:space="preserve"> </w:t>
      </w:r>
      <w:r w:rsidR="009D2AE9">
        <w:rPr>
          <w:color w:val="595959" w:themeColor="text1" w:themeTint="A6"/>
          <w:szCs w:val="24"/>
          <w:lang w:eastAsia="lt-LT"/>
        </w:rPr>
        <w:t xml:space="preserve">sėkmingam </w:t>
      </w:r>
      <w:r w:rsidR="003F625C" w:rsidRPr="003F625C">
        <w:rPr>
          <w:color w:val="595959" w:themeColor="text1" w:themeTint="A6"/>
          <w:szCs w:val="24"/>
          <w:lang w:eastAsia="lt-LT"/>
        </w:rPr>
        <w:t>priemonės „Gatvių apšvietimo modernizavimas“ kvietimui. Atkreiptinas dėmesys, kad anksčiau minimų priemonių galimi sutarčių pratęsimai yra suderinti su vadovaujančiąja institucija.</w:t>
      </w:r>
    </w:p>
    <w:p w:rsidR="00355ECB" w:rsidRPr="004342A7" w:rsidRDefault="00DB0F3B" w:rsidP="00355ECB">
      <w:pPr>
        <w:ind w:firstLine="426"/>
        <w:jc w:val="both"/>
        <w:rPr>
          <w:color w:val="595959" w:themeColor="text1" w:themeTint="A6"/>
          <w:szCs w:val="24"/>
          <w:lang w:eastAsia="lt-LT"/>
        </w:rPr>
      </w:pPr>
      <w:r w:rsidRPr="004342A7">
        <w:rPr>
          <w:color w:val="595959" w:themeColor="text1" w:themeTint="A6"/>
          <w:szCs w:val="24"/>
          <w:lang w:eastAsia="lt-LT"/>
        </w:rPr>
        <w:t>S</w:t>
      </w:r>
      <w:r w:rsidR="00355ECB" w:rsidRPr="004342A7">
        <w:rPr>
          <w:color w:val="595959" w:themeColor="text1" w:themeTint="A6"/>
          <w:szCs w:val="24"/>
          <w:lang w:eastAsia="lt-LT"/>
        </w:rPr>
        <w:t>varbu ir toliau tęsti finansavimą energijos vartojimo efektyvumo didinimui viešuosiuose</w:t>
      </w:r>
      <w:r w:rsidR="00355ECB" w:rsidRPr="005C1E56">
        <w:rPr>
          <w:szCs w:val="24"/>
        </w:rPr>
        <w:t xml:space="preserve"> </w:t>
      </w:r>
      <w:r w:rsidR="00355ECB" w:rsidRPr="004342A7">
        <w:rPr>
          <w:color w:val="595959" w:themeColor="text1" w:themeTint="A6"/>
          <w:szCs w:val="24"/>
          <w:lang w:eastAsia="lt-LT"/>
        </w:rPr>
        <w:t>pastatuose, namų ūkiuose, neprijungtuose prie CŠT tinklų ir įmonėse, siekiant įgyvendinti Direktyvos 2012/27/EU reikalavimą kasmet renovuoti 3 proc. centrinės valdžios pastatų ir prisidėti prie energijos taupymo tikslo įgyvendinimo – iki 2030 m. užtikrinti, kad pirminės ir galutinės energijos intensyvumas 2030 m. būtų 1,5 karto mažesnis negu 2017 m.</w:t>
      </w:r>
    </w:p>
    <w:p w:rsidR="00355ECB" w:rsidRDefault="00355ECB" w:rsidP="00907BD5">
      <w:pPr>
        <w:ind w:firstLine="426"/>
        <w:jc w:val="both"/>
        <w:rPr>
          <w:color w:val="595959" w:themeColor="text1" w:themeTint="A6"/>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197D5C" w:rsidRPr="0040787A" w:rsidTr="00197D5C">
        <w:tc>
          <w:tcPr>
            <w:tcW w:w="9638" w:type="dxa"/>
            <w:tcBorders>
              <w:top w:val="nil"/>
              <w:left w:val="nil"/>
              <w:bottom w:val="nil"/>
              <w:right w:val="nil"/>
            </w:tcBorders>
            <w:shd w:val="clear" w:color="auto" w:fill="D9D9D9" w:themeFill="background1" w:themeFillShade="D9"/>
          </w:tcPr>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422"/>
            </w:tblGrid>
            <w:tr w:rsidR="00355ECB" w:rsidRPr="00355ECB" w:rsidTr="00355ECB">
              <w:tc>
                <w:tcPr>
                  <w:tcW w:w="9638" w:type="dxa"/>
                  <w:tcBorders>
                    <w:top w:val="nil"/>
                    <w:left w:val="nil"/>
                    <w:bottom w:val="nil"/>
                    <w:right w:val="nil"/>
                  </w:tcBorders>
                  <w:shd w:val="clear" w:color="auto" w:fill="D9D9D9" w:themeFill="background1" w:themeFillShade="D9"/>
                </w:tcPr>
                <w:p w:rsidR="00355ECB" w:rsidRPr="00355ECB" w:rsidRDefault="00355ECB" w:rsidP="00355ECB">
                  <w:pPr>
                    <w:jc w:val="both"/>
                    <w:rPr>
                      <w:b/>
                      <w:color w:val="365F91" w:themeColor="accent1" w:themeShade="BF"/>
                    </w:rPr>
                  </w:pPr>
                  <w:r w:rsidRPr="00355ECB">
                    <w:rPr>
                      <w:b/>
                      <w:color w:val="365F91" w:themeColor="accent1" w:themeShade="BF"/>
                    </w:rPr>
                    <w:t>Siūlymas Energetikos</w:t>
                  </w:r>
                  <w:r w:rsidRPr="00355ECB">
                    <w:t xml:space="preserve"> </w:t>
                  </w:r>
                  <w:r w:rsidRPr="00355ECB">
                    <w:rPr>
                      <w:b/>
                      <w:color w:val="365F91" w:themeColor="accent1" w:themeShade="BF"/>
                    </w:rPr>
                    <w:t>ministerijai:</w:t>
                  </w:r>
                </w:p>
                <w:p w:rsidR="00355ECB" w:rsidRPr="00355ECB" w:rsidRDefault="00355ECB" w:rsidP="00355ECB">
                  <w:pPr>
                    <w:jc w:val="both"/>
                    <w:rPr>
                      <w:color w:val="365F91" w:themeColor="accent1" w:themeShade="BF"/>
                    </w:rPr>
                  </w:pPr>
                  <w:r w:rsidRPr="00355ECB">
                    <w:rPr>
                      <w:color w:val="365F91" w:themeColor="accent1" w:themeShade="BF"/>
                    </w:rPr>
                    <w:t>-</w:t>
                  </w:r>
                  <w:r w:rsidRPr="00355ECB">
                    <w:t xml:space="preserve"> </w:t>
                  </w:r>
                  <w:r w:rsidRPr="00355ECB">
                    <w:rPr>
                      <w:color w:val="365F91" w:themeColor="accent1" w:themeShade="BF"/>
                    </w:rPr>
                    <w:t xml:space="preserve">kartu su VIPA ir LVPA spartinti </w:t>
                  </w:r>
                  <w:r w:rsidRPr="004342A7">
                    <w:rPr>
                      <w:color w:val="365F91" w:themeColor="accent1" w:themeShade="BF"/>
                    </w:rPr>
                    <w:t>priemonių „Valstybei nuosavybės teise priklausančių pastatų atnaujinimas (II)“, „Gatvių apšvietimo modernizavimas“ investavimo tempą, užtikrinant, kad minėtų priemonių likusių projektų sutartys būtų sudarytos iki su vadovaujančiąja institucija</w:t>
                  </w:r>
                  <w:r w:rsidRPr="00355ECB">
                    <w:rPr>
                      <w:color w:val="365F91" w:themeColor="accent1" w:themeShade="BF"/>
                    </w:rPr>
                    <w:t xml:space="preserve"> suderintų pratęsimų terminų, tai</w:t>
                  </w:r>
                  <w:r w:rsidR="004342A7">
                    <w:rPr>
                      <w:color w:val="365F91" w:themeColor="accent1" w:themeShade="BF"/>
                    </w:rPr>
                    <w:t>p</w:t>
                  </w:r>
                  <w:r w:rsidRPr="00355ECB">
                    <w:rPr>
                      <w:color w:val="365F91" w:themeColor="accent1" w:themeShade="BF"/>
                    </w:rPr>
                    <w:t xml:space="preserve"> pat vykdyti </w:t>
                  </w:r>
                  <w:r w:rsidRPr="004342A7">
                    <w:rPr>
                      <w:color w:val="365F91" w:themeColor="accent1" w:themeShade="BF"/>
                    </w:rPr>
                    <w:t>nuolatinę minėtų priemonių projektų įgyvendinimo stebėseną ir esant poreikiui nedelsiant spręsti iškilusias projektų įgyvendinimo problemas.</w:t>
                  </w:r>
                  <w:r w:rsidRPr="00355ECB">
                    <w:rPr>
                      <w:color w:val="595959" w:themeColor="text1" w:themeTint="A6"/>
                      <w:lang w:eastAsia="lt-LT"/>
                    </w:rPr>
                    <w:t xml:space="preserve"> </w:t>
                  </w:r>
                </w:p>
              </w:tc>
            </w:tr>
          </w:tbl>
          <w:p w:rsidR="00197D5C" w:rsidRPr="00835C89" w:rsidRDefault="00197D5C" w:rsidP="00197D5C">
            <w:pPr>
              <w:jc w:val="both"/>
              <w:rPr>
                <w:color w:val="365F91" w:themeColor="accent1" w:themeShade="BF"/>
              </w:rPr>
            </w:pPr>
          </w:p>
        </w:tc>
      </w:tr>
    </w:tbl>
    <w:p w:rsidR="0038007D" w:rsidRDefault="0038007D" w:rsidP="00AC3A0A">
      <w:pPr>
        <w:jc w:val="both"/>
        <w:rPr>
          <w:color w:val="595959" w:themeColor="text1" w:themeTint="A6"/>
          <w:szCs w:val="24"/>
          <w:lang w:eastAsia="lt-LT"/>
        </w:rPr>
      </w:pPr>
    </w:p>
    <w:p w:rsidR="00C92FA0" w:rsidRDefault="00E04078" w:rsidP="00AC3A0A">
      <w:pPr>
        <w:jc w:val="both"/>
        <w:rPr>
          <w:color w:val="595959" w:themeColor="text1" w:themeTint="A6"/>
          <w:szCs w:val="24"/>
          <w:lang w:eastAsia="lt-LT"/>
        </w:rPr>
      </w:pPr>
      <w:r>
        <w:rPr>
          <w:noProof/>
          <w:lang w:eastAsia="lt-LT"/>
        </w:rPr>
        <w:drawing>
          <wp:inline distT="0" distB="0" distL="0" distR="0" wp14:anchorId="1D735040" wp14:editId="6BDA7267">
            <wp:extent cx="6120130" cy="994126"/>
            <wp:effectExtent l="0" t="0" r="13970" b="15875"/>
            <wp:docPr id="396" name="Diagrama 39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92FA0" w:rsidRDefault="00C92FA0" w:rsidP="00AC3A0A">
      <w:pPr>
        <w:jc w:val="both"/>
        <w:rPr>
          <w:color w:val="595959" w:themeColor="text1" w:themeTint="A6"/>
          <w:szCs w:val="24"/>
          <w:lang w:eastAsia="lt-LT"/>
        </w:rPr>
      </w:pPr>
    </w:p>
    <w:p w:rsidR="00897503" w:rsidRDefault="00AE003A" w:rsidP="00907BD5">
      <w:pPr>
        <w:ind w:firstLine="426"/>
        <w:jc w:val="both"/>
        <w:rPr>
          <w:color w:val="595959" w:themeColor="text1" w:themeTint="A6"/>
          <w:szCs w:val="24"/>
          <w:lang w:eastAsia="lt-LT"/>
        </w:rPr>
      </w:pPr>
      <w:r w:rsidRPr="007720BF">
        <w:rPr>
          <w:color w:val="595959" w:themeColor="text1" w:themeTint="A6"/>
          <w:szCs w:val="24"/>
          <w:lang w:eastAsia="lt-LT"/>
        </w:rPr>
        <w:t>Susisiek</w:t>
      </w:r>
      <w:r w:rsidR="000F063D">
        <w:rPr>
          <w:color w:val="595959" w:themeColor="text1" w:themeTint="A6"/>
          <w:szCs w:val="24"/>
          <w:lang w:eastAsia="lt-LT"/>
        </w:rPr>
        <w:t>imo ministerijos administruojamose</w:t>
      </w:r>
      <w:r w:rsidRPr="007720BF">
        <w:rPr>
          <w:color w:val="595959" w:themeColor="text1" w:themeTint="A6"/>
          <w:szCs w:val="24"/>
          <w:lang w:eastAsia="lt-LT"/>
        </w:rPr>
        <w:t xml:space="preserve"> 4 prioriteto </w:t>
      </w:r>
      <w:r w:rsidR="000F063D">
        <w:rPr>
          <w:color w:val="595959" w:themeColor="text1" w:themeTint="A6"/>
          <w:szCs w:val="24"/>
          <w:lang w:eastAsia="lt-LT"/>
        </w:rPr>
        <w:t xml:space="preserve">priemonėse </w:t>
      </w:r>
      <w:r w:rsidR="00DB0F3B">
        <w:rPr>
          <w:color w:val="595959" w:themeColor="text1" w:themeTint="A6"/>
          <w:szCs w:val="24"/>
          <w:lang w:eastAsia="lt-LT"/>
        </w:rPr>
        <w:t xml:space="preserve">stebimas </w:t>
      </w:r>
      <w:r w:rsidR="000F063D">
        <w:rPr>
          <w:color w:val="595959" w:themeColor="text1" w:themeTint="A6"/>
          <w:szCs w:val="24"/>
          <w:lang w:eastAsia="lt-LT"/>
        </w:rPr>
        <w:t>sutarčių pasirašym</w:t>
      </w:r>
      <w:r w:rsidR="00DB0F3B">
        <w:rPr>
          <w:color w:val="595959" w:themeColor="text1" w:themeTint="A6"/>
          <w:szCs w:val="24"/>
          <w:lang w:eastAsia="lt-LT"/>
        </w:rPr>
        <w:t>o vėlavimas</w:t>
      </w:r>
      <w:r w:rsidR="000F063D">
        <w:rPr>
          <w:color w:val="595959" w:themeColor="text1" w:themeTint="A6"/>
          <w:szCs w:val="24"/>
          <w:lang w:eastAsia="lt-LT"/>
        </w:rPr>
        <w:t xml:space="preserve">. Pasirašyta </w:t>
      </w:r>
      <w:r w:rsidR="00E04078">
        <w:rPr>
          <w:color w:val="595959" w:themeColor="text1" w:themeTint="A6"/>
          <w:szCs w:val="24"/>
          <w:lang w:eastAsia="lt-LT"/>
        </w:rPr>
        <w:t>93</w:t>
      </w:r>
      <w:r w:rsidR="000F063D">
        <w:rPr>
          <w:color w:val="595959" w:themeColor="text1" w:themeTint="A6"/>
          <w:szCs w:val="24"/>
          <w:lang w:eastAsia="lt-LT"/>
        </w:rPr>
        <w:t xml:space="preserve"> proc. ERPF lėšomis finansuojamų ir </w:t>
      </w:r>
      <w:r w:rsidR="00E04078">
        <w:rPr>
          <w:color w:val="595959" w:themeColor="text1" w:themeTint="A6"/>
          <w:szCs w:val="24"/>
          <w:lang w:eastAsia="lt-LT"/>
        </w:rPr>
        <w:t>87</w:t>
      </w:r>
      <w:r w:rsidR="000F063D">
        <w:rPr>
          <w:color w:val="595959" w:themeColor="text1" w:themeTint="A6"/>
          <w:szCs w:val="24"/>
          <w:lang w:eastAsia="lt-LT"/>
        </w:rPr>
        <w:t xml:space="preserve"> proc. </w:t>
      </w:r>
      <w:proofErr w:type="spellStart"/>
      <w:r w:rsidR="000F063D">
        <w:rPr>
          <w:color w:val="595959" w:themeColor="text1" w:themeTint="A6"/>
          <w:szCs w:val="24"/>
          <w:lang w:eastAsia="lt-LT"/>
        </w:rPr>
        <w:t>SaF</w:t>
      </w:r>
      <w:proofErr w:type="spellEnd"/>
      <w:r w:rsidR="000F063D">
        <w:rPr>
          <w:color w:val="595959" w:themeColor="text1" w:themeTint="A6"/>
          <w:szCs w:val="24"/>
          <w:lang w:eastAsia="lt-LT"/>
        </w:rPr>
        <w:t xml:space="preserve"> lėšomis </w:t>
      </w:r>
      <w:r w:rsidR="000F063D">
        <w:rPr>
          <w:color w:val="595959" w:themeColor="text1" w:themeTint="A6"/>
          <w:szCs w:val="24"/>
          <w:lang w:eastAsia="lt-LT"/>
        </w:rPr>
        <w:lastRenderedPageBreak/>
        <w:t>finansuojamų projektų sutarčių.</w:t>
      </w:r>
      <w:r w:rsidR="00C04420">
        <w:rPr>
          <w:color w:val="595959" w:themeColor="text1" w:themeTint="A6"/>
          <w:szCs w:val="24"/>
          <w:lang w:eastAsia="lt-LT"/>
        </w:rPr>
        <w:t xml:space="preserve"> </w:t>
      </w:r>
      <w:proofErr w:type="spellStart"/>
      <w:r w:rsidR="00C04420">
        <w:rPr>
          <w:color w:val="595959" w:themeColor="text1" w:themeTint="A6"/>
          <w:szCs w:val="24"/>
          <w:lang w:eastAsia="lt-LT"/>
        </w:rPr>
        <w:t>SaF</w:t>
      </w:r>
      <w:proofErr w:type="spellEnd"/>
      <w:r w:rsidR="00C04420">
        <w:rPr>
          <w:color w:val="595959" w:themeColor="text1" w:themeTint="A6"/>
          <w:szCs w:val="24"/>
          <w:lang w:eastAsia="lt-LT"/>
        </w:rPr>
        <w:t xml:space="preserve"> lėšų investavimas yra spartus (72</w:t>
      </w:r>
      <w:r w:rsidR="000D61AF">
        <w:rPr>
          <w:color w:val="595959" w:themeColor="text1" w:themeTint="A6"/>
          <w:szCs w:val="24"/>
          <w:lang w:eastAsia="lt-LT"/>
        </w:rPr>
        <w:t xml:space="preserve"> proc.) tačiau žymiai atsilieka ERPF lėšų investavimas</w:t>
      </w:r>
      <w:r w:rsidR="00E04078">
        <w:rPr>
          <w:color w:val="595959" w:themeColor="text1" w:themeTint="A6"/>
          <w:szCs w:val="24"/>
          <w:lang w:eastAsia="lt-LT"/>
        </w:rPr>
        <w:t xml:space="preserve"> (37</w:t>
      </w:r>
      <w:r w:rsidR="00C04420">
        <w:rPr>
          <w:color w:val="595959" w:themeColor="text1" w:themeTint="A6"/>
          <w:szCs w:val="24"/>
          <w:lang w:eastAsia="lt-LT"/>
        </w:rPr>
        <w:t xml:space="preserve"> proc.)</w:t>
      </w:r>
      <w:r w:rsidR="000D61AF">
        <w:rPr>
          <w:color w:val="595959" w:themeColor="text1" w:themeTint="A6"/>
          <w:szCs w:val="24"/>
          <w:lang w:eastAsia="lt-LT"/>
        </w:rPr>
        <w:t>.</w:t>
      </w:r>
    </w:p>
    <w:p w:rsidR="00DB0F3B" w:rsidRPr="003F625C" w:rsidRDefault="00DB0F3B" w:rsidP="00DB0F3B">
      <w:pPr>
        <w:ind w:firstLine="426"/>
        <w:jc w:val="both"/>
        <w:rPr>
          <w:color w:val="595959" w:themeColor="text1" w:themeTint="A6"/>
          <w:szCs w:val="24"/>
          <w:lang w:eastAsia="lt-LT"/>
        </w:rPr>
      </w:pPr>
      <w:r>
        <w:rPr>
          <w:color w:val="595959" w:themeColor="text1" w:themeTint="A6"/>
          <w:szCs w:val="24"/>
          <w:lang w:eastAsia="lt-LT"/>
        </w:rPr>
        <w:t xml:space="preserve">Su šio prioriteto įgyvendinimu susijęs iššūkis </w:t>
      </w:r>
      <w:r w:rsidR="000E58A1">
        <w:rPr>
          <w:color w:val="595959" w:themeColor="text1" w:themeTint="A6"/>
          <w:szCs w:val="24"/>
          <w:lang w:eastAsia="lt-LT"/>
        </w:rPr>
        <w:t>–</w:t>
      </w:r>
      <w:r>
        <w:rPr>
          <w:color w:val="595959" w:themeColor="text1" w:themeTint="A6"/>
          <w:szCs w:val="24"/>
          <w:lang w:eastAsia="lt-LT"/>
        </w:rPr>
        <w:t xml:space="preserve"> </w:t>
      </w:r>
      <w:r w:rsidR="002510B1" w:rsidRPr="00171217">
        <w:rPr>
          <w:color w:val="595959" w:themeColor="text1" w:themeTint="A6"/>
          <w:szCs w:val="24"/>
          <w:lang w:eastAsia="lt-LT"/>
        </w:rPr>
        <w:t>šiltnamio efektą sukeliančių dujų</w:t>
      </w:r>
      <w:r w:rsidR="002510B1">
        <w:rPr>
          <w:color w:val="595959" w:themeColor="text1" w:themeTint="A6"/>
          <w:szCs w:val="24"/>
          <w:lang w:eastAsia="lt-LT"/>
        </w:rPr>
        <w:t xml:space="preserve"> ir taršos </w:t>
      </w:r>
      <w:r w:rsidRPr="00171217">
        <w:rPr>
          <w:color w:val="595959" w:themeColor="text1" w:themeTint="A6"/>
          <w:szCs w:val="24"/>
          <w:lang w:eastAsia="lt-LT"/>
        </w:rPr>
        <w:t>mažinimas. Transportas – vienas pagrindinių šiltnamio efektą sukeliančių dujų (30,2 % iš visų sektorių), aplinkos triukšmo, azoto oksidų (</w:t>
      </w:r>
      <w:proofErr w:type="spellStart"/>
      <w:r w:rsidRPr="00171217">
        <w:rPr>
          <w:color w:val="595959" w:themeColor="text1" w:themeTint="A6"/>
          <w:szCs w:val="24"/>
          <w:lang w:eastAsia="lt-LT"/>
        </w:rPr>
        <w:t>NOx</w:t>
      </w:r>
      <w:proofErr w:type="spellEnd"/>
      <w:r w:rsidRPr="00171217">
        <w:rPr>
          <w:color w:val="595959" w:themeColor="text1" w:themeTint="A6"/>
          <w:szCs w:val="24"/>
          <w:lang w:eastAsia="lt-LT"/>
        </w:rPr>
        <w:t xml:space="preserve">) ir kt. medžiagų taršos šaltinių. </w:t>
      </w:r>
    </w:p>
    <w:p w:rsidR="003F625C" w:rsidRPr="003F625C" w:rsidRDefault="002510B1" w:rsidP="00907BD5">
      <w:pPr>
        <w:ind w:firstLine="426"/>
        <w:jc w:val="both"/>
        <w:rPr>
          <w:color w:val="595959" w:themeColor="text1" w:themeTint="A6"/>
          <w:szCs w:val="24"/>
          <w:lang w:eastAsia="lt-LT"/>
        </w:rPr>
      </w:pPr>
      <w:r>
        <w:rPr>
          <w:color w:val="595959" w:themeColor="text1" w:themeTint="A6"/>
          <w:szCs w:val="24"/>
          <w:lang w:eastAsia="lt-LT"/>
        </w:rPr>
        <w:t xml:space="preserve">Šio Veiksmų programos prioriteto </w:t>
      </w:r>
      <w:proofErr w:type="spellStart"/>
      <w:r w:rsidR="003F625C" w:rsidRPr="003F625C">
        <w:rPr>
          <w:color w:val="595959" w:themeColor="text1" w:themeTint="A6"/>
          <w:szCs w:val="24"/>
          <w:lang w:eastAsia="lt-LT"/>
        </w:rPr>
        <w:t>SaF</w:t>
      </w:r>
      <w:proofErr w:type="spellEnd"/>
      <w:r w:rsidR="003F625C" w:rsidRPr="003F625C">
        <w:rPr>
          <w:color w:val="595959" w:themeColor="text1" w:themeTint="A6"/>
          <w:szCs w:val="24"/>
          <w:lang w:eastAsia="lt-LT"/>
        </w:rPr>
        <w:t xml:space="preserve"> lėšomis finansuojamas draugiškų aplinkai vietinio susisiekimo (miesto ir priemiestinio) viešojo transporto priemonių įsigijimas. Viešojo transporto paslaugų ir įrangos riboto </w:t>
      </w:r>
      <w:proofErr w:type="spellStart"/>
      <w:r w:rsidR="003F625C" w:rsidRPr="003F625C">
        <w:rPr>
          <w:color w:val="595959" w:themeColor="text1" w:themeTint="A6"/>
          <w:szCs w:val="24"/>
          <w:lang w:eastAsia="lt-LT"/>
        </w:rPr>
        <w:t>judumo</w:t>
      </w:r>
      <w:proofErr w:type="spellEnd"/>
      <w:r w:rsidR="003F625C" w:rsidRPr="003F625C">
        <w:rPr>
          <w:color w:val="595959" w:themeColor="text1" w:themeTint="A6"/>
          <w:szCs w:val="24"/>
          <w:lang w:eastAsia="lt-LT"/>
        </w:rPr>
        <w:t xml:space="preserve"> ir fizinę negalią turinčių asmenų poreikiams tenkinti diegimas, pritaikant u</w:t>
      </w:r>
      <w:r w:rsidR="00907BD5">
        <w:rPr>
          <w:color w:val="595959" w:themeColor="text1" w:themeTint="A6"/>
          <w:szCs w:val="24"/>
          <w:lang w:eastAsia="lt-LT"/>
        </w:rPr>
        <w:t>niversalaus dizaino sprendimus.</w:t>
      </w:r>
    </w:p>
    <w:p w:rsidR="003F625C" w:rsidRDefault="003F625C" w:rsidP="00907BD5">
      <w:pPr>
        <w:ind w:firstLine="426"/>
        <w:jc w:val="both"/>
        <w:rPr>
          <w:color w:val="595959" w:themeColor="text1" w:themeTint="A6"/>
          <w:szCs w:val="24"/>
          <w:lang w:eastAsia="lt-LT"/>
        </w:rPr>
      </w:pPr>
      <w:r w:rsidRPr="003F625C">
        <w:rPr>
          <w:color w:val="595959" w:themeColor="text1" w:themeTint="A6"/>
          <w:szCs w:val="24"/>
          <w:lang w:eastAsia="lt-LT"/>
        </w:rPr>
        <w:t xml:space="preserve">ERPF lėšomis finansuojamas </w:t>
      </w:r>
      <w:r w:rsidR="008316D0">
        <w:rPr>
          <w:color w:val="595959" w:themeColor="text1" w:themeTint="A6"/>
          <w:szCs w:val="24"/>
          <w:lang w:eastAsia="lt-LT"/>
        </w:rPr>
        <w:t>d</w:t>
      </w:r>
      <w:r w:rsidRPr="003F625C">
        <w:rPr>
          <w:color w:val="595959" w:themeColor="text1" w:themeTint="A6"/>
          <w:szCs w:val="24"/>
          <w:lang w:eastAsia="lt-LT"/>
        </w:rPr>
        <w:t xml:space="preserve">arnaus </w:t>
      </w:r>
      <w:proofErr w:type="spellStart"/>
      <w:r w:rsidRPr="003F625C">
        <w:rPr>
          <w:color w:val="595959" w:themeColor="text1" w:themeTint="A6"/>
          <w:szCs w:val="24"/>
          <w:lang w:eastAsia="lt-LT"/>
        </w:rPr>
        <w:t>judumo</w:t>
      </w:r>
      <w:proofErr w:type="spellEnd"/>
      <w:r w:rsidRPr="003F625C">
        <w:rPr>
          <w:color w:val="595959" w:themeColor="text1" w:themeTint="A6"/>
          <w:szCs w:val="24"/>
          <w:lang w:eastAsia="lt-LT"/>
        </w:rPr>
        <w:t xml:space="preserve"> planų (SUMP) rengimas ir juose numatytų darnaus </w:t>
      </w:r>
      <w:proofErr w:type="spellStart"/>
      <w:r w:rsidRPr="003F625C">
        <w:rPr>
          <w:color w:val="595959" w:themeColor="text1" w:themeTint="A6"/>
          <w:szCs w:val="24"/>
          <w:lang w:eastAsia="lt-LT"/>
        </w:rPr>
        <w:t>judumo</w:t>
      </w:r>
      <w:proofErr w:type="spellEnd"/>
      <w:r w:rsidRPr="003F625C">
        <w:rPr>
          <w:color w:val="595959" w:themeColor="text1" w:themeTint="A6"/>
          <w:szCs w:val="24"/>
          <w:lang w:eastAsia="lt-LT"/>
        </w:rPr>
        <w:t xml:space="preserve"> priemonių įgyvendinimas miestų ir rajonų savivaldybėse, miestų gatvių pritaikymas viešojo transporto poreikiams, šiuolaikiškų inžinerinių eismo saugos ir saugumo priemonių diegimas; dviračių ir pėsčiųjų takų rekonstrukcija ir plėtra. Taip pat investuojama į intelektinių transporto sistemų diegimą didinant viešojo transporto sistemos efektyvumą bei elektromobilių pakrovimo infrastruktūros stotelių tinklo plėtrą.</w:t>
      </w:r>
    </w:p>
    <w:p w:rsidR="003F625C" w:rsidRDefault="00171217" w:rsidP="00907BD5">
      <w:pPr>
        <w:ind w:firstLine="426"/>
        <w:jc w:val="both"/>
        <w:rPr>
          <w:color w:val="595959" w:themeColor="text1" w:themeTint="A6"/>
          <w:szCs w:val="24"/>
          <w:lang w:eastAsia="lt-LT"/>
        </w:rPr>
      </w:pPr>
      <w:r>
        <w:rPr>
          <w:color w:val="595959" w:themeColor="text1" w:themeTint="A6"/>
          <w:szCs w:val="24"/>
          <w:lang w:eastAsia="lt-LT"/>
        </w:rPr>
        <w:t xml:space="preserve">Darnaus </w:t>
      </w:r>
      <w:proofErr w:type="spellStart"/>
      <w:r>
        <w:rPr>
          <w:color w:val="595959" w:themeColor="text1" w:themeTint="A6"/>
          <w:szCs w:val="24"/>
          <w:lang w:eastAsia="lt-LT"/>
        </w:rPr>
        <w:t>judumo</w:t>
      </w:r>
      <w:proofErr w:type="spellEnd"/>
      <w:r>
        <w:rPr>
          <w:color w:val="595959" w:themeColor="text1" w:themeTint="A6"/>
          <w:szCs w:val="24"/>
          <w:lang w:eastAsia="lt-LT"/>
        </w:rPr>
        <w:t xml:space="preserve"> priemonių diegimas prisideda prie CO2 mažinimo, tačiau </w:t>
      </w:r>
      <w:r w:rsidR="00907BD5" w:rsidRPr="00907BD5">
        <w:rPr>
          <w:color w:val="595959" w:themeColor="text1" w:themeTint="A6"/>
          <w:szCs w:val="24"/>
          <w:lang w:eastAsia="lt-LT"/>
        </w:rPr>
        <w:t xml:space="preserve">labiausiai prie ERPF lėšomis finansuojamų priemonių nepakankamos investavimo spartos prisidėjo </w:t>
      </w:r>
      <w:r>
        <w:rPr>
          <w:color w:val="595959" w:themeColor="text1" w:themeTint="A6"/>
          <w:szCs w:val="24"/>
          <w:lang w:eastAsia="lt-LT"/>
        </w:rPr>
        <w:t>šios priemonės</w:t>
      </w:r>
      <w:r w:rsidR="00907BD5" w:rsidRPr="00907BD5">
        <w:rPr>
          <w:color w:val="595959" w:themeColor="text1" w:themeTint="A6"/>
          <w:szCs w:val="24"/>
          <w:lang w:eastAsia="lt-LT"/>
        </w:rPr>
        <w:t xml:space="preserve"> planavimo procesas, nes projektai galėjo būti įgyvendinami tik parengus darnaus </w:t>
      </w:r>
      <w:proofErr w:type="spellStart"/>
      <w:r w:rsidR="00907BD5" w:rsidRPr="00907BD5">
        <w:rPr>
          <w:color w:val="595959" w:themeColor="text1" w:themeTint="A6"/>
          <w:szCs w:val="24"/>
          <w:lang w:eastAsia="lt-LT"/>
        </w:rPr>
        <w:t>judumo</w:t>
      </w:r>
      <w:proofErr w:type="spellEnd"/>
      <w:r w:rsidR="00907BD5" w:rsidRPr="00907BD5">
        <w:rPr>
          <w:color w:val="595959" w:themeColor="text1" w:themeTint="A6"/>
          <w:szCs w:val="24"/>
          <w:lang w:eastAsia="lt-LT"/>
        </w:rPr>
        <w:t xml:space="preserve"> planus. Atsižvelgdama į galimybes projektus baigti taisyklėse nustatytais terminais, Finansų ministerija pritarė finansavimo sutarčių už 12 mln. eurų sudarymo termino pratęsimui iki 2021 m. kovo 31 d. Atkreiptinas dėmesys, kad detalesnis šios priemonės projektų vertinimas, siekiant dalį projektų finansuoti Ateities ekonomikos DNR plano lėšomis, atskleidė poreikį gerinti darnaus </w:t>
      </w:r>
      <w:proofErr w:type="spellStart"/>
      <w:r w:rsidR="00907BD5" w:rsidRPr="00907BD5">
        <w:rPr>
          <w:color w:val="595959" w:themeColor="text1" w:themeTint="A6"/>
          <w:szCs w:val="24"/>
          <w:lang w:eastAsia="lt-LT"/>
        </w:rPr>
        <w:t>judumo</w:t>
      </w:r>
      <w:proofErr w:type="spellEnd"/>
      <w:r w:rsidR="00907BD5" w:rsidRPr="00907BD5">
        <w:rPr>
          <w:color w:val="595959" w:themeColor="text1" w:themeTint="A6"/>
          <w:szCs w:val="24"/>
          <w:lang w:eastAsia="lt-LT"/>
        </w:rPr>
        <w:t xml:space="preserve"> projektų efektyvumą, užtikrinant konkretų prisidėjimą prie klimato kaitos tikslų. Todėl naujajame finansavimo laikotarpyje savivaldybėms būtina pateikti reikalingas gaires tokių projektų planavimui, kad investicijos užtikintų Nacionaliniame pažangos plane nustatytų pokyčio rodiklių pasiekimą.</w:t>
      </w:r>
    </w:p>
    <w:p w:rsidR="00DF77AD" w:rsidRDefault="00DF77AD" w:rsidP="00AC3A0A">
      <w:pPr>
        <w:jc w:val="both"/>
        <w:rPr>
          <w:color w:val="595959" w:themeColor="text1" w:themeTint="A6"/>
          <w:szCs w:val="24"/>
          <w:lang w:eastAsia="lt-LT"/>
        </w:rPr>
      </w:pPr>
    </w:p>
    <w:p w:rsidR="006D45C6" w:rsidRDefault="00E04078" w:rsidP="00AC3A0A">
      <w:pPr>
        <w:jc w:val="both"/>
        <w:rPr>
          <w:color w:val="595959" w:themeColor="text1" w:themeTint="A6"/>
          <w:szCs w:val="24"/>
          <w:lang w:eastAsia="lt-LT"/>
        </w:rPr>
      </w:pPr>
      <w:r>
        <w:rPr>
          <w:noProof/>
          <w:lang w:eastAsia="lt-LT"/>
        </w:rPr>
        <w:drawing>
          <wp:inline distT="0" distB="0" distL="0" distR="0" wp14:anchorId="3663BA60" wp14:editId="2AF1D05D">
            <wp:extent cx="6120130" cy="776227"/>
            <wp:effectExtent l="0" t="0" r="13970" b="24130"/>
            <wp:docPr id="397" name="Diagrama 39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04420" w:rsidRDefault="00C04420" w:rsidP="00AC3A0A">
      <w:pPr>
        <w:jc w:val="both"/>
        <w:rPr>
          <w:color w:val="595959" w:themeColor="text1" w:themeTint="A6"/>
          <w:szCs w:val="24"/>
          <w:lang w:eastAsia="lt-LT"/>
        </w:rPr>
      </w:pPr>
    </w:p>
    <w:p w:rsidR="00C04420" w:rsidRDefault="00C04420" w:rsidP="00C04420">
      <w:pPr>
        <w:ind w:firstLine="426"/>
        <w:jc w:val="both"/>
        <w:rPr>
          <w:color w:val="595959" w:themeColor="text1" w:themeTint="A6"/>
          <w:szCs w:val="24"/>
          <w:lang w:eastAsia="lt-LT"/>
        </w:rPr>
      </w:pPr>
      <w:r>
        <w:rPr>
          <w:color w:val="595959" w:themeColor="text1" w:themeTint="A6"/>
          <w:szCs w:val="24"/>
          <w:lang w:eastAsia="lt-LT"/>
        </w:rPr>
        <w:t xml:space="preserve">Ekonomikos ir inovacijų </w:t>
      </w:r>
      <w:r w:rsidRPr="00D43A9F">
        <w:rPr>
          <w:color w:val="595959" w:themeColor="text1" w:themeTint="A6"/>
          <w:lang w:eastAsia="lt-LT"/>
        </w:rPr>
        <w:t xml:space="preserve">ministerija sudarė sutartis visoms </w:t>
      </w:r>
      <w:r>
        <w:rPr>
          <w:color w:val="595959" w:themeColor="text1" w:themeTint="A6"/>
          <w:lang w:eastAsia="lt-LT"/>
        </w:rPr>
        <w:t>4</w:t>
      </w:r>
      <w:r w:rsidRPr="00D43A9F">
        <w:rPr>
          <w:color w:val="595959" w:themeColor="text1" w:themeTint="A6"/>
          <w:lang w:eastAsia="lt-LT"/>
        </w:rPr>
        <w:t xml:space="preserve"> prioriteto a</w:t>
      </w:r>
      <w:r>
        <w:rPr>
          <w:color w:val="595959" w:themeColor="text1" w:themeTint="A6"/>
          <w:lang w:eastAsia="lt-LT"/>
        </w:rPr>
        <w:t>dministruojamų priemonių</w:t>
      </w:r>
      <w:r w:rsidR="0066390D">
        <w:rPr>
          <w:color w:val="595959" w:themeColor="text1" w:themeTint="A6"/>
          <w:lang w:eastAsia="lt-LT"/>
        </w:rPr>
        <w:t xml:space="preserve">, skirtų atsinaujinančių išteklių diegimui pramonės įmonėse, energijos naudojimo auditų atlikimui bei palūkanų kompensavimui energijos efektyvumo projektams, </w:t>
      </w:r>
      <w:r>
        <w:rPr>
          <w:color w:val="595959" w:themeColor="text1" w:themeTint="A6"/>
          <w:lang w:eastAsia="lt-LT"/>
        </w:rPr>
        <w:t>lėšoms. Lėšų investavimas yra pakankama</w:t>
      </w:r>
      <w:r w:rsidR="008004A4">
        <w:rPr>
          <w:color w:val="595959" w:themeColor="text1" w:themeTint="A6"/>
          <w:lang w:eastAsia="lt-LT"/>
        </w:rPr>
        <w:t>i</w:t>
      </w:r>
      <w:r>
        <w:rPr>
          <w:color w:val="595959" w:themeColor="text1" w:themeTint="A6"/>
          <w:lang w:eastAsia="lt-LT"/>
        </w:rPr>
        <w:t xml:space="preserve"> spartus ir viršija Veiksmų programos vidurkį.</w:t>
      </w:r>
      <w:r w:rsidR="009D4A8F">
        <w:rPr>
          <w:color w:val="595959" w:themeColor="text1" w:themeTint="A6"/>
          <w:lang w:eastAsia="lt-LT"/>
        </w:rPr>
        <w:t xml:space="preserve"> </w:t>
      </w:r>
      <w:r w:rsidR="009D4A8F" w:rsidRPr="009D4A8F">
        <w:rPr>
          <w:color w:val="595959" w:themeColor="text1" w:themeTint="A6"/>
          <w:lang w:eastAsia="lt-LT"/>
        </w:rPr>
        <w:t xml:space="preserve">Papildomai šiame prioritete ministerijai yra numatyta </w:t>
      </w:r>
      <w:r w:rsidR="009D4A8F">
        <w:rPr>
          <w:color w:val="595959" w:themeColor="text1" w:themeTint="A6"/>
          <w:lang w:eastAsia="lt-LT"/>
        </w:rPr>
        <w:t>11,9</w:t>
      </w:r>
      <w:r w:rsidR="009D4A8F" w:rsidRPr="009D4A8F">
        <w:rPr>
          <w:color w:val="595959" w:themeColor="text1" w:themeTint="A6"/>
          <w:lang w:eastAsia="lt-LT"/>
        </w:rPr>
        <w:t xml:space="preserve"> mln. eurų ES lėšų </w:t>
      </w:r>
      <w:proofErr w:type="spellStart"/>
      <w:r w:rsidR="009D4A8F" w:rsidRPr="009D4A8F">
        <w:rPr>
          <w:color w:val="595959" w:themeColor="text1" w:themeTint="A6"/>
          <w:lang w:eastAsia="lt-LT"/>
        </w:rPr>
        <w:t>virškontraktavimo</w:t>
      </w:r>
      <w:proofErr w:type="spellEnd"/>
      <w:r w:rsidR="009D4A8F" w:rsidRPr="009D4A8F">
        <w:rPr>
          <w:color w:val="595959" w:themeColor="text1" w:themeTint="A6"/>
          <w:lang w:eastAsia="lt-LT"/>
        </w:rPr>
        <w:t xml:space="preserve"> galimybė</w:t>
      </w:r>
      <w:r w:rsidR="009D4A8F">
        <w:rPr>
          <w:color w:val="595959" w:themeColor="text1" w:themeTint="A6"/>
          <w:lang w:eastAsia="lt-LT"/>
        </w:rPr>
        <w:t>.</w:t>
      </w:r>
    </w:p>
    <w:p w:rsidR="00C04420" w:rsidRDefault="00C04420" w:rsidP="00AC3A0A">
      <w:pPr>
        <w:jc w:val="both"/>
        <w:rPr>
          <w:color w:val="595959" w:themeColor="text1" w:themeTint="A6"/>
          <w:szCs w:val="24"/>
          <w:lang w:eastAsia="lt-LT"/>
        </w:rPr>
      </w:pPr>
    </w:p>
    <w:p w:rsidR="00C04420" w:rsidRDefault="00C04420" w:rsidP="00AC3A0A">
      <w:pPr>
        <w:jc w:val="both"/>
        <w:rPr>
          <w:color w:val="595959" w:themeColor="text1" w:themeTint="A6"/>
          <w:szCs w:val="24"/>
          <w:lang w:eastAsia="lt-LT"/>
        </w:rPr>
      </w:pPr>
      <w:r>
        <w:rPr>
          <w:noProof/>
          <w:lang w:eastAsia="lt-LT"/>
        </w:rPr>
        <w:drawing>
          <wp:inline distT="0" distB="0" distL="0" distR="0" wp14:anchorId="19D3514F" wp14:editId="5AE30F27">
            <wp:extent cx="6124575" cy="552450"/>
            <wp:effectExtent l="0" t="0" r="9525" b="19050"/>
            <wp:docPr id="402" name="Diagrama 4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04420" w:rsidRPr="001225F4" w:rsidRDefault="00C04420" w:rsidP="00AC3A0A">
      <w:pPr>
        <w:jc w:val="both"/>
        <w:rPr>
          <w:color w:val="595959" w:themeColor="text1" w:themeTint="A6"/>
          <w:szCs w:val="24"/>
          <w:lang w:eastAsia="lt-LT"/>
        </w:rPr>
      </w:pPr>
    </w:p>
    <w:p w:rsidR="006D45C6" w:rsidRPr="00761A25" w:rsidRDefault="001225F4" w:rsidP="0022022E">
      <w:pPr>
        <w:ind w:firstLine="426"/>
        <w:jc w:val="both"/>
        <w:rPr>
          <w:color w:val="595959" w:themeColor="text1" w:themeTint="A6"/>
          <w:lang w:eastAsia="lt-LT"/>
        </w:rPr>
      </w:pPr>
      <w:r w:rsidRPr="00761A25">
        <w:rPr>
          <w:color w:val="595959" w:themeColor="text1" w:themeTint="A6"/>
          <w:lang w:eastAsia="lt-LT"/>
        </w:rPr>
        <w:t>Vidaus reikalų ministerija 4 prioritete administruoja</w:t>
      </w:r>
      <w:r w:rsidR="001C7DDA" w:rsidRPr="00761A25">
        <w:rPr>
          <w:color w:val="595959" w:themeColor="text1" w:themeTint="A6"/>
          <w:lang w:eastAsia="lt-LT"/>
        </w:rPr>
        <w:t xml:space="preserve"> </w:t>
      </w:r>
      <w:r w:rsidRPr="00761A25">
        <w:rPr>
          <w:color w:val="595959" w:themeColor="text1" w:themeTint="A6"/>
          <w:lang w:eastAsia="lt-LT"/>
        </w:rPr>
        <w:t>prie</w:t>
      </w:r>
      <w:r w:rsidR="00C04420" w:rsidRPr="00761A25">
        <w:rPr>
          <w:color w:val="595959" w:themeColor="text1" w:themeTint="A6"/>
          <w:lang w:eastAsia="lt-LT"/>
        </w:rPr>
        <w:t xml:space="preserve">monę „Funkcinių zonų vystymas“, įgyvendinant kurią </w:t>
      </w:r>
      <w:r w:rsidR="00793797" w:rsidRPr="00761A25">
        <w:rPr>
          <w:color w:val="595959" w:themeColor="text1" w:themeTint="A6"/>
          <w:lang w:eastAsia="lt-LT"/>
        </w:rPr>
        <w:t xml:space="preserve">sutartys sudarytos </w:t>
      </w:r>
      <w:r w:rsidR="0066390D" w:rsidRPr="00761A25">
        <w:rPr>
          <w:color w:val="595959" w:themeColor="text1" w:themeTint="A6"/>
          <w:lang w:eastAsia="lt-LT"/>
        </w:rPr>
        <w:t>metų pabaigoje</w:t>
      </w:r>
      <w:r w:rsidR="00C04420" w:rsidRPr="00761A25">
        <w:rPr>
          <w:color w:val="595959" w:themeColor="text1" w:themeTint="A6"/>
          <w:lang w:eastAsia="lt-LT"/>
        </w:rPr>
        <w:t>, t</w:t>
      </w:r>
      <w:r w:rsidR="0066390D" w:rsidRPr="00761A25">
        <w:rPr>
          <w:color w:val="595959" w:themeColor="text1" w:themeTint="A6"/>
          <w:lang w:eastAsia="lt-LT"/>
        </w:rPr>
        <w:t>odėl</w:t>
      </w:r>
      <w:r w:rsidR="00C04420" w:rsidRPr="00761A25">
        <w:rPr>
          <w:color w:val="595959" w:themeColor="text1" w:themeTint="A6"/>
          <w:lang w:eastAsia="lt-LT"/>
        </w:rPr>
        <w:t xml:space="preserve"> </w:t>
      </w:r>
      <w:r w:rsidR="0066390D" w:rsidRPr="00761A25">
        <w:rPr>
          <w:color w:val="595959" w:themeColor="text1" w:themeTint="A6"/>
          <w:lang w:eastAsia="lt-LT"/>
        </w:rPr>
        <w:t xml:space="preserve">išmokėjimai </w:t>
      </w:r>
      <w:r w:rsidR="00C04420" w:rsidRPr="00761A25">
        <w:rPr>
          <w:color w:val="595959" w:themeColor="text1" w:themeTint="A6"/>
          <w:lang w:eastAsia="lt-LT"/>
        </w:rPr>
        <w:t>dar nepradėt</w:t>
      </w:r>
      <w:r w:rsidR="00793797" w:rsidRPr="00761A25">
        <w:rPr>
          <w:color w:val="595959" w:themeColor="text1" w:themeTint="A6"/>
          <w:lang w:eastAsia="lt-LT"/>
        </w:rPr>
        <w:t>i</w:t>
      </w:r>
      <w:r w:rsidR="00C04420" w:rsidRPr="00761A25">
        <w:rPr>
          <w:color w:val="595959" w:themeColor="text1" w:themeTint="A6"/>
          <w:lang w:eastAsia="lt-LT"/>
        </w:rPr>
        <w:t>.</w:t>
      </w:r>
    </w:p>
    <w:p w:rsidR="002510B1" w:rsidRPr="00761A25" w:rsidRDefault="002510B1" w:rsidP="001B7C0F">
      <w:pPr>
        <w:pStyle w:val="tekstas"/>
        <w:rPr>
          <w:rFonts w:ascii="Times New Roman" w:hAnsi="Times New Roman"/>
          <w:color w:val="595959" w:themeColor="text1" w:themeTint="A6"/>
          <w:szCs w:val="20"/>
          <w:lang w:eastAsia="lt-LT"/>
        </w:rPr>
      </w:pPr>
    </w:p>
    <w:p w:rsidR="001B7C0F" w:rsidRPr="00761A25" w:rsidRDefault="001B7C0F" w:rsidP="001B7C0F">
      <w:pPr>
        <w:pStyle w:val="tekstas"/>
        <w:rPr>
          <w:rFonts w:ascii="Times New Roman" w:hAnsi="Times New Roman"/>
          <w:color w:val="595959" w:themeColor="text1" w:themeTint="A6"/>
          <w:szCs w:val="20"/>
          <w:lang w:eastAsia="lt-LT"/>
        </w:rPr>
      </w:pPr>
      <w:r w:rsidRPr="00761A25">
        <w:rPr>
          <w:rFonts w:ascii="Times New Roman" w:hAnsi="Times New Roman"/>
          <w:color w:val="595959" w:themeColor="text1" w:themeTint="A6"/>
          <w:szCs w:val="20"/>
          <w:lang w:eastAsia="lt-LT"/>
        </w:rPr>
        <w:t xml:space="preserve">Bendrai prioriteto lygmeniu </w:t>
      </w:r>
      <w:r w:rsidR="00E93C4B" w:rsidRPr="00761A25">
        <w:rPr>
          <w:rFonts w:ascii="Times New Roman" w:hAnsi="Times New Roman"/>
          <w:color w:val="595959" w:themeColor="text1" w:themeTint="A6"/>
          <w:szCs w:val="20"/>
          <w:lang w:eastAsia="lt-LT"/>
        </w:rPr>
        <w:t xml:space="preserve">iki 2020 m. pabaigos </w:t>
      </w:r>
      <w:r w:rsidRPr="00761A25">
        <w:rPr>
          <w:rFonts w:ascii="Times New Roman" w:hAnsi="Times New Roman"/>
          <w:color w:val="595959" w:themeColor="text1" w:themeTint="A6"/>
          <w:szCs w:val="20"/>
          <w:lang w:eastAsia="lt-LT"/>
        </w:rPr>
        <w:t>reikšmingi šių rodiklių pasiekimai:</w:t>
      </w:r>
    </w:p>
    <w:p w:rsidR="00E93C4B" w:rsidRDefault="00E93C4B" w:rsidP="001B7C0F">
      <w:pPr>
        <w:ind w:firstLine="426"/>
        <w:jc w:val="both"/>
        <w:rPr>
          <w:color w:val="595959" w:themeColor="text1" w:themeTint="A6"/>
          <w:lang w:eastAsia="lt-LT"/>
        </w:rPr>
      </w:pPr>
      <w:r>
        <w:rPr>
          <w:color w:val="595959" w:themeColor="text1" w:themeTint="A6"/>
          <w:lang w:eastAsia="lt-LT"/>
        </w:rPr>
        <w:t xml:space="preserve">- </w:t>
      </w:r>
      <w:r w:rsidR="001B7C0F">
        <w:rPr>
          <w:color w:val="595959" w:themeColor="text1" w:themeTint="A6"/>
          <w:lang w:eastAsia="lt-LT"/>
        </w:rPr>
        <w:t>38,5 tūkstančių namų ūkių buvo priskirti</w:t>
      </w:r>
      <w:r w:rsidR="001B7C0F" w:rsidRPr="00EA6481">
        <w:rPr>
          <w:color w:val="595959" w:themeColor="text1" w:themeTint="A6"/>
          <w:lang w:eastAsia="lt-LT"/>
        </w:rPr>
        <w:t xml:space="preserve"> geresnei energijos vartojimo efektyvumo klasei</w:t>
      </w:r>
      <w:r w:rsidR="001B7C0F">
        <w:rPr>
          <w:color w:val="595959" w:themeColor="text1" w:themeTint="A6"/>
          <w:lang w:eastAsia="lt-LT"/>
        </w:rPr>
        <w:t xml:space="preserve"> (</w:t>
      </w:r>
      <w:r>
        <w:rPr>
          <w:color w:val="595959" w:themeColor="text1" w:themeTint="A6"/>
          <w:lang w:eastAsia="lt-LT"/>
        </w:rPr>
        <w:t>planuota</w:t>
      </w:r>
      <w:r w:rsidR="001B7C0F">
        <w:rPr>
          <w:color w:val="595959" w:themeColor="text1" w:themeTint="A6"/>
          <w:lang w:eastAsia="lt-LT"/>
        </w:rPr>
        <w:t xml:space="preserve"> </w:t>
      </w:r>
      <w:r w:rsidR="001B7C0F" w:rsidRPr="00761A25">
        <w:rPr>
          <w:color w:val="595959" w:themeColor="text1" w:themeTint="A6"/>
          <w:lang w:eastAsia="lt-LT"/>
        </w:rPr>
        <w:t xml:space="preserve">30 </w:t>
      </w:r>
      <w:r w:rsidR="001B7C0F">
        <w:rPr>
          <w:color w:val="595959" w:themeColor="text1" w:themeTint="A6"/>
          <w:lang w:eastAsia="lt-LT"/>
        </w:rPr>
        <w:t xml:space="preserve">tūkstančių). </w:t>
      </w:r>
    </w:p>
    <w:p w:rsidR="001B7C0F" w:rsidRPr="00761A25" w:rsidRDefault="00E93C4B" w:rsidP="001B7C0F">
      <w:pPr>
        <w:ind w:firstLine="426"/>
        <w:jc w:val="both"/>
        <w:rPr>
          <w:color w:val="595959" w:themeColor="text1" w:themeTint="A6"/>
          <w:lang w:eastAsia="lt-LT"/>
        </w:rPr>
      </w:pPr>
      <w:r>
        <w:rPr>
          <w:color w:val="595959" w:themeColor="text1" w:themeTint="A6"/>
          <w:lang w:eastAsia="lt-LT"/>
        </w:rPr>
        <w:t xml:space="preserve">- </w:t>
      </w:r>
      <w:r w:rsidR="001B7C0F" w:rsidRPr="00761A25">
        <w:rPr>
          <w:color w:val="595959" w:themeColor="text1" w:themeTint="A6"/>
          <w:lang w:eastAsia="lt-LT"/>
        </w:rPr>
        <w:t xml:space="preserve">Iš 70 km. suplanuotų - įrengta naujų arba rekonstruota 49 km dviračių ar pėsčiųjų takų. Taip pat </w:t>
      </w:r>
      <w:r w:rsidR="001B7C0F">
        <w:rPr>
          <w:color w:val="595959" w:themeColor="text1" w:themeTint="A6"/>
          <w:lang w:eastAsia="lt-LT"/>
        </w:rPr>
        <w:t>į</w:t>
      </w:r>
      <w:r w:rsidR="001B7C0F" w:rsidRPr="00761A25">
        <w:rPr>
          <w:color w:val="595959" w:themeColor="text1" w:themeTint="A6"/>
          <w:lang w:eastAsia="lt-LT"/>
        </w:rPr>
        <w:t>sigytos 141 naujos ekologiškos viešojo transporto priemonės (</w:t>
      </w:r>
      <w:r w:rsidR="001B7C0F">
        <w:rPr>
          <w:color w:val="595959" w:themeColor="text1" w:themeTint="A6"/>
          <w:lang w:eastAsia="lt-LT"/>
        </w:rPr>
        <w:t>planuot</w:t>
      </w:r>
      <w:r w:rsidR="002510B1">
        <w:rPr>
          <w:color w:val="595959" w:themeColor="text1" w:themeTint="A6"/>
          <w:lang w:eastAsia="lt-LT"/>
        </w:rPr>
        <w:t>a įsigyti</w:t>
      </w:r>
      <w:r w:rsidR="001B7C0F" w:rsidRPr="00761A25">
        <w:rPr>
          <w:color w:val="595959" w:themeColor="text1" w:themeTint="A6"/>
          <w:lang w:eastAsia="lt-LT"/>
        </w:rPr>
        <w:t xml:space="preserve"> 120).</w:t>
      </w:r>
    </w:p>
    <w:p w:rsidR="00FE440C" w:rsidRDefault="00FE440C" w:rsidP="0034618A">
      <w:pPr>
        <w:ind w:firstLine="426"/>
        <w:jc w:val="both"/>
        <w:rPr>
          <w:color w:val="595959" w:themeColor="text1" w:themeTint="A6"/>
          <w:lang w:eastAsia="lt-LT"/>
        </w:rPr>
      </w:pPr>
    </w:p>
    <w:p w:rsidR="007475E3" w:rsidRDefault="000305AE" w:rsidP="006C386F">
      <w:pPr>
        <w:keepNext/>
        <w:keepLines/>
        <w:jc w:val="both"/>
        <w:outlineLvl w:val="1"/>
        <w:rPr>
          <w:rFonts w:eastAsiaTheme="majorEastAsia"/>
          <w:b/>
          <w:bCs/>
          <w:color w:val="595959" w:themeColor="text1" w:themeTint="A6"/>
          <w:szCs w:val="24"/>
          <w:lang w:eastAsia="lt-LT"/>
        </w:rPr>
      </w:pPr>
      <w:bookmarkStart w:id="19" w:name="_Toc69114253"/>
      <w:r w:rsidRPr="00382B25">
        <w:rPr>
          <w:rFonts w:eastAsiaTheme="majorEastAsia"/>
          <w:b/>
          <w:bCs/>
          <w:color w:val="595959" w:themeColor="text1" w:themeTint="A6"/>
          <w:szCs w:val="24"/>
          <w:lang w:eastAsia="lt-LT"/>
        </w:rPr>
        <w:lastRenderedPageBreak/>
        <w:t>5 prioritetas. Aplinkosauga, gamtos išteklių darnus naudojimas ir prisitaikymas prie klimato kaitos</w:t>
      </w:r>
      <w:bookmarkEnd w:id="18"/>
      <w:bookmarkEnd w:id="19"/>
    </w:p>
    <w:p w:rsidR="00B3224A" w:rsidRDefault="00B3224A" w:rsidP="008510B0">
      <w:pPr>
        <w:pStyle w:val="tekstas"/>
        <w:ind w:firstLine="0"/>
        <w:rPr>
          <w:rFonts w:ascii="Times New Roman" w:hAnsi="Times New Roman"/>
          <w:color w:val="595959" w:themeColor="text1" w:themeTint="A6"/>
          <w:lang w:eastAsia="lt-LT"/>
        </w:rPr>
      </w:pPr>
      <w:bookmarkStart w:id="20" w:name="_Toc10104957"/>
    </w:p>
    <w:p w:rsidR="00C92FA0" w:rsidRDefault="0023485F" w:rsidP="008510B0">
      <w:pPr>
        <w:pStyle w:val="tekstas"/>
        <w:ind w:firstLine="0"/>
        <w:rPr>
          <w:rFonts w:ascii="Times New Roman" w:hAnsi="Times New Roman"/>
          <w:color w:val="595959" w:themeColor="text1" w:themeTint="A6"/>
          <w:lang w:eastAsia="lt-LT"/>
        </w:rPr>
      </w:pPr>
      <w:r>
        <w:rPr>
          <w:noProof/>
          <w:lang w:eastAsia="lt-LT"/>
        </w:rPr>
        <w:drawing>
          <wp:inline distT="0" distB="0" distL="0" distR="0" wp14:anchorId="0E50880A" wp14:editId="376AF072">
            <wp:extent cx="6120130" cy="971300"/>
            <wp:effectExtent l="0" t="0" r="13970" b="19685"/>
            <wp:docPr id="400" name="Diagrama 40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92FA0" w:rsidRDefault="00C92FA0" w:rsidP="008510B0">
      <w:pPr>
        <w:pStyle w:val="tekstas"/>
        <w:ind w:firstLine="0"/>
        <w:rPr>
          <w:rFonts w:ascii="Times New Roman" w:hAnsi="Times New Roman"/>
          <w:color w:val="595959" w:themeColor="text1" w:themeTint="A6"/>
          <w:lang w:eastAsia="lt-LT"/>
        </w:rPr>
      </w:pPr>
    </w:p>
    <w:p w:rsidR="002D507D" w:rsidRDefault="00E82945" w:rsidP="009D4A8F">
      <w:pPr>
        <w:ind w:firstLine="426"/>
        <w:jc w:val="both"/>
        <w:rPr>
          <w:color w:val="595959" w:themeColor="text1" w:themeTint="A6"/>
          <w:szCs w:val="24"/>
          <w:lang w:eastAsia="lt-LT"/>
        </w:rPr>
      </w:pPr>
      <w:r>
        <w:rPr>
          <w:color w:val="595959" w:themeColor="text1" w:themeTint="A6"/>
          <w:szCs w:val="24"/>
          <w:lang w:eastAsia="lt-LT"/>
        </w:rPr>
        <w:t>Aplinkos</w:t>
      </w:r>
      <w:r w:rsidRPr="007720BF">
        <w:rPr>
          <w:color w:val="595959" w:themeColor="text1" w:themeTint="A6"/>
          <w:szCs w:val="24"/>
          <w:lang w:eastAsia="lt-LT"/>
        </w:rPr>
        <w:t xml:space="preserve"> ministerijos administruojamų </w:t>
      </w:r>
      <w:r>
        <w:rPr>
          <w:color w:val="595959" w:themeColor="text1" w:themeTint="A6"/>
          <w:szCs w:val="24"/>
          <w:lang w:eastAsia="lt-LT"/>
        </w:rPr>
        <w:t>5</w:t>
      </w:r>
      <w:r w:rsidRPr="007720BF">
        <w:rPr>
          <w:color w:val="595959" w:themeColor="text1" w:themeTint="A6"/>
          <w:szCs w:val="24"/>
          <w:lang w:eastAsia="lt-LT"/>
        </w:rPr>
        <w:t xml:space="preserve"> prioriteto </w:t>
      </w:r>
      <w:r w:rsidR="009D4A8F" w:rsidRPr="009D4A8F">
        <w:rPr>
          <w:color w:val="595959" w:themeColor="text1" w:themeTint="A6"/>
          <w:szCs w:val="24"/>
          <w:lang w:eastAsia="lt-LT"/>
        </w:rPr>
        <w:t>priemonių</w:t>
      </w:r>
      <w:r w:rsidR="009D4A8F">
        <w:rPr>
          <w:color w:val="595959" w:themeColor="text1" w:themeTint="A6"/>
          <w:szCs w:val="24"/>
          <w:lang w:eastAsia="lt-LT"/>
        </w:rPr>
        <w:t xml:space="preserve"> pasirašytos beveik visos sutartys</w:t>
      </w:r>
      <w:r w:rsidR="00E93C4B">
        <w:rPr>
          <w:color w:val="595959" w:themeColor="text1" w:themeTint="A6"/>
          <w:szCs w:val="24"/>
          <w:lang w:eastAsia="lt-LT"/>
        </w:rPr>
        <w:t xml:space="preserve"> (išskyrus suderintus sutarčių pasirašymo atidėjimo atvejus).</w:t>
      </w:r>
      <w:r w:rsidR="00E80853">
        <w:rPr>
          <w:color w:val="595959" w:themeColor="text1" w:themeTint="A6"/>
          <w:szCs w:val="24"/>
          <w:lang w:eastAsia="lt-LT"/>
        </w:rPr>
        <w:t xml:space="preserve"> </w:t>
      </w:r>
      <w:proofErr w:type="spellStart"/>
      <w:r w:rsidR="00E80853">
        <w:rPr>
          <w:color w:val="595959" w:themeColor="text1" w:themeTint="A6"/>
          <w:szCs w:val="24"/>
          <w:lang w:eastAsia="lt-LT"/>
        </w:rPr>
        <w:t>SaF</w:t>
      </w:r>
      <w:proofErr w:type="spellEnd"/>
      <w:r w:rsidR="009D4A8F">
        <w:rPr>
          <w:color w:val="595959" w:themeColor="text1" w:themeTint="A6"/>
          <w:szCs w:val="24"/>
          <w:lang w:eastAsia="lt-LT"/>
        </w:rPr>
        <w:t xml:space="preserve"> lėšų investavimas atitinka Veiksmų programos vidurkį. </w:t>
      </w:r>
      <w:r w:rsidR="00E80853">
        <w:rPr>
          <w:color w:val="595959" w:themeColor="text1" w:themeTint="A6"/>
          <w:szCs w:val="24"/>
          <w:lang w:eastAsia="lt-LT"/>
        </w:rPr>
        <w:t>ERPF lėšų</w:t>
      </w:r>
      <w:r w:rsidR="002D507D">
        <w:rPr>
          <w:color w:val="595959" w:themeColor="text1" w:themeTint="A6"/>
          <w:szCs w:val="24"/>
          <w:lang w:eastAsia="lt-LT"/>
        </w:rPr>
        <w:t xml:space="preserve"> </w:t>
      </w:r>
      <w:r w:rsidR="00E80853">
        <w:rPr>
          <w:color w:val="595959" w:themeColor="text1" w:themeTint="A6"/>
          <w:szCs w:val="24"/>
          <w:lang w:eastAsia="lt-LT"/>
        </w:rPr>
        <w:t>investavimas atsilieka -</w:t>
      </w:r>
      <w:r w:rsidR="00351ABC">
        <w:rPr>
          <w:color w:val="595959" w:themeColor="text1" w:themeTint="A6"/>
          <w:szCs w:val="24"/>
          <w:lang w:eastAsia="lt-LT"/>
        </w:rPr>
        <w:t xml:space="preserve"> investuota 5</w:t>
      </w:r>
      <w:r w:rsidR="0023485F">
        <w:rPr>
          <w:color w:val="595959" w:themeColor="text1" w:themeTint="A6"/>
          <w:szCs w:val="24"/>
          <w:lang w:eastAsia="lt-LT"/>
        </w:rPr>
        <w:t>3</w:t>
      </w:r>
      <w:r w:rsidR="00351ABC">
        <w:rPr>
          <w:color w:val="595959" w:themeColor="text1" w:themeTint="A6"/>
          <w:szCs w:val="24"/>
          <w:lang w:eastAsia="lt-LT"/>
        </w:rPr>
        <w:t xml:space="preserve"> proc. skirtų lėšų</w:t>
      </w:r>
      <w:r w:rsidR="009D4A8F">
        <w:rPr>
          <w:color w:val="595959" w:themeColor="text1" w:themeTint="A6"/>
          <w:szCs w:val="24"/>
          <w:lang w:eastAsia="lt-LT"/>
        </w:rPr>
        <w:t xml:space="preserve">. </w:t>
      </w:r>
      <w:r w:rsidR="009D4A8F" w:rsidRPr="009D4A8F">
        <w:rPr>
          <w:color w:val="595959" w:themeColor="text1" w:themeTint="A6"/>
          <w:szCs w:val="24"/>
          <w:lang w:eastAsia="lt-LT"/>
        </w:rPr>
        <w:t>Taip pat šiame priorit</w:t>
      </w:r>
      <w:r w:rsidR="009D4A8F">
        <w:rPr>
          <w:color w:val="595959" w:themeColor="text1" w:themeTint="A6"/>
          <w:szCs w:val="24"/>
          <w:lang w:eastAsia="lt-LT"/>
        </w:rPr>
        <w:t>ete ministerijai yra numatyta 0,7</w:t>
      </w:r>
      <w:r w:rsidR="009D4A8F" w:rsidRPr="009D4A8F">
        <w:rPr>
          <w:color w:val="595959" w:themeColor="text1" w:themeTint="A6"/>
          <w:szCs w:val="24"/>
          <w:lang w:eastAsia="lt-LT"/>
        </w:rPr>
        <w:t xml:space="preserve"> mln. eurų ERPF ir </w:t>
      </w:r>
      <w:r w:rsidR="009D4A8F">
        <w:rPr>
          <w:color w:val="595959" w:themeColor="text1" w:themeTint="A6"/>
          <w:szCs w:val="24"/>
          <w:lang w:eastAsia="lt-LT"/>
        </w:rPr>
        <w:t>12</w:t>
      </w:r>
      <w:r w:rsidR="009D4A8F" w:rsidRPr="009D4A8F">
        <w:rPr>
          <w:color w:val="595959" w:themeColor="text1" w:themeTint="A6"/>
          <w:szCs w:val="24"/>
          <w:lang w:eastAsia="lt-LT"/>
        </w:rPr>
        <w:t xml:space="preserve"> mln. eurų </w:t>
      </w:r>
      <w:proofErr w:type="spellStart"/>
      <w:r w:rsidR="009D4A8F" w:rsidRPr="009D4A8F">
        <w:rPr>
          <w:color w:val="595959" w:themeColor="text1" w:themeTint="A6"/>
          <w:szCs w:val="24"/>
          <w:lang w:eastAsia="lt-LT"/>
        </w:rPr>
        <w:t>SaF</w:t>
      </w:r>
      <w:proofErr w:type="spellEnd"/>
      <w:r w:rsidR="009D4A8F" w:rsidRPr="009D4A8F">
        <w:rPr>
          <w:color w:val="595959" w:themeColor="text1" w:themeTint="A6"/>
          <w:szCs w:val="24"/>
          <w:lang w:eastAsia="lt-LT"/>
        </w:rPr>
        <w:t xml:space="preserve"> lėšų </w:t>
      </w:r>
      <w:proofErr w:type="spellStart"/>
      <w:r w:rsidR="009D4A8F" w:rsidRPr="009D4A8F">
        <w:rPr>
          <w:color w:val="595959" w:themeColor="text1" w:themeTint="A6"/>
          <w:szCs w:val="24"/>
          <w:lang w:eastAsia="lt-LT"/>
        </w:rPr>
        <w:t>virškontraktavimo</w:t>
      </w:r>
      <w:proofErr w:type="spellEnd"/>
      <w:r w:rsidR="009D4A8F" w:rsidRPr="009D4A8F">
        <w:rPr>
          <w:color w:val="595959" w:themeColor="text1" w:themeTint="A6"/>
          <w:szCs w:val="24"/>
          <w:lang w:eastAsia="lt-LT"/>
        </w:rPr>
        <w:t xml:space="preserve"> galimybė</w:t>
      </w:r>
      <w:r w:rsidR="009D4A8F">
        <w:rPr>
          <w:color w:val="595959" w:themeColor="text1" w:themeTint="A6"/>
          <w:szCs w:val="24"/>
          <w:lang w:eastAsia="lt-LT"/>
        </w:rPr>
        <w:t>.</w:t>
      </w:r>
    </w:p>
    <w:p w:rsidR="005E6C5C" w:rsidRDefault="005E6C5C" w:rsidP="00351ABC">
      <w:pPr>
        <w:ind w:firstLine="426"/>
        <w:jc w:val="both"/>
        <w:rPr>
          <w:color w:val="595959" w:themeColor="text1" w:themeTint="A6"/>
          <w:szCs w:val="24"/>
          <w:lang w:eastAsia="lt-LT"/>
        </w:rPr>
      </w:pPr>
      <w:r>
        <w:rPr>
          <w:color w:val="595959" w:themeColor="text1" w:themeTint="A6"/>
          <w:szCs w:val="24"/>
          <w:lang w:eastAsia="lt-LT"/>
        </w:rPr>
        <w:t>Aplinkos ministerijos investicijos didžiąja dalimi susijusios su direktyvų įgyvendinimu, ir nors ES lėšos šioje srityje investuojamos ne pirmą finansavimo laikotarpį, iššūkiai nuotekų valymo, vandens telkinių būklės gerinimo, buveinių išsaugojimo srityse išlieka gana</w:t>
      </w:r>
      <w:r w:rsidR="00390A67">
        <w:rPr>
          <w:color w:val="595959" w:themeColor="text1" w:themeTint="A6"/>
          <w:szCs w:val="24"/>
          <w:lang w:eastAsia="lt-LT"/>
        </w:rPr>
        <w:t xml:space="preserve"> dideli.</w:t>
      </w:r>
    </w:p>
    <w:p w:rsidR="00351ABC" w:rsidRPr="00351ABC" w:rsidRDefault="00351ABC" w:rsidP="00926D77">
      <w:pPr>
        <w:ind w:firstLine="426"/>
        <w:jc w:val="both"/>
        <w:rPr>
          <w:color w:val="595959" w:themeColor="text1" w:themeTint="A6"/>
          <w:szCs w:val="24"/>
          <w:lang w:eastAsia="lt-LT"/>
        </w:rPr>
      </w:pPr>
      <w:r w:rsidRPr="00351ABC">
        <w:rPr>
          <w:color w:val="595959" w:themeColor="text1" w:themeTint="A6"/>
          <w:szCs w:val="24"/>
          <w:lang w:eastAsia="lt-LT"/>
        </w:rPr>
        <w:t xml:space="preserve">Aplinkos ministerija </w:t>
      </w:r>
      <w:proofErr w:type="spellStart"/>
      <w:r w:rsidRPr="00351ABC">
        <w:rPr>
          <w:color w:val="595959" w:themeColor="text1" w:themeTint="A6"/>
          <w:szCs w:val="24"/>
          <w:lang w:eastAsia="lt-LT"/>
        </w:rPr>
        <w:t>SaF</w:t>
      </w:r>
      <w:proofErr w:type="spellEnd"/>
      <w:r w:rsidRPr="00351ABC">
        <w:rPr>
          <w:color w:val="595959" w:themeColor="text1" w:themeTint="A6"/>
          <w:szCs w:val="24"/>
          <w:lang w:eastAsia="lt-LT"/>
        </w:rPr>
        <w:t xml:space="preserve"> lėšomis finansuoja komunalinių atliekų tvarkymo infrastruktūros plėtrą, geriamojo vandens tiekimo ir nuotekų tvarkymo ūkio gerinimą ir plėtrą, kraštovaizdžio bei biologinės įvairovės apsaugą, vandens telkinių būklės gerinimą bei vandens išteklių apsaugą, pajūrio juostos apsaugos ir potvynių rizikos valdymą bei prevencinių priemonių įgyvendinimą, paviršinių (lietaus) nuotekų tvarkymo infrastruktūros plėtrą ir renovaciją.</w:t>
      </w:r>
      <w:r w:rsidR="0023485F">
        <w:rPr>
          <w:color w:val="595959" w:themeColor="text1" w:themeTint="A6"/>
          <w:szCs w:val="24"/>
          <w:lang w:eastAsia="lt-LT"/>
        </w:rPr>
        <w:t xml:space="preserve"> </w:t>
      </w:r>
      <w:r w:rsidRPr="00351ABC">
        <w:rPr>
          <w:color w:val="595959" w:themeColor="text1" w:themeTint="A6"/>
          <w:szCs w:val="24"/>
          <w:lang w:eastAsia="lt-LT"/>
        </w:rPr>
        <w:t xml:space="preserve">ERPF lėšomis </w:t>
      </w:r>
      <w:r>
        <w:rPr>
          <w:color w:val="595959" w:themeColor="text1" w:themeTint="A6"/>
          <w:szCs w:val="24"/>
          <w:lang w:eastAsia="lt-LT"/>
        </w:rPr>
        <w:t xml:space="preserve">yra </w:t>
      </w:r>
      <w:r w:rsidRPr="00351ABC">
        <w:rPr>
          <w:color w:val="595959" w:themeColor="text1" w:themeTint="A6"/>
          <w:szCs w:val="24"/>
          <w:lang w:eastAsia="lt-LT"/>
        </w:rPr>
        <w:t>finansuoja</w:t>
      </w:r>
      <w:r>
        <w:rPr>
          <w:color w:val="595959" w:themeColor="text1" w:themeTint="A6"/>
          <w:szCs w:val="24"/>
          <w:lang w:eastAsia="lt-LT"/>
        </w:rPr>
        <w:t>mas</w:t>
      </w:r>
      <w:r w:rsidRPr="00351ABC">
        <w:rPr>
          <w:color w:val="595959" w:themeColor="text1" w:themeTint="A6"/>
          <w:szCs w:val="24"/>
          <w:lang w:eastAsia="lt-LT"/>
        </w:rPr>
        <w:t xml:space="preserve"> saugomų teritorijų ir valstybinės reikšmės parkų </w:t>
      </w:r>
      <w:r>
        <w:rPr>
          <w:color w:val="595959" w:themeColor="text1" w:themeTint="A6"/>
          <w:szCs w:val="24"/>
          <w:lang w:eastAsia="lt-LT"/>
        </w:rPr>
        <w:t>bei rekreacinių objektų tvarkymas, pritaikymas</w:t>
      </w:r>
      <w:r w:rsidRPr="00351ABC">
        <w:rPr>
          <w:color w:val="595959" w:themeColor="text1" w:themeTint="A6"/>
          <w:szCs w:val="24"/>
          <w:lang w:eastAsia="lt-LT"/>
        </w:rPr>
        <w:t xml:space="preserve"> lankymui.</w:t>
      </w:r>
    </w:p>
    <w:p w:rsidR="00351ABC" w:rsidRPr="00837FA2" w:rsidRDefault="00351ABC" w:rsidP="00837FA2">
      <w:pPr>
        <w:ind w:firstLine="426"/>
        <w:jc w:val="both"/>
        <w:rPr>
          <w:color w:val="595959" w:themeColor="text1" w:themeTint="A6"/>
          <w:lang w:eastAsia="lt-LT"/>
        </w:rPr>
      </w:pPr>
      <w:r w:rsidRPr="00351ABC">
        <w:rPr>
          <w:color w:val="595959" w:themeColor="text1" w:themeTint="A6"/>
          <w:szCs w:val="24"/>
          <w:lang w:eastAsia="lt-LT"/>
        </w:rPr>
        <w:t>Svarbiausia problemine sritimi šiame prioritete išlieka efektyvus ES lėšų investavimas šalinant galimą pažeidimą dėl nepakankamo gyventojų prijungimo prie cen</w:t>
      </w:r>
      <w:r>
        <w:rPr>
          <w:color w:val="595959" w:themeColor="text1" w:themeTint="A6"/>
          <w:szCs w:val="24"/>
          <w:lang w:eastAsia="lt-LT"/>
        </w:rPr>
        <w:t xml:space="preserve">tralizuotų nuotekų tinklų. 2021 m. </w:t>
      </w:r>
      <w:r w:rsidRPr="00351ABC">
        <w:rPr>
          <w:color w:val="595959" w:themeColor="text1" w:themeTint="A6"/>
          <w:szCs w:val="24"/>
          <w:lang w:eastAsia="lt-LT"/>
        </w:rPr>
        <w:t>sausio 1 d. paskelbtas naujas kvietimas, skirtas ištaisyti pažeidimą. Tačiau kvietimo lėšos (grąžinamoji subsidija ir paskola) nėra pakankamos prijungti reikiamą kiekį gyventojų</w:t>
      </w:r>
      <w:r w:rsidR="00837FA2">
        <w:rPr>
          <w:color w:val="595959" w:themeColor="text1" w:themeTint="A6"/>
          <w:szCs w:val="24"/>
          <w:lang w:eastAsia="lt-LT"/>
        </w:rPr>
        <w:t xml:space="preserve"> (trečiasis kvietimas patrauklesnėmis finansavimo sąlygomis susilaukė pareiškėjų susidomėjimo – g</w:t>
      </w:r>
      <w:r w:rsidR="00837FA2">
        <w:rPr>
          <w:color w:val="595959" w:themeColor="text1" w:themeTint="A6"/>
          <w:lang w:eastAsia="lt-LT"/>
        </w:rPr>
        <w:t xml:space="preserve">auta 16 paraiškų </w:t>
      </w:r>
      <w:r w:rsidR="00837FA2" w:rsidRPr="000B2E6D">
        <w:rPr>
          <w:color w:val="595959" w:themeColor="text1" w:themeTint="A6"/>
          <w:lang w:eastAsia="lt-LT"/>
        </w:rPr>
        <w:t>už 37 m</w:t>
      </w:r>
      <w:r w:rsidR="00837FA2">
        <w:rPr>
          <w:color w:val="595959" w:themeColor="text1" w:themeTint="A6"/>
          <w:lang w:eastAsia="lt-LT"/>
        </w:rPr>
        <w:t>ln</w:t>
      </w:r>
      <w:r w:rsidR="00837FA2" w:rsidRPr="000B2E6D">
        <w:rPr>
          <w:color w:val="595959" w:themeColor="text1" w:themeTint="A6"/>
          <w:lang w:eastAsia="lt-LT"/>
        </w:rPr>
        <w:t xml:space="preserve">. </w:t>
      </w:r>
      <w:r w:rsidR="0023485F">
        <w:rPr>
          <w:color w:val="595959" w:themeColor="text1" w:themeTint="A6"/>
          <w:lang w:eastAsia="lt-LT"/>
        </w:rPr>
        <w:t>eurų</w:t>
      </w:r>
      <w:r w:rsidR="00837FA2" w:rsidRPr="000B2E6D">
        <w:rPr>
          <w:color w:val="595959" w:themeColor="text1" w:themeTint="A6"/>
          <w:lang w:eastAsia="lt-LT"/>
        </w:rPr>
        <w:t xml:space="preserve"> (šiuo metu nustatytas apie 6 mln. </w:t>
      </w:r>
      <w:r w:rsidR="0023485F">
        <w:rPr>
          <w:color w:val="595959" w:themeColor="text1" w:themeTint="A6"/>
          <w:lang w:eastAsia="lt-LT"/>
        </w:rPr>
        <w:t>eurų</w:t>
      </w:r>
      <w:r w:rsidR="00837FA2" w:rsidRPr="000B2E6D">
        <w:rPr>
          <w:color w:val="595959" w:themeColor="text1" w:themeTint="A6"/>
          <w:lang w:eastAsia="lt-LT"/>
        </w:rPr>
        <w:t xml:space="preserve"> lėšų trūkumas)</w:t>
      </w:r>
      <w:r w:rsidRPr="00351ABC">
        <w:rPr>
          <w:color w:val="595959" w:themeColor="text1" w:themeTint="A6"/>
          <w:szCs w:val="24"/>
          <w:lang w:eastAsia="lt-LT"/>
        </w:rPr>
        <w:t>. Aplinkos ministerija, atsižvelgdama į Finansų ministerijos</w:t>
      </w:r>
      <w:r w:rsidR="00904ABE">
        <w:rPr>
          <w:color w:val="595959" w:themeColor="text1" w:themeTint="A6"/>
          <w:szCs w:val="24"/>
          <w:lang w:eastAsia="lt-LT"/>
        </w:rPr>
        <w:t xml:space="preserve"> </w:t>
      </w:r>
      <w:r w:rsidR="00904ABE" w:rsidRPr="00351ABC">
        <w:rPr>
          <w:color w:val="595959" w:themeColor="text1" w:themeTint="A6"/>
          <w:szCs w:val="24"/>
          <w:lang w:eastAsia="lt-LT"/>
        </w:rPr>
        <w:t>praeitos ataskaitos rekomendaciją</w:t>
      </w:r>
      <w:r w:rsidR="00904ABE">
        <w:rPr>
          <w:color w:val="595959" w:themeColor="text1" w:themeTint="A6"/>
          <w:szCs w:val="24"/>
          <w:lang w:eastAsia="lt-LT"/>
        </w:rPr>
        <w:t xml:space="preserve"> ir</w:t>
      </w:r>
      <w:r w:rsidR="00904ABE" w:rsidRPr="00351ABC">
        <w:rPr>
          <w:color w:val="595959" w:themeColor="text1" w:themeTint="A6"/>
          <w:szCs w:val="24"/>
          <w:lang w:eastAsia="lt-LT"/>
        </w:rPr>
        <w:t xml:space="preserve"> </w:t>
      </w:r>
      <w:r w:rsidRPr="00351ABC">
        <w:rPr>
          <w:color w:val="595959" w:themeColor="text1" w:themeTint="A6"/>
          <w:szCs w:val="24"/>
          <w:lang w:eastAsia="lt-LT"/>
        </w:rPr>
        <w:t xml:space="preserve">raginimą visus lėšų likučius ir sutaupymus skirti nuotekų surinkimo tinklų kvietimui, informavo, kad galimas </w:t>
      </w:r>
      <w:r w:rsidR="002510B1">
        <w:rPr>
          <w:color w:val="595959" w:themeColor="text1" w:themeTint="A6"/>
          <w:szCs w:val="24"/>
          <w:lang w:eastAsia="lt-LT"/>
        </w:rPr>
        <w:t xml:space="preserve">papildomai šiam kvietimui skirti </w:t>
      </w:r>
      <w:r w:rsidRPr="00351ABC">
        <w:rPr>
          <w:color w:val="595959" w:themeColor="text1" w:themeTint="A6"/>
          <w:szCs w:val="24"/>
          <w:lang w:eastAsia="lt-LT"/>
        </w:rPr>
        <w:t>lėšų likutis yra 1,39 mln. eurų. Tačiau iš pateiktų prašymų pratęsti sutarčių sudarymo termin</w:t>
      </w:r>
      <w:r w:rsidR="002510B1">
        <w:rPr>
          <w:color w:val="595959" w:themeColor="text1" w:themeTint="A6"/>
          <w:szCs w:val="24"/>
          <w:lang w:eastAsia="lt-LT"/>
        </w:rPr>
        <w:t>us</w:t>
      </w:r>
      <w:r w:rsidRPr="00351ABC">
        <w:rPr>
          <w:color w:val="595959" w:themeColor="text1" w:themeTint="A6"/>
          <w:szCs w:val="24"/>
          <w:lang w:eastAsia="lt-LT"/>
        </w:rPr>
        <w:t xml:space="preserve"> matyti, kad papildomą finansavimą </w:t>
      </w:r>
      <w:proofErr w:type="spellStart"/>
      <w:r w:rsidRPr="00351ABC">
        <w:rPr>
          <w:color w:val="595959" w:themeColor="text1" w:themeTint="A6"/>
          <w:szCs w:val="24"/>
          <w:lang w:eastAsia="lt-LT"/>
        </w:rPr>
        <w:t>SaF</w:t>
      </w:r>
      <w:proofErr w:type="spellEnd"/>
      <w:r w:rsidRPr="00351ABC">
        <w:rPr>
          <w:color w:val="595959" w:themeColor="text1" w:themeTint="A6"/>
          <w:szCs w:val="24"/>
          <w:lang w:eastAsia="lt-LT"/>
        </w:rPr>
        <w:t xml:space="preserve"> lėšomis, kurių taip reikia pažeidimo ištaisymui, </w:t>
      </w:r>
      <w:r w:rsidR="002510B1">
        <w:rPr>
          <w:color w:val="595959" w:themeColor="text1" w:themeTint="A6"/>
          <w:szCs w:val="24"/>
          <w:lang w:eastAsia="lt-LT"/>
        </w:rPr>
        <w:t xml:space="preserve">Aplinkos ministerija </w:t>
      </w:r>
      <w:r w:rsidRPr="00351ABC">
        <w:rPr>
          <w:color w:val="595959" w:themeColor="text1" w:themeTint="A6"/>
          <w:szCs w:val="24"/>
          <w:lang w:eastAsia="lt-LT"/>
        </w:rPr>
        <w:t xml:space="preserve">planuoja skirti </w:t>
      </w:r>
      <w:r w:rsidR="002510B1">
        <w:rPr>
          <w:color w:val="595959" w:themeColor="text1" w:themeTint="A6"/>
          <w:szCs w:val="24"/>
          <w:lang w:eastAsia="lt-LT"/>
        </w:rPr>
        <w:t xml:space="preserve">kitos srities </w:t>
      </w:r>
      <w:r w:rsidRPr="00351ABC">
        <w:rPr>
          <w:color w:val="595959" w:themeColor="text1" w:themeTint="A6"/>
          <w:szCs w:val="24"/>
          <w:lang w:eastAsia="lt-LT"/>
        </w:rPr>
        <w:t xml:space="preserve">projektams. Todėl atsižvelgiant į lėšų trūkumą </w:t>
      </w:r>
      <w:r w:rsidR="002510B1">
        <w:rPr>
          <w:color w:val="595959" w:themeColor="text1" w:themeTint="A6"/>
          <w:szCs w:val="24"/>
          <w:lang w:eastAsia="lt-LT"/>
        </w:rPr>
        <w:t>n</w:t>
      </w:r>
      <w:r w:rsidRPr="00351ABC">
        <w:rPr>
          <w:color w:val="595959" w:themeColor="text1" w:themeTint="A6"/>
          <w:szCs w:val="24"/>
          <w:lang w:eastAsia="lt-LT"/>
        </w:rPr>
        <w:t>uotekų surinkimo tinklų plėtr</w:t>
      </w:r>
      <w:r w:rsidR="002510B1">
        <w:rPr>
          <w:color w:val="595959" w:themeColor="text1" w:themeTint="A6"/>
          <w:szCs w:val="24"/>
          <w:lang w:eastAsia="lt-LT"/>
        </w:rPr>
        <w:t xml:space="preserve">os investicijoms, kurios </w:t>
      </w:r>
      <w:r w:rsidRPr="00351ABC">
        <w:rPr>
          <w:color w:val="595959" w:themeColor="text1" w:themeTint="A6"/>
          <w:szCs w:val="24"/>
          <w:lang w:eastAsia="lt-LT"/>
        </w:rPr>
        <w:t xml:space="preserve">tiesiogiai finansuoja Direktyvos 91/271/EEB dėl miesto nuotekų valymo reikalavimų įvykdymą, Aplinkos ministerija turėtų sudaryti rezervinį projektų sąrašą ir jame esantiems projektams skirti visus atsirandančius </w:t>
      </w:r>
      <w:proofErr w:type="spellStart"/>
      <w:r w:rsidRPr="00351ABC">
        <w:rPr>
          <w:color w:val="595959" w:themeColor="text1" w:themeTint="A6"/>
          <w:szCs w:val="24"/>
          <w:lang w:eastAsia="lt-LT"/>
        </w:rPr>
        <w:t>SaF</w:t>
      </w:r>
      <w:proofErr w:type="spellEnd"/>
      <w:r w:rsidRPr="00351ABC">
        <w:rPr>
          <w:color w:val="595959" w:themeColor="text1" w:themeTint="A6"/>
          <w:szCs w:val="24"/>
          <w:lang w:eastAsia="lt-LT"/>
        </w:rPr>
        <w:t xml:space="preserve"> lėšų likučius.</w:t>
      </w:r>
    </w:p>
    <w:p w:rsidR="00661A1B" w:rsidRPr="00351ABC" w:rsidRDefault="005E6C5C" w:rsidP="00351ABC">
      <w:pPr>
        <w:ind w:firstLine="426"/>
        <w:jc w:val="both"/>
        <w:rPr>
          <w:color w:val="595959" w:themeColor="text1" w:themeTint="A6"/>
          <w:szCs w:val="24"/>
          <w:lang w:eastAsia="lt-LT"/>
        </w:rPr>
      </w:pPr>
      <w:r>
        <w:rPr>
          <w:color w:val="595959" w:themeColor="text1" w:themeTint="A6"/>
          <w:lang w:eastAsia="lt-LT"/>
        </w:rPr>
        <w:t xml:space="preserve">Pažymėtina, kad </w:t>
      </w:r>
      <w:r w:rsidR="00661A1B" w:rsidRPr="00F67703">
        <w:rPr>
          <w:color w:val="595959" w:themeColor="text1" w:themeTint="A6"/>
          <w:lang w:eastAsia="lt-LT"/>
        </w:rPr>
        <w:t>ES investicijų efektyvumą</w:t>
      </w:r>
      <w:r w:rsidR="00661A1B">
        <w:rPr>
          <w:color w:val="595959" w:themeColor="text1" w:themeTint="A6"/>
          <w:lang w:eastAsia="lt-LT"/>
        </w:rPr>
        <w:t xml:space="preserve"> </w:t>
      </w:r>
      <w:r w:rsidR="00661A1B" w:rsidRPr="00F67703">
        <w:rPr>
          <w:color w:val="595959" w:themeColor="text1" w:themeTint="A6"/>
          <w:lang w:eastAsia="lt-LT"/>
        </w:rPr>
        <w:t>mažina</w:t>
      </w:r>
      <w:r w:rsidR="00661A1B">
        <w:rPr>
          <w:color w:val="595959" w:themeColor="text1" w:themeTint="A6"/>
          <w:lang w:eastAsia="lt-LT"/>
        </w:rPr>
        <w:t xml:space="preserve"> n</w:t>
      </w:r>
      <w:r w:rsidR="00661A1B" w:rsidRPr="00F67703">
        <w:rPr>
          <w:color w:val="595959" w:themeColor="text1" w:themeTint="A6"/>
          <w:lang w:eastAsia="lt-LT"/>
        </w:rPr>
        <w:t>evykdomas vandentvarkos įmonių stambinimas. Nuo 2015 m. nustatyta, kad siekiant išlaikyti gerą geriamojo vandens tiekimo ir nuotekų tvarkymo paslaugų kokybę už priimtiną kainą ir nacionalinių bei ES reikalavimų įgyvendinimą, būtina vykdyti įmonių stambinimą.</w:t>
      </w:r>
    </w:p>
    <w:p w:rsidR="00351ABC" w:rsidRPr="00351ABC" w:rsidRDefault="00351ABC" w:rsidP="00351ABC">
      <w:pPr>
        <w:ind w:firstLine="426"/>
        <w:jc w:val="both"/>
        <w:rPr>
          <w:color w:val="595959" w:themeColor="text1" w:themeTint="A6"/>
          <w:szCs w:val="24"/>
          <w:lang w:eastAsia="lt-LT"/>
        </w:rPr>
      </w:pPr>
      <w:r>
        <w:rPr>
          <w:color w:val="595959" w:themeColor="text1" w:themeTint="A6"/>
          <w:szCs w:val="24"/>
          <w:lang w:eastAsia="lt-LT"/>
        </w:rPr>
        <w:t>Taip pat, r</w:t>
      </w:r>
      <w:r w:rsidRPr="00351ABC">
        <w:rPr>
          <w:color w:val="595959" w:themeColor="text1" w:themeTint="A6"/>
          <w:szCs w:val="24"/>
          <w:lang w:eastAsia="lt-LT"/>
        </w:rPr>
        <w:t>izikingas projektas, dėl kurio įgyvendinimo perspektyvų būtina priimti sprendimus, yra taršos incidentų Baltijos jūroje likvidavimo laivo įsigijimas už beveik 40 mln. eurų, užsitęsęs dėl vykstančių teismų.</w:t>
      </w:r>
      <w:r w:rsidR="005F4F85">
        <w:rPr>
          <w:color w:val="595959" w:themeColor="text1" w:themeTint="A6"/>
          <w:szCs w:val="24"/>
          <w:lang w:eastAsia="lt-LT"/>
        </w:rPr>
        <w:t xml:space="preserve"> Konkurso dalyvis kreipėsi į Vilniaus apygardos teismą (skundas atmestas) ir š. m. kovo 26 d. į Lietuvos apeliacinį </w:t>
      </w:r>
      <w:r w:rsidR="00651E87">
        <w:rPr>
          <w:color w:val="595959" w:themeColor="text1" w:themeTint="A6"/>
          <w:szCs w:val="24"/>
          <w:lang w:eastAsia="lt-LT"/>
        </w:rPr>
        <w:t>teismą</w:t>
      </w:r>
      <w:r w:rsidR="005F4F85">
        <w:rPr>
          <w:color w:val="595959" w:themeColor="text1" w:themeTint="A6"/>
          <w:szCs w:val="24"/>
          <w:lang w:eastAsia="lt-LT"/>
        </w:rPr>
        <w:t xml:space="preserve">, sprendimą </w:t>
      </w:r>
      <w:r w:rsidR="00A916F6">
        <w:rPr>
          <w:color w:val="595959" w:themeColor="text1" w:themeTint="A6"/>
          <w:szCs w:val="24"/>
          <w:lang w:eastAsia="lt-LT"/>
        </w:rPr>
        <w:t>tikimasi</w:t>
      </w:r>
      <w:r w:rsidR="0023485F">
        <w:rPr>
          <w:color w:val="595959" w:themeColor="text1" w:themeTint="A6"/>
          <w:szCs w:val="24"/>
          <w:lang w:eastAsia="lt-LT"/>
        </w:rPr>
        <w:t xml:space="preserve"> gauti iki gegužės 20 d.</w:t>
      </w:r>
      <w:r w:rsidRPr="00351ABC">
        <w:rPr>
          <w:color w:val="595959" w:themeColor="text1" w:themeTint="A6"/>
          <w:szCs w:val="24"/>
          <w:lang w:eastAsia="lt-LT"/>
        </w:rPr>
        <w:t xml:space="preserve"> Aplinkos ministerija kartu su APVA, atėjus šiam terminui, turi priimti sprendimą dėl p</w:t>
      </w:r>
      <w:r w:rsidR="007A019F">
        <w:rPr>
          <w:color w:val="595959" w:themeColor="text1" w:themeTint="A6"/>
          <w:szCs w:val="24"/>
          <w:lang w:eastAsia="lt-LT"/>
        </w:rPr>
        <w:t>rojekto įgyvendinimo galimybių.</w:t>
      </w:r>
    </w:p>
    <w:p w:rsidR="00351ABC" w:rsidRPr="00351ABC" w:rsidRDefault="007A019F" w:rsidP="007A019F">
      <w:pPr>
        <w:ind w:firstLine="426"/>
        <w:jc w:val="both"/>
        <w:rPr>
          <w:color w:val="595959" w:themeColor="text1" w:themeTint="A6"/>
          <w:szCs w:val="24"/>
          <w:lang w:eastAsia="lt-LT"/>
        </w:rPr>
      </w:pPr>
      <w:r>
        <w:rPr>
          <w:color w:val="595959" w:themeColor="text1" w:themeTint="A6"/>
          <w:szCs w:val="24"/>
          <w:lang w:eastAsia="lt-LT"/>
        </w:rPr>
        <w:t>Kitam</w:t>
      </w:r>
      <w:r w:rsidR="00351ABC" w:rsidRPr="00351ABC">
        <w:rPr>
          <w:color w:val="595959" w:themeColor="text1" w:themeTint="A6"/>
          <w:szCs w:val="24"/>
          <w:lang w:eastAsia="lt-LT"/>
        </w:rPr>
        <w:t xml:space="preserve"> didelės rizikos Lietuvos zoologijos sodo rekonstrukcijos projektui sudarytas rizikos valdymo veiksmų planas. Šiuo metu vykdomi techninio projekto koregavimo darbai, paskirtas </w:t>
      </w:r>
      <w:r w:rsidR="00351ABC" w:rsidRPr="00351ABC">
        <w:rPr>
          <w:color w:val="595959" w:themeColor="text1" w:themeTint="A6"/>
          <w:szCs w:val="24"/>
          <w:lang w:eastAsia="lt-LT"/>
        </w:rPr>
        <w:lastRenderedPageBreak/>
        <w:t>techninis prižiūrėtojas.</w:t>
      </w:r>
      <w:r w:rsidR="00574CE2">
        <w:rPr>
          <w:color w:val="595959" w:themeColor="text1" w:themeTint="A6"/>
          <w:szCs w:val="24"/>
          <w:lang w:eastAsia="lt-LT"/>
        </w:rPr>
        <w:t xml:space="preserve"> Viešasis pirkimas darbams planuojamas paskelbti š.m. balandžio </w:t>
      </w:r>
      <w:r w:rsidR="006C0E3F">
        <w:rPr>
          <w:color w:val="595959" w:themeColor="text1" w:themeTint="A6"/>
          <w:szCs w:val="24"/>
          <w:lang w:eastAsia="lt-LT"/>
        </w:rPr>
        <w:t xml:space="preserve">mėn. </w:t>
      </w:r>
      <w:r w:rsidR="00574CE2">
        <w:rPr>
          <w:color w:val="595959" w:themeColor="text1" w:themeTint="A6"/>
          <w:szCs w:val="24"/>
          <w:lang w:eastAsia="lt-LT"/>
        </w:rPr>
        <w:t xml:space="preserve">(dėl didelio dalyvių skaičiaus ir gautų skundų konkurso procedūros buvo nutrauktos), sutartį planuojama pasirašyti gegužės mėn. </w:t>
      </w:r>
      <w:r w:rsidR="00351ABC" w:rsidRPr="00351ABC">
        <w:rPr>
          <w:color w:val="595959" w:themeColor="text1" w:themeTint="A6"/>
          <w:szCs w:val="24"/>
          <w:lang w:eastAsia="lt-LT"/>
        </w:rPr>
        <w:t xml:space="preserve"> Aplinkos ministerija kartu su APVA sustiprino projektų stebėseną ir laiku imasi veiksmų, kad nebūtų nukrypta nuo projektų įgyvendinimo plano.</w:t>
      </w:r>
    </w:p>
    <w:p w:rsidR="00351ABC" w:rsidRPr="00351ABC" w:rsidRDefault="00351ABC" w:rsidP="007A019F">
      <w:pPr>
        <w:ind w:firstLine="426"/>
        <w:jc w:val="both"/>
        <w:rPr>
          <w:color w:val="595959" w:themeColor="text1" w:themeTint="A6"/>
          <w:szCs w:val="24"/>
          <w:lang w:eastAsia="lt-LT"/>
        </w:rPr>
      </w:pPr>
      <w:r w:rsidRPr="00351ABC">
        <w:rPr>
          <w:color w:val="595959" w:themeColor="text1" w:themeTint="A6"/>
          <w:szCs w:val="24"/>
          <w:lang w:eastAsia="lt-LT"/>
        </w:rPr>
        <w:t>Taip pat yra rizika, kad projektas „Maišiagalos radioaktyviųjų atliekų saugyklos eksploatavimo nutraukimas“ gali būti neįgyvendintas iki 2023 m. spalio 1 d. Kritinis projekto įgyven</w:t>
      </w:r>
      <w:r w:rsidR="00A26FAA">
        <w:rPr>
          <w:color w:val="595959" w:themeColor="text1" w:themeTint="A6"/>
          <w:szCs w:val="24"/>
          <w:lang w:eastAsia="lt-LT"/>
        </w:rPr>
        <w:t>dini</w:t>
      </w:r>
      <w:r w:rsidRPr="00351ABC">
        <w:rPr>
          <w:color w:val="595959" w:themeColor="text1" w:themeTint="A6"/>
          <w:szCs w:val="24"/>
          <w:lang w:eastAsia="lt-LT"/>
        </w:rPr>
        <w:t xml:space="preserve">mo etapas </w:t>
      </w:r>
      <w:r w:rsidR="0087650F">
        <w:rPr>
          <w:color w:val="595959" w:themeColor="text1" w:themeTint="A6"/>
          <w:szCs w:val="24"/>
          <w:lang w:eastAsia="lt-LT"/>
        </w:rPr>
        <w:t>–</w:t>
      </w:r>
      <w:r w:rsidRPr="00351ABC">
        <w:rPr>
          <w:color w:val="595959" w:themeColor="text1" w:themeTint="A6"/>
          <w:szCs w:val="24"/>
          <w:lang w:eastAsia="lt-LT"/>
        </w:rPr>
        <w:t xml:space="preserve"> paslaugų parengiamiesiems eksploatacijos nutraukimo darbams atlikti ir įrangos Maišiagalos RAS eksploatacijos nutraukimui įsigij</w:t>
      </w:r>
      <w:r w:rsidR="007A019F">
        <w:rPr>
          <w:color w:val="595959" w:themeColor="text1" w:themeTint="A6"/>
          <w:szCs w:val="24"/>
          <w:lang w:eastAsia="lt-LT"/>
        </w:rPr>
        <w:t xml:space="preserve">imas iki 2021 m. </w:t>
      </w:r>
      <w:r w:rsidR="0087650F">
        <w:rPr>
          <w:color w:val="595959" w:themeColor="text1" w:themeTint="A6"/>
          <w:szCs w:val="24"/>
          <w:lang w:eastAsia="lt-LT"/>
        </w:rPr>
        <w:t>birželio 15</w:t>
      </w:r>
      <w:r w:rsidR="007A019F">
        <w:rPr>
          <w:color w:val="595959" w:themeColor="text1" w:themeTint="A6"/>
          <w:szCs w:val="24"/>
          <w:lang w:eastAsia="lt-LT"/>
        </w:rPr>
        <w:t xml:space="preserve"> d.</w:t>
      </w:r>
      <w:r w:rsidRPr="00351ABC">
        <w:rPr>
          <w:color w:val="595959" w:themeColor="text1" w:themeTint="A6"/>
          <w:szCs w:val="24"/>
          <w:lang w:eastAsia="lt-LT"/>
        </w:rPr>
        <w:t xml:space="preserve"> Būtina ir toliau vykdyti nuoseklią projekto eigos priežiūrą</w:t>
      </w:r>
      <w:r w:rsidR="006F270C">
        <w:rPr>
          <w:color w:val="595959" w:themeColor="text1" w:themeTint="A6"/>
          <w:szCs w:val="24"/>
          <w:lang w:eastAsia="lt-LT"/>
        </w:rPr>
        <w:t xml:space="preserve"> </w:t>
      </w:r>
      <w:r w:rsidR="006F270C" w:rsidRPr="006F270C">
        <w:rPr>
          <w:color w:val="595959" w:themeColor="text1" w:themeTint="A6"/>
          <w:szCs w:val="24"/>
          <w:lang w:eastAsia="lt-LT"/>
        </w:rPr>
        <w:t>ir, bendradarbiaujant su Aplinkos projektų valdymo a</w:t>
      </w:r>
      <w:r w:rsidR="0045077D">
        <w:rPr>
          <w:color w:val="595959" w:themeColor="text1" w:themeTint="A6"/>
          <w:szCs w:val="24"/>
          <w:lang w:eastAsia="lt-LT"/>
        </w:rPr>
        <w:t xml:space="preserve">gentūra siekti, kad </w:t>
      </w:r>
      <w:r w:rsidR="0087650F">
        <w:rPr>
          <w:color w:val="595959" w:themeColor="text1" w:themeTint="A6"/>
          <w:szCs w:val="24"/>
          <w:lang w:eastAsia="lt-LT"/>
        </w:rPr>
        <w:t xml:space="preserve">atnaujintos </w:t>
      </w:r>
      <w:r w:rsidR="006F270C" w:rsidRPr="006F270C">
        <w:rPr>
          <w:color w:val="595959" w:themeColor="text1" w:themeTint="A6"/>
          <w:szCs w:val="24"/>
          <w:lang w:eastAsia="lt-LT"/>
        </w:rPr>
        <w:t xml:space="preserve">viešųjų pirkimų procedūros būtų paskelbtos š. m. </w:t>
      </w:r>
      <w:r w:rsidR="0087650F">
        <w:rPr>
          <w:color w:val="595959" w:themeColor="text1" w:themeTint="A6"/>
          <w:szCs w:val="24"/>
          <w:lang w:eastAsia="lt-LT"/>
        </w:rPr>
        <w:t>balandžio</w:t>
      </w:r>
      <w:r w:rsidR="0087650F" w:rsidRPr="006F270C">
        <w:rPr>
          <w:color w:val="595959" w:themeColor="text1" w:themeTint="A6"/>
          <w:szCs w:val="24"/>
          <w:lang w:eastAsia="lt-LT"/>
        </w:rPr>
        <w:t xml:space="preserve"> </w:t>
      </w:r>
      <w:r w:rsidR="0087650F">
        <w:rPr>
          <w:color w:val="595959" w:themeColor="text1" w:themeTint="A6"/>
          <w:szCs w:val="24"/>
          <w:lang w:eastAsia="lt-LT"/>
        </w:rPr>
        <w:t>mėn.</w:t>
      </w:r>
      <w:r w:rsidR="0087650F" w:rsidRPr="006F270C">
        <w:rPr>
          <w:color w:val="595959" w:themeColor="text1" w:themeTint="A6"/>
          <w:szCs w:val="24"/>
          <w:lang w:eastAsia="lt-LT"/>
        </w:rPr>
        <w:t xml:space="preserve"> </w:t>
      </w:r>
      <w:r w:rsidR="006F270C" w:rsidRPr="006F270C">
        <w:rPr>
          <w:color w:val="595959" w:themeColor="text1" w:themeTint="A6"/>
          <w:szCs w:val="24"/>
          <w:lang w:eastAsia="lt-LT"/>
        </w:rPr>
        <w:t xml:space="preserve">ir rangos </w:t>
      </w:r>
      <w:r w:rsidR="0045077D">
        <w:rPr>
          <w:color w:val="595959" w:themeColor="text1" w:themeTint="A6"/>
          <w:szCs w:val="24"/>
          <w:lang w:eastAsia="lt-LT"/>
        </w:rPr>
        <w:t>sutartis pasirašyta laiku.</w:t>
      </w:r>
    </w:p>
    <w:p w:rsidR="006D4A86" w:rsidRDefault="00A337F0" w:rsidP="006F270C">
      <w:pPr>
        <w:ind w:firstLine="426"/>
        <w:jc w:val="both"/>
        <w:rPr>
          <w:color w:val="595959" w:themeColor="text1" w:themeTint="A6"/>
          <w:szCs w:val="24"/>
          <w:lang w:eastAsia="lt-LT"/>
        </w:rPr>
      </w:pPr>
      <w:r>
        <w:rPr>
          <w:color w:val="595959" w:themeColor="text1" w:themeTint="A6"/>
          <w:szCs w:val="24"/>
          <w:lang w:eastAsia="lt-LT"/>
        </w:rPr>
        <w:t xml:space="preserve">Vėlavimas nustatyti </w:t>
      </w:r>
      <w:proofErr w:type="spellStart"/>
      <w:r w:rsidR="00351ABC" w:rsidRPr="00351ABC">
        <w:rPr>
          <w:color w:val="595959" w:themeColor="text1" w:themeTint="A6"/>
          <w:szCs w:val="24"/>
          <w:lang w:eastAsia="lt-LT"/>
        </w:rPr>
        <w:t>Natura</w:t>
      </w:r>
      <w:proofErr w:type="spellEnd"/>
      <w:r w:rsidR="00351ABC" w:rsidRPr="00351ABC">
        <w:rPr>
          <w:color w:val="595959" w:themeColor="text1" w:themeTint="A6"/>
          <w:szCs w:val="24"/>
          <w:lang w:eastAsia="lt-LT"/>
        </w:rPr>
        <w:t xml:space="preserve"> 2000 teritorijų apsaugos tiksl</w:t>
      </w:r>
      <w:r>
        <w:rPr>
          <w:color w:val="595959" w:themeColor="text1" w:themeTint="A6"/>
          <w:szCs w:val="24"/>
          <w:lang w:eastAsia="lt-LT"/>
        </w:rPr>
        <w:t xml:space="preserve">us ir nepakankamai gera nustatytų tikslų kokybė veikia ir kitų sektorių investicijas. </w:t>
      </w:r>
      <w:r w:rsidR="00351ABC" w:rsidRPr="00351ABC">
        <w:rPr>
          <w:color w:val="595959" w:themeColor="text1" w:themeTint="A6"/>
          <w:szCs w:val="24"/>
          <w:lang w:eastAsia="lt-LT"/>
        </w:rPr>
        <w:t xml:space="preserve">Aplinkos ministerija turi atlikti jos sričiai priskirtus veiksmus, </w:t>
      </w:r>
      <w:r w:rsidRPr="00351ABC">
        <w:rPr>
          <w:color w:val="595959" w:themeColor="text1" w:themeTint="A6"/>
          <w:szCs w:val="24"/>
          <w:lang w:eastAsia="lt-LT"/>
        </w:rPr>
        <w:t>kaip to reikalauja Buveinių direktyvos 6 str. 1 d. nuostatos</w:t>
      </w:r>
      <w:r>
        <w:rPr>
          <w:color w:val="595959" w:themeColor="text1" w:themeTint="A6"/>
          <w:szCs w:val="24"/>
          <w:lang w:eastAsia="lt-LT"/>
        </w:rPr>
        <w:t>,</w:t>
      </w:r>
      <w:r w:rsidRPr="00351ABC">
        <w:rPr>
          <w:color w:val="595959" w:themeColor="text1" w:themeTint="A6"/>
          <w:szCs w:val="24"/>
          <w:lang w:eastAsia="lt-LT"/>
        </w:rPr>
        <w:t xml:space="preserve"> </w:t>
      </w:r>
      <w:r w:rsidR="00351ABC" w:rsidRPr="00351ABC">
        <w:rPr>
          <w:color w:val="595959" w:themeColor="text1" w:themeTint="A6"/>
          <w:szCs w:val="24"/>
          <w:lang w:eastAsia="lt-LT"/>
        </w:rPr>
        <w:t>kad Susisiekimo ministerijos įgyvendin</w:t>
      </w:r>
      <w:r w:rsidR="007A019F">
        <w:rPr>
          <w:color w:val="595959" w:themeColor="text1" w:themeTint="A6"/>
          <w:szCs w:val="24"/>
          <w:lang w:eastAsia="lt-LT"/>
        </w:rPr>
        <w:t>amas didelės apimties projektas</w:t>
      </w:r>
      <w:r w:rsidR="00B43899" w:rsidRPr="00B43899">
        <w:rPr>
          <w:rStyle w:val="Puslapioinaosnuoroda"/>
          <w:color w:val="595959" w:themeColor="text1" w:themeTint="A6"/>
          <w:szCs w:val="24"/>
          <w:lang w:eastAsia="lt-LT"/>
        </w:rPr>
        <w:footnoteReference w:id="1"/>
      </w:r>
      <w:r w:rsidR="00B43899" w:rsidRPr="00B43899">
        <w:rPr>
          <w:color w:val="7F7F7F" w:themeColor="text1" w:themeTint="80"/>
          <w:szCs w:val="24"/>
          <w:lang w:eastAsia="lt-LT"/>
        </w:rPr>
        <w:t xml:space="preserve"> </w:t>
      </w:r>
      <w:r w:rsidRPr="00351ABC">
        <w:rPr>
          <w:color w:val="595959" w:themeColor="text1" w:themeTint="A6"/>
          <w:szCs w:val="24"/>
          <w:lang w:eastAsia="lt-LT"/>
        </w:rPr>
        <w:t>Ruožo Kaišiadorys–Klaipėda (Draugystės st.) elektrifikavimas“</w:t>
      </w:r>
      <w:r w:rsidR="00A901EC">
        <w:rPr>
          <w:color w:val="595959" w:themeColor="text1" w:themeTint="A6"/>
          <w:szCs w:val="24"/>
          <w:lang w:eastAsia="lt-LT"/>
        </w:rPr>
        <w:t xml:space="preserve"> (toliau – Projektas)</w:t>
      </w:r>
      <w:r w:rsidRPr="00351ABC">
        <w:rPr>
          <w:color w:val="595959" w:themeColor="text1" w:themeTint="A6"/>
          <w:szCs w:val="24"/>
          <w:lang w:eastAsia="lt-LT"/>
        </w:rPr>
        <w:t xml:space="preserve"> </w:t>
      </w:r>
      <w:r w:rsidR="00351ABC" w:rsidRPr="00351ABC">
        <w:rPr>
          <w:color w:val="595959" w:themeColor="text1" w:themeTint="A6"/>
          <w:szCs w:val="24"/>
          <w:lang w:eastAsia="lt-LT"/>
        </w:rPr>
        <w:t xml:space="preserve">galėtų būti </w:t>
      </w:r>
      <w:r>
        <w:rPr>
          <w:color w:val="595959" w:themeColor="text1" w:themeTint="A6"/>
          <w:szCs w:val="24"/>
          <w:lang w:eastAsia="lt-LT"/>
        </w:rPr>
        <w:t>finansuojamas.</w:t>
      </w:r>
      <w:r w:rsidR="00351ABC" w:rsidRPr="00351ABC">
        <w:rPr>
          <w:color w:val="595959" w:themeColor="text1" w:themeTint="A6"/>
          <w:szCs w:val="24"/>
          <w:lang w:eastAsia="lt-LT"/>
        </w:rPr>
        <w:t xml:space="preserve"> Aplinkos ministerija kaip įmanoma skubiau turėtų </w:t>
      </w:r>
      <w:r w:rsidR="006D4A86" w:rsidRPr="006D4A86">
        <w:rPr>
          <w:color w:val="595959" w:themeColor="text1" w:themeTint="A6"/>
          <w:szCs w:val="24"/>
          <w:lang w:eastAsia="lt-LT"/>
        </w:rPr>
        <w:t xml:space="preserve">parengti ir su EK Aplinkos generaliniu direktoratu </w:t>
      </w:r>
      <w:r w:rsidR="006D4A86">
        <w:rPr>
          <w:color w:val="595959" w:themeColor="text1" w:themeTint="A6"/>
          <w:szCs w:val="24"/>
          <w:lang w:eastAsia="lt-LT"/>
        </w:rPr>
        <w:t xml:space="preserve">suderinti atnaujintus </w:t>
      </w:r>
      <w:r w:rsidR="00A901EC">
        <w:rPr>
          <w:color w:val="595959" w:themeColor="text1" w:themeTint="A6"/>
          <w:szCs w:val="24"/>
          <w:lang w:eastAsia="lt-LT"/>
        </w:rPr>
        <w:t>P</w:t>
      </w:r>
      <w:r w:rsidR="006D4A86">
        <w:rPr>
          <w:color w:val="595959" w:themeColor="text1" w:themeTint="A6"/>
          <w:szCs w:val="24"/>
          <w:lang w:eastAsia="lt-LT"/>
        </w:rPr>
        <w:t>rojektui aktualių keturių</w:t>
      </w:r>
      <w:r w:rsidR="006D4A86" w:rsidRPr="006D4A86">
        <w:rPr>
          <w:color w:val="595959" w:themeColor="text1" w:themeTint="A6"/>
          <w:szCs w:val="24"/>
          <w:lang w:eastAsia="lt-LT"/>
        </w:rPr>
        <w:t xml:space="preserve"> Europos ekologinio tinklo „</w:t>
      </w:r>
      <w:proofErr w:type="spellStart"/>
      <w:r w:rsidR="006D4A86" w:rsidRPr="006D4A86">
        <w:rPr>
          <w:color w:val="595959" w:themeColor="text1" w:themeTint="A6"/>
          <w:szCs w:val="24"/>
          <w:lang w:eastAsia="lt-LT"/>
        </w:rPr>
        <w:t>Natura</w:t>
      </w:r>
      <w:proofErr w:type="spellEnd"/>
      <w:r w:rsidR="006D4A86" w:rsidRPr="006D4A86">
        <w:rPr>
          <w:color w:val="595959" w:themeColor="text1" w:themeTint="A6"/>
          <w:szCs w:val="24"/>
          <w:lang w:eastAsia="lt-LT"/>
        </w:rPr>
        <w:t xml:space="preserve"> 2000“</w:t>
      </w:r>
      <w:r w:rsidR="006D4A86" w:rsidRPr="001A0CCC">
        <w:rPr>
          <w:rStyle w:val="Puslapioinaosnuoroda"/>
          <w:color w:val="595959" w:themeColor="text1" w:themeTint="A6"/>
          <w:szCs w:val="24"/>
          <w:lang w:eastAsia="lt-LT"/>
        </w:rPr>
        <w:footnoteReference w:id="2"/>
      </w:r>
      <w:r w:rsidR="006D4A86" w:rsidRPr="006D4A86">
        <w:rPr>
          <w:color w:val="595959" w:themeColor="text1" w:themeTint="A6"/>
          <w:szCs w:val="24"/>
          <w:lang w:eastAsia="lt-LT"/>
        </w:rPr>
        <w:t xml:space="preserve"> teritorijų apsaugos tikslų projektus</w:t>
      </w:r>
      <w:r w:rsidR="006D4A86">
        <w:rPr>
          <w:color w:val="595959" w:themeColor="text1" w:themeTint="A6"/>
          <w:szCs w:val="24"/>
          <w:lang w:eastAsia="lt-LT"/>
        </w:rPr>
        <w:t xml:space="preserve">. </w:t>
      </w:r>
      <w:r w:rsidR="00A901EC">
        <w:rPr>
          <w:color w:val="595959" w:themeColor="text1" w:themeTint="A6"/>
          <w:szCs w:val="24"/>
          <w:lang w:eastAsia="lt-LT"/>
        </w:rPr>
        <w:t>Jų pagrindu atnaujinti P</w:t>
      </w:r>
      <w:r w:rsidR="00A901EC" w:rsidRPr="00A901EC">
        <w:rPr>
          <w:color w:val="595959" w:themeColor="text1" w:themeTint="A6"/>
          <w:szCs w:val="24"/>
          <w:lang w:eastAsia="lt-LT"/>
        </w:rPr>
        <w:t>rojekte planuojamos ūkinės veiklos įgyvendinimo poveikio „</w:t>
      </w:r>
      <w:proofErr w:type="spellStart"/>
      <w:r w:rsidR="00A901EC" w:rsidRPr="00A901EC">
        <w:rPr>
          <w:color w:val="595959" w:themeColor="text1" w:themeTint="A6"/>
          <w:szCs w:val="24"/>
          <w:lang w:eastAsia="lt-LT"/>
        </w:rPr>
        <w:t>Natura</w:t>
      </w:r>
      <w:proofErr w:type="spellEnd"/>
      <w:r w:rsidR="00A901EC" w:rsidRPr="00A901EC">
        <w:rPr>
          <w:color w:val="595959" w:themeColor="text1" w:themeTint="A6"/>
          <w:szCs w:val="24"/>
          <w:lang w:eastAsia="lt-LT"/>
        </w:rPr>
        <w:t xml:space="preserve"> 2000“ t</w:t>
      </w:r>
      <w:r w:rsidR="00A901EC">
        <w:rPr>
          <w:color w:val="595959" w:themeColor="text1" w:themeTint="A6"/>
          <w:szCs w:val="24"/>
          <w:lang w:eastAsia="lt-LT"/>
        </w:rPr>
        <w:t>eritorijoms reikšmingumo išvad</w:t>
      </w:r>
      <w:r w:rsidR="00C250D8">
        <w:rPr>
          <w:color w:val="595959" w:themeColor="text1" w:themeTint="A6"/>
          <w:szCs w:val="24"/>
          <w:lang w:eastAsia="lt-LT"/>
        </w:rPr>
        <w:t>as</w:t>
      </w:r>
      <w:r w:rsidR="00C250D8">
        <w:rPr>
          <w:rStyle w:val="Puslapioinaosnuoroda"/>
          <w:color w:val="595959" w:themeColor="text1" w:themeTint="A6"/>
          <w:szCs w:val="24"/>
          <w:lang w:eastAsia="lt-LT"/>
        </w:rPr>
        <w:footnoteReference w:id="3"/>
      </w:r>
      <w:r w:rsidR="00A901EC" w:rsidRPr="00A901EC">
        <w:rPr>
          <w:color w:val="595959" w:themeColor="text1" w:themeTint="A6"/>
          <w:szCs w:val="24"/>
          <w:lang w:eastAsia="lt-LT"/>
        </w:rPr>
        <w:t xml:space="preserve"> bei</w:t>
      </w:r>
      <w:r w:rsidR="00A901EC">
        <w:rPr>
          <w:color w:val="595959" w:themeColor="text1" w:themeTint="A6"/>
          <w:szCs w:val="24"/>
          <w:lang w:eastAsia="lt-LT"/>
        </w:rPr>
        <w:t xml:space="preserve"> patvirtinti</w:t>
      </w:r>
      <w:r w:rsidR="00A901EC" w:rsidRPr="00A901EC">
        <w:rPr>
          <w:color w:val="595959" w:themeColor="text1" w:themeTint="A6"/>
          <w:szCs w:val="24"/>
          <w:lang w:eastAsia="lt-LT"/>
        </w:rPr>
        <w:t xml:space="preserve"> </w:t>
      </w:r>
      <w:r w:rsidR="00C250D8">
        <w:rPr>
          <w:color w:val="595959" w:themeColor="text1" w:themeTint="A6"/>
          <w:szCs w:val="24"/>
          <w:lang w:eastAsia="lt-LT"/>
        </w:rPr>
        <w:t xml:space="preserve">(išduoti) </w:t>
      </w:r>
      <w:r w:rsidR="00A901EC">
        <w:rPr>
          <w:color w:val="595959" w:themeColor="text1" w:themeTint="A6"/>
          <w:szCs w:val="24"/>
          <w:lang w:eastAsia="lt-LT"/>
        </w:rPr>
        <w:t>atnaujintą „</w:t>
      </w:r>
      <w:proofErr w:type="spellStart"/>
      <w:r w:rsidR="00A901EC">
        <w:rPr>
          <w:color w:val="595959" w:themeColor="text1" w:themeTint="A6"/>
          <w:szCs w:val="24"/>
          <w:lang w:eastAsia="lt-LT"/>
        </w:rPr>
        <w:t>Natura</w:t>
      </w:r>
      <w:proofErr w:type="spellEnd"/>
      <w:r w:rsidR="00A901EC">
        <w:rPr>
          <w:color w:val="595959" w:themeColor="text1" w:themeTint="A6"/>
          <w:szCs w:val="24"/>
          <w:lang w:eastAsia="lt-LT"/>
        </w:rPr>
        <w:t xml:space="preserve"> 2000“ deklaraciją. </w:t>
      </w:r>
    </w:p>
    <w:p w:rsidR="00FA3996" w:rsidRPr="00F67703" w:rsidRDefault="00A337F0" w:rsidP="00E93C4B">
      <w:pPr>
        <w:pStyle w:val="tekstas"/>
        <w:tabs>
          <w:tab w:val="left" w:pos="426"/>
        </w:tabs>
        <w:rPr>
          <w:rFonts w:ascii="Times New Roman" w:hAnsi="Times New Roman"/>
          <w:color w:val="595959" w:themeColor="text1" w:themeTint="A6"/>
          <w:lang w:eastAsia="lt-LT"/>
        </w:rPr>
      </w:pPr>
      <w:r>
        <w:rPr>
          <w:rFonts w:ascii="Times New Roman" w:hAnsi="Times New Roman"/>
          <w:color w:val="595959" w:themeColor="text1" w:themeTint="A6"/>
          <w:lang w:eastAsia="lt-LT"/>
        </w:rPr>
        <w:t>V</w:t>
      </w:r>
      <w:r w:rsidR="00FA3996" w:rsidRPr="00F67703">
        <w:rPr>
          <w:rFonts w:ascii="Times New Roman" w:hAnsi="Times New Roman"/>
          <w:color w:val="595959" w:themeColor="text1" w:themeTint="A6"/>
          <w:lang w:eastAsia="lt-LT"/>
        </w:rPr>
        <w:t xml:space="preserve">ėluoja </w:t>
      </w:r>
      <w:r>
        <w:rPr>
          <w:rFonts w:ascii="Times New Roman" w:hAnsi="Times New Roman"/>
          <w:color w:val="595959" w:themeColor="text1" w:themeTint="A6"/>
          <w:lang w:eastAsia="lt-LT"/>
        </w:rPr>
        <w:t xml:space="preserve">ir </w:t>
      </w:r>
      <w:r w:rsidR="00FA3996" w:rsidRPr="00F67703">
        <w:rPr>
          <w:rFonts w:ascii="Times New Roman" w:hAnsi="Times New Roman"/>
          <w:color w:val="595959" w:themeColor="text1" w:themeTint="A6"/>
          <w:lang w:eastAsia="lt-LT"/>
        </w:rPr>
        <w:t xml:space="preserve">maisto atliekų rūšiuojamojo surinkimo diegimas. Valstybiniame atliekų tvarkymo 2014–2020 m. plane nustatyta iki 2019 metų įdiegti maisto/virtuvės atliekų rūšiuojamąjį surinkimą ir įrengti pakankamus pajėgumus atskirai surinktoms maisto/virtuvės atliekoms apdoroti. Aplinkos ministerija </w:t>
      </w:r>
      <w:r>
        <w:rPr>
          <w:rFonts w:ascii="Times New Roman" w:hAnsi="Times New Roman"/>
          <w:color w:val="595959" w:themeColor="text1" w:themeTint="A6"/>
          <w:lang w:eastAsia="lt-LT"/>
        </w:rPr>
        <w:t xml:space="preserve">ilgai nebuvo pasiruošusi skirti </w:t>
      </w:r>
      <w:r w:rsidR="00FA3996" w:rsidRPr="00F67703">
        <w:rPr>
          <w:rFonts w:ascii="Times New Roman" w:hAnsi="Times New Roman"/>
          <w:color w:val="595959" w:themeColor="text1" w:themeTint="A6"/>
          <w:lang w:eastAsia="lt-LT"/>
        </w:rPr>
        <w:t>ES lėš</w:t>
      </w:r>
      <w:r>
        <w:rPr>
          <w:rFonts w:ascii="Times New Roman" w:hAnsi="Times New Roman"/>
          <w:color w:val="595959" w:themeColor="text1" w:themeTint="A6"/>
          <w:lang w:eastAsia="lt-LT"/>
        </w:rPr>
        <w:t>ų</w:t>
      </w:r>
      <w:r w:rsidR="00FA3996" w:rsidRPr="00F67703">
        <w:rPr>
          <w:rFonts w:ascii="Times New Roman" w:hAnsi="Times New Roman"/>
          <w:color w:val="595959" w:themeColor="text1" w:themeTint="A6"/>
          <w:lang w:eastAsia="lt-LT"/>
        </w:rPr>
        <w:t xml:space="preserve"> šiai sričiai</w:t>
      </w:r>
      <w:r>
        <w:rPr>
          <w:rFonts w:ascii="Times New Roman" w:hAnsi="Times New Roman"/>
          <w:color w:val="595959" w:themeColor="text1" w:themeTint="A6"/>
          <w:lang w:eastAsia="lt-LT"/>
        </w:rPr>
        <w:t xml:space="preserve">, </w:t>
      </w:r>
      <w:r w:rsidR="00FA3996" w:rsidRPr="00F67703">
        <w:rPr>
          <w:rFonts w:ascii="Times New Roman" w:hAnsi="Times New Roman"/>
          <w:color w:val="595959" w:themeColor="text1" w:themeTint="A6"/>
          <w:lang w:eastAsia="lt-LT"/>
        </w:rPr>
        <w:t>todėl būtina užtikrinti, kad projektų veiklos būtų baigtos ne vėliau kaip iki 2023 m. spalio 1 d., kaip to reikalauja Projektų administravimo ir finansavimo taisyklės. Be to, būtina imtis veiksmų, kad sukurta infrastruktūra būtų efektyviai naudojama, visų pirma užtikrinant tinkamą komunikaciją ir gyventojų informavimą bei kompleksinius veiksmus, skatinančius vartotojų įpročių keitimą.</w:t>
      </w:r>
    </w:p>
    <w:p w:rsidR="00351ABC" w:rsidRDefault="00351ABC" w:rsidP="00E82945">
      <w:pPr>
        <w:jc w:val="both"/>
        <w:rPr>
          <w:color w:val="595959" w:themeColor="text1" w:themeTint="A6"/>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351ABC" w:rsidRPr="0040787A" w:rsidTr="00574E3F">
        <w:tc>
          <w:tcPr>
            <w:tcW w:w="9638" w:type="dxa"/>
            <w:tcBorders>
              <w:top w:val="nil"/>
              <w:left w:val="nil"/>
              <w:bottom w:val="nil"/>
              <w:right w:val="nil"/>
            </w:tcBorders>
            <w:shd w:val="clear" w:color="auto" w:fill="D9D9D9" w:themeFill="background1" w:themeFillShade="D9"/>
          </w:tcPr>
          <w:p w:rsidR="00351ABC" w:rsidRPr="0040787A" w:rsidRDefault="00351ABC" w:rsidP="00574E3F">
            <w:pPr>
              <w:jc w:val="both"/>
              <w:rPr>
                <w:b/>
                <w:color w:val="365F91" w:themeColor="accent1" w:themeShade="BF"/>
              </w:rPr>
            </w:pPr>
            <w:r>
              <w:rPr>
                <w:b/>
                <w:color w:val="365F91" w:themeColor="accent1" w:themeShade="BF"/>
              </w:rPr>
              <w:t>Siūlymas</w:t>
            </w:r>
            <w:r w:rsidRPr="00351ABC">
              <w:rPr>
                <w:b/>
                <w:color w:val="365F91" w:themeColor="accent1" w:themeShade="BF"/>
              </w:rPr>
              <w:t xml:space="preserve"> Aplinkos</w:t>
            </w:r>
            <w:r>
              <w:t xml:space="preserve"> </w:t>
            </w:r>
            <w:r w:rsidRPr="0040787A">
              <w:rPr>
                <w:b/>
                <w:color w:val="365F91" w:themeColor="accent1" w:themeShade="BF"/>
              </w:rPr>
              <w:t>ministerijai:</w:t>
            </w:r>
          </w:p>
          <w:p w:rsidR="00351ABC" w:rsidRDefault="00351ABC" w:rsidP="00574E3F">
            <w:pPr>
              <w:jc w:val="both"/>
              <w:rPr>
                <w:color w:val="365F91" w:themeColor="accent1" w:themeShade="BF"/>
              </w:rPr>
            </w:pPr>
            <w:r w:rsidRPr="0040787A">
              <w:rPr>
                <w:color w:val="365F91" w:themeColor="accent1" w:themeShade="BF"/>
              </w:rPr>
              <w:t>-</w:t>
            </w:r>
            <w:r>
              <w:rPr>
                <w:color w:val="365F91" w:themeColor="accent1" w:themeShade="BF"/>
              </w:rPr>
              <w:t xml:space="preserve"> iki 2021</w:t>
            </w:r>
            <w:r w:rsidRPr="00644433">
              <w:rPr>
                <w:color w:val="365F91" w:themeColor="accent1" w:themeShade="BF"/>
              </w:rPr>
              <w:t xml:space="preserve"> m. </w:t>
            </w:r>
            <w:r w:rsidR="00A916F6">
              <w:rPr>
                <w:color w:val="365F91" w:themeColor="accent1" w:themeShade="BF"/>
              </w:rPr>
              <w:t>gegužės 31</w:t>
            </w:r>
            <w:r>
              <w:rPr>
                <w:color w:val="365F91" w:themeColor="accent1" w:themeShade="BF"/>
              </w:rPr>
              <w:t xml:space="preserve"> d.</w:t>
            </w:r>
            <w:r w:rsidRPr="00644433">
              <w:rPr>
                <w:color w:val="365F91" w:themeColor="accent1" w:themeShade="BF"/>
              </w:rPr>
              <w:t xml:space="preserve"> </w:t>
            </w:r>
            <w:r>
              <w:rPr>
                <w:color w:val="365F91" w:themeColor="accent1" w:themeShade="BF"/>
              </w:rPr>
              <w:t xml:space="preserve">raštu </w:t>
            </w:r>
            <w:r w:rsidRPr="00644433">
              <w:rPr>
                <w:color w:val="365F91" w:themeColor="accent1" w:themeShade="BF"/>
              </w:rPr>
              <w:t>informuoti Finansų ministeri</w:t>
            </w:r>
            <w:r>
              <w:rPr>
                <w:color w:val="365F91" w:themeColor="accent1" w:themeShade="BF"/>
              </w:rPr>
              <w:t>ją apie priimtus sprendimus</w:t>
            </w:r>
            <w:r w:rsidRPr="00644433">
              <w:rPr>
                <w:color w:val="365F91" w:themeColor="accent1" w:themeShade="BF"/>
              </w:rPr>
              <w:t xml:space="preserve"> dėl </w:t>
            </w:r>
            <w:r w:rsidRPr="001378A2">
              <w:rPr>
                <w:color w:val="365F91" w:themeColor="accent1" w:themeShade="BF"/>
              </w:rPr>
              <w:t>taršos incidentų Baltijos jūro</w:t>
            </w:r>
            <w:r>
              <w:rPr>
                <w:color w:val="365F91" w:themeColor="accent1" w:themeShade="BF"/>
              </w:rPr>
              <w:t xml:space="preserve">je likvidavimo laivo įsigijimo </w:t>
            </w:r>
            <w:r w:rsidRPr="00644433">
              <w:rPr>
                <w:color w:val="365F91" w:themeColor="accent1" w:themeShade="BF"/>
              </w:rPr>
              <w:t xml:space="preserve">projekto įgyvendinimo, taip pat ar nepadidėjo rizika dėl incidentų Baltijos jūroje likvidavimui </w:t>
            </w:r>
            <w:r>
              <w:rPr>
                <w:color w:val="365F91" w:themeColor="accent1" w:themeShade="BF"/>
              </w:rPr>
              <w:t>skirto laivo įsigijimo projekte;</w:t>
            </w:r>
          </w:p>
          <w:p w:rsidR="0045077D" w:rsidRDefault="00351ABC" w:rsidP="00574E3F">
            <w:pPr>
              <w:jc w:val="both"/>
              <w:rPr>
                <w:color w:val="365F91" w:themeColor="accent1" w:themeShade="BF"/>
              </w:rPr>
            </w:pPr>
            <w:r>
              <w:rPr>
                <w:color w:val="365F91" w:themeColor="accent1" w:themeShade="BF"/>
              </w:rPr>
              <w:t xml:space="preserve">- </w:t>
            </w:r>
            <w:r w:rsidRPr="005229FC">
              <w:rPr>
                <w:color w:val="365F91" w:themeColor="accent1" w:themeShade="BF"/>
              </w:rPr>
              <w:t xml:space="preserve">iki 2021 m. </w:t>
            </w:r>
            <w:r w:rsidR="00A00BB2">
              <w:rPr>
                <w:color w:val="365F91" w:themeColor="accent1" w:themeShade="BF"/>
              </w:rPr>
              <w:t>balandžio 30</w:t>
            </w:r>
            <w:r w:rsidRPr="005229FC">
              <w:rPr>
                <w:color w:val="365F91" w:themeColor="accent1" w:themeShade="BF"/>
              </w:rPr>
              <w:t xml:space="preserve"> d. Finansų ministerij</w:t>
            </w:r>
            <w:r w:rsidR="00AE021E">
              <w:rPr>
                <w:color w:val="365F91" w:themeColor="accent1" w:themeShade="BF"/>
              </w:rPr>
              <w:t>ai</w:t>
            </w:r>
            <w:r w:rsidRPr="005229FC">
              <w:rPr>
                <w:color w:val="365F91" w:themeColor="accent1" w:themeShade="BF"/>
              </w:rPr>
              <w:t xml:space="preserve"> raštu </w:t>
            </w:r>
            <w:r w:rsidR="00AE021E">
              <w:rPr>
                <w:color w:val="365F91" w:themeColor="accent1" w:themeShade="BF"/>
              </w:rPr>
              <w:t xml:space="preserve">pateikti veiksmų planą </w:t>
            </w:r>
            <w:r w:rsidRPr="005229FC">
              <w:rPr>
                <w:color w:val="365F91" w:themeColor="accent1" w:themeShade="BF"/>
              </w:rPr>
              <w:t xml:space="preserve">apie </w:t>
            </w:r>
            <w:r w:rsidR="00AE021E">
              <w:rPr>
                <w:color w:val="365F91" w:themeColor="accent1" w:themeShade="BF"/>
              </w:rPr>
              <w:t xml:space="preserve">planuojamus </w:t>
            </w:r>
            <w:r w:rsidR="00A00BB2" w:rsidRPr="00A00BB2">
              <w:rPr>
                <w:color w:val="365F91" w:themeColor="accent1" w:themeShade="BF"/>
              </w:rPr>
              <w:t>parengti ir su EK Aplinkos generaliniu direktoratu suderinti atnaujintus Projektui aktualių keturių Europos ekologinio tinklo „</w:t>
            </w:r>
            <w:proofErr w:type="spellStart"/>
            <w:r w:rsidR="00A00BB2" w:rsidRPr="00A00BB2">
              <w:rPr>
                <w:color w:val="365F91" w:themeColor="accent1" w:themeShade="BF"/>
              </w:rPr>
              <w:t>Natura</w:t>
            </w:r>
            <w:proofErr w:type="spellEnd"/>
            <w:r w:rsidR="00A00BB2" w:rsidRPr="00A00BB2">
              <w:rPr>
                <w:color w:val="365F91" w:themeColor="accent1" w:themeShade="BF"/>
              </w:rPr>
              <w:t xml:space="preserve"> 2000“ teritorijų apsaugos tikslų projektus</w:t>
            </w:r>
            <w:r w:rsidR="00AE021E">
              <w:rPr>
                <w:color w:val="365F91" w:themeColor="accent1" w:themeShade="BF"/>
              </w:rPr>
              <w:t>, nurodant konkrečius įgyvendinimo terminus</w:t>
            </w:r>
            <w:r w:rsidR="0045077D">
              <w:rPr>
                <w:color w:val="365F91" w:themeColor="accent1" w:themeShade="BF"/>
              </w:rPr>
              <w:t>;</w:t>
            </w:r>
          </w:p>
          <w:p w:rsidR="00351ABC" w:rsidRPr="00835C89" w:rsidRDefault="0045077D" w:rsidP="0087650F">
            <w:pPr>
              <w:jc w:val="both"/>
              <w:rPr>
                <w:color w:val="365F91" w:themeColor="accent1" w:themeShade="BF"/>
              </w:rPr>
            </w:pPr>
            <w:r>
              <w:rPr>
                <w:color w:val="365F91" w:themeColor="accent1" w:themeShade="BF"/>
              </w:rPr>
              <w:t xml:space="preserve">- </w:t>
            </w:r>
            <w:r w:rsidRPr="0045077D">
              <w:rPr>
                <w:color w:val="365F91" w:themeColor="accent1" w:themeShade="BF"/>
              </w:rPr>
              <w:t>užtikrinti, kad iki 2021 m.</w:t>
            </w:r>
            <w:r w:rsidR="0087650F">
              <w:rPr>
                <w:color w:val="365F91" w:themeColor="accent1" w:themeShade="BF"/>
              </w:rPr>
              <w:t xml:space="preserve"> birželio 15</w:t>
            </w:r>
            <w:r w:rsidRPr="0045077D">
              <w:rPr>
                <w:color w:val="365F91" w:themeColor="accent1" w:themeShade="BF"/>
              </w:rPr>
              <w:t xml:space="preserve"> d. būtų pasirašyta numatytų rangos darbų pirkimo sutartis dėl Maišiagalos radioaktyviųjų atliekų saugyklos eksploatavimo nutraukimo projekto įgyvendinimo.</w:t>
            </w:r>
          </w:p>
        </w:tc>
      </w:tr>
    </w:tbl>
    <w:p w:rsidR="00351ABC" w:rsidRDefault="00351ABC" w:rsidP="00E82945">
      <w:pPr>
        <w:jc w:val="both"/>
        <w:rPr>
          <w:color w:val="595959" w:themeColor="text1" w:themeTint="A6"/>
          <w:szCs w:val="24"/>
          <w:lang w:eastAsia="lt-LT"/>
        </w:rPr>
      </w:pPr>
    </w:p>
    <w:p w:rsidR="00C92FA0" w:rsidRDefault="00D35F1B" w:rsidP="008510B0">
      <w:pPr>
        <w:pStyle w:val="tekstas"/>
        <w:ind w:firstLine="0"/>
        <w:rPr>
          <w:rFonts w:ascii="Times New Roman" w:hAnsi="Times New Roman"/>
          <w:color w:val="595959" w:themeColor="text1" w:themeTint="A6"/>
          <w:lang w:eastAsia="lt-LT"/>
        </w:rPr>
      </w:pPr>
      <w:r>
        <w:rPr>
          <w:noProof/>
          <w:lang w:eastAsia="lt-LT"/>
        </w:rPr>
        <w:lastRenderedPageBreak/>
        <w:drawing>
          <wp:inline distT="0" distB="0" distL="0" distR="0" wp14:anchorId="232B47D6" wp14:editId="2D663331">
            <wp:extent cx="6120130" cy="767385"/>
            <wp:effectExtent l="0" t="0" r="13970" b="13970"/>
            <wp:docPr id="401" name="Diagrama 40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92FA0" w:rsidRDefault="00C92FA0" w:rsidP="008510B0">
      <w:pPr>
        <w:pStyle w:val="tekstas"/>
        <w:ind w:firstLine="0"/>
        <w:rPr>
          <w:rFonts w:ascii="Times New Roman" w:hAnsi="Times New Roman"/>
          <w:color w:val="595959" w:themeColor="text1" w:themeTint="A6"/>
          <w:lang w:eastAsia="lt-LT"/>
        </w:rPr>
      </w:pPr>
    </w:p>
    <w:p w:rsidR="00803573" w:rsidRPr="00D635D0" w:rsidRDefault="00D635D0" w:rsidP="00803573">
      <w:pPr>
        <w:ind w:firstLine="426"/>
        <w:jc w:val="both"/>
        <w:rPr>
          <w:color w:val="595959" w:themeColor="text1" w:themeTint="A6"/>
          <w:szCs w:val="24"/>
          <w:lang w:eastAsia="lt-LT"/>
        </w:rPr>
      </w:pPr>
      <w:r>
        <w:rPr>
          <w:color w:val="595959" w:themeColor="text1" w:themeTint="A6"/>
          <w:szCs w:val="24"/>
          <w:lang w:eastAsia="lt-LT"/>
        </w:rPr>
        <w:t xml:space="preserve">Kultūros ministerijos 5 prioriteto administruojamų priemonių įgyvendinimo tempas atitinka Veiksmų programos vidurkį. </w:t>
      </w:r>
      <w:r w:rsidR="008004A4" w:rsidRPr="008004A4">
        <w:rPr>
          <w:color w:val="595959" w:themeColor="text1" w:themeTint="A6"/>
          <w:szCs w:val="24"/>
          <w:lang w:eastAsia="lt-LT"/>
        </w:rPr>
        <w:t xml:space="preserve">Papildomai šiame prioritete ministerijai yra numatyta </w:t>
      </w:r>
      <w:r w:rsidR="008004A4">
        <w:rPr>
          <w:color w:val="595959" w:themeColor="text1" w:themeTint="A6"/>
          <w:szCs w:val="24"/>
          <w:lang w:eastAsia="lt-LT"/>
        </w:rPr>
        <w:t>4</w:t>
      </w:r>
      <w:r w:rsidR="008004A4" w:rsidRPr="008004A4">
        <w:rPr>
          <w:color w:val="595959" w:themeColor="text1" w:themeTint="A6"/>
          <w:szCs w:val="24"/>
          <w:lang w:eastAsia="lt-LT"/>
        </w:rPr>
        <w:t xml:space="preserve">,9 mln. eurų ES lėšų </w:t>
      </w:r>
      <w:proofErr w:type="spellStart"/>
      <w:r w:rsidR="008004A4" w:rsidRPr="008004A4">
        <w:rPr>
          <w:color w:val="595959" w:themeColor="text1" w:themeTint="A6"/>
          <w:szCs w:val="24"/>
          <w:lang w:eastAsia="lt-LT"/>
        </w:rPr>
        <w:t>virškontraktavimo</w:t>
      </w:r>
      <w:proofErr w:type="spellEnd"/>
      <w:r w:rsidR="008004A4" w:rsidRPr="008004A4">
        <w:rPr>
          <w:color w:val="595959" w:themeColor="text1" w:themeTint="A6"/>
          <w:szCs w:val="24"/>
          <w:lang w:eastAsia="lt-LT"/>
        </w:rPr>
        <w:t xml:space="preserve"> galimybė.</w:t>
      </w:r>
    </w:p>
    <w:p w:rsidR="00484261" w:rsidRPr="00325A7F" w:rsidRDefault="007A019F" w:rsidP="00325A7F">
      <w:pPr>
        <w:ind w:firstLine="426"/>
        <w:contextualSpacing/>
        <w:jc w:val="both"/>
        <w:rPr>
          <w:color w:val="595959" w:themeColor="text1" w:themeTint="A6"/>
          <w:szCs w:val="24"/>
          <w:lang w:eastAsia="lt-LT"/>
        </w:rPr>
      </w:pPr>
      <w:r w:rsidRPr="00325A7F">
        <w:rPr>
          <w:color w:val="595959" w:themeColor="text1" w:themeTint="A6"/>
          <w:szCs w:val="24"/>
          <w:lang w:eastAsia="lt-LT"/>
        </w:rPr>
        <w:t>Kultūros ministerija ES lėšomis finansuoja priemones, kuriomis siekiama padidinti kultūros paveldo aktualumą, lankomumą ir pritaikymą visuomenės poreikiams.</w:t>
      </w:r>
      <w:r w:rsidR="00484261" w:rsidRPr="00325A7F">
        <w:rPr>
          <w:color w:val="595959" w:themeColor="text1" w:themeTint="A6"/>
          <w:szCs w:val="24"/>
          <w:lang w:eastAsia="lt-LT"/>
        </w:rPr>
        <w:t xml:space="preserve"> </w:t>
      </w:r>
      <w:r w:rsidR="00F4284A" w:rsidRPr="00325A7F">
        <w:rPr>
          <w:color w:val="595959" w:themeColor="text1" w:themeTint="A6"/>
          <w:szCs w:val="24"/>
          <w:lang w:eastAsia="lt-LT"/>
        </w:rPr>
        <w:t>Nuo</w:t>
      </w:r>
      <w:r w:rsidR="00484261" w:rsidRPr="00325A7F">
        <w:rPr>
          <w:color w:val="595959" w:themeColor="text1" w:themeTint="A6"/>
          <w:szCs w:val="24"/>
          <w:lang w:eastAsia="lt-LT"/>
        </w:rPr>
        <w:t xml:space="preserve"> </w:t>
      </w:r>
      <w:r w:rsidR="00F4284A">
        <w:rPr>
          <w:color w:val="595959" w:themeColor="text1" w:themeTint="A6"/>
          <w:szCs w:val="24"/>
          <w:lang w:eastAsia="lt-LT"/>
        </w:rPr>
        <w:t>periodo pradžios</w:t>
      </w:r>
      <w:r w:rsidR="00D35F1B">
        <w:rPr>
          <w:color w:val="595959" w:themeColor="text1" w:themeTint="A6"/>
          <w:szCs w:val="24"/>
          <w:lang w:eastAsia="lt-LT"/>
        </w:rPr>
        <w:t xml:space="preserve"> ERPF lėšomis buvo atnaujinta</w:t>
      </w:r>
      <w:r w:rsidR="00484261">
        <w:rPr>
          <w:color w:val="595959" w:themeColor="text1" w:themeTint="A6"/>
          <w:szCs w:val="24"/>
          <w:lang w:eastAsia="lt-LT"/>
        </w:rPr>
        <w:t>,</w:t>
      </w:r>
      <w:r w:rsidR="00D35F1B">
        <w:rPr>
          <w:color w:val="595959" w:themeColor="text1" w:themeTint="A6"/>
          <w:szCs w:val="24"/>
          <w:lang w:eastAsia="lt-LT"/>
        </w:rPr>
        <w:t xml:space="preserve"> pritaikyta</w:t>
      </w:r>
      <w:r w:rsidR="00484261" w:rsidRPr="00325A7F">
        <w:rPr>
          <w:color w:val="595959" w:themeColor="text1" w:themeTint="A6"/>
          <w:szCs w:val="24"/>
          <w:lang w:eastAsia="lt-LT"/>
        </w:rPr>
        <w:t xml:space="preserve"> </w:t>
      </w:r>
      <w:r w:rsidR="00D35F1B">
        <w:rPr>
          <w:color w:val="595959" w:themeColor="text1" w:themeTint="A6"/>
          <w:szCs w:val="24"/>
          <w:lang w:eastAsia="lt-LT"/>
        </w:rPr>
        <w:t>kultūrinėms reikmėms bei atverta</w:t>
      </w:r>
      <w:r w:rsidR="00484261" w:rsidRPr="00325A7F">
        <w:rPr>
          <w:color w:val="595959" w:themeColor="text1" w:themeTint="A6"/>
          <w:szCs w:val="24"/>
          <w:lang w:eastAsia="lt-LT"/>
        </w:rPr>
        <w:t xml:space="preserve"> visuomenei </w:t>
      </w:r>
      <w:r w:rsidR="002D11F3">
        <w:rPr>
          <w:color w:val="595959" w:themeColor="text1" w:themeTint="A6"/>
          <w:szCs w:val="24"/>
          <w:lang w:eastAsia="lt-LT"/>
        </w:rPr>
        <w:t>31</w:t>
      </w:r>
      <w:r w:rsidR="00D35F1B">
        <w:rPr>
          <w:color w:val="595959" w:themeColor="text1" w:themeTint="A6"/>
          <w:szCs w:val="24"/>
          <w:lang w:eastAsia="lt-LT"/>
        </w:rPr>
        <w:t xml:space="preserve"> </w:t>
      </w:r>
      <w:r w:rsidR="00484261" w:rsidRPr="00325A7F">
        <w:rPr>
          <w:color w:val="595959" w:themeColor="text1" w:themeTint="A6"/>
          <w:szCs w:val="24"/>
          <w:lang w:eastAsia="lt-LT"/>
        </w:rPr>
        <w:t>kultūros paveldo objekta</w:t>
      </w:r>
      <w:r w:rsidR="00D35F1B">
        <w:rPr>
          <w:color w:val="595959" w:themeColor="text1" w:themeTint="A6"/>
          <w:szCs w:val="24"/>
          <w:lang w:eastAsia="lt-LT"/>
        </w:rPr>
        <w:t>s</w:t>
      </w:r>
      <w:r w:rsidR="00484261" w:rsidRPr="00325A7F">
        <w:rPr>
          <w:color w:val="595959" w:themeColor="text1" w:themeTint="A6"/>
          <w:szCs w:val="24"/>
          <w:lang w:eastAsia="lt-LT"/>
        </w:rPr>
        <w:t xml:space="preserve">, kurie sukuria apie </w:t>
      </w:r>
      <w:r w:rsidR="002D11F3">
        <w:rPr>
          <w:color w:val="595959" w:themeColor="text1" w:themeTint="A6"/>
          <w:szCs w:val="24"/>
          <w:lang w:eastAsia="lt-LT"/>
        </w:rPr>
        <w:t>148</w:t>
      </w:r>
      <w:r w:rsidR="00484261" w:rsidRPr="00325A7F">
        <w:rPr>
          <w:color w:val="595959" w:themeColor="text1" w:themeTint="A6"/>
          <w:szCs w:val="24"/>
          <w:lang w:eastAsia="lt-LT"/>
        </w:rPr>
        <w:t xml:space="preserve"> tūkst. papildomų lankytojų srautą per metus.</w:t>
      </w:r>
    </w:p>
    <w:p w:rsidR="00484261" w:rsidRPr="00325A7F" w:rsidRDefault="007A019F" w:rsidP="00484261">
      <w:pPr>
        <w:pStyle w:val="tekstas"/>
        <w:rPr>
          <w:rFonts w:ascii="Times New Roman" w:hAnsi="Times New Roman"/>
          <w:color w:val="595959" w:themeColor="text1" w:themeTint="A6"/>
          <w:lang w:eastAsia="lt-LT"/>
        </w:rPr>
      </w:pPr>
      <w:r w:rsidRPr="007A019F">
        <w:rPr>
          <w:rFonts w:ascii="Times New Roman" w:hAnsi="Times New Roman"/>
          <w:color w:val="595959" w:themeColor="text1" w:themeTint="A6"/>
          <w:lang w:eastAsia="lt-LT"/>
        </w:rPr>
        <w:t xml:space="preserve">Išmokėjimų rodikliui įtakos turėjo paskelbtas karantinas dėl </w:t>
      </w:r>
      <w:proofErr w:type="spellStart"/>
      <w:r w:rsidRPr="007A019F">
        <w:rPr>
          <w:rFonts w:ascii="Times New Roman" w:hAnsi="Times New Roman"/>
          <w:color w:val="595959" w:themeColor="text1" w:themeTint="A6"/>
          <w:lang w:eastAsia="lt-LT"/>
        </w:rPr>
        <w:t>C</w:t>
      </w:r>
      <w:r>
        <w:rPr>
          <w:rFonts w:ascii="Times New Roman" w:hAnsi="Times New Roman"/>
          <w:color w:val="595959" w:themeColor="text1" w:themeTint="A6"/>
          <w:lang w:eastAsia="lt-LT"/>
        </w:rPr>
        <w:t>ovid</w:t>
      </w:r>
      <w:r w:rsidRPr="007A019F">
        <w:rPr>
          <w:rFonts w:ascii="Times New Roman" w:hAnsi="Times New Roman"/>
          <w:color w:val="595959" w:themeColor="text1" w:themeTint="A6"/>
          <w:lang w:eastAsia="lt-LT"/>
        </w:rPr>
        <w:t>-19,</w:t>
      </w:r>
      <w:proofErr w:type="spellEnd"/>
      <w:r w:rsidRPr="007A019F">
        <w:rPr>
          <w:rFonts w:ascii="Times New Roman" w:hAnsi="Times New Roman"/>
          <w:color w:val="595959" w:themeColor="text1" w:themeTint="A6"/>
          <w:lang w:eastAsia="lt-LT"/>
        </w:rPr>
        <w:t xml:space="preserve"> kadangi dalies veiklų vykdymas buvo sustabdytas ar apribotas, todėl Kultūros ministerija turėtų aktyviai stebėti įgyvendinamus projektus, esant rizikoms, identifikuoti problemų priežastis ir jas spręsti.</w:t>
      </w:r>
      <w:r w:rsidR="00484261">
        <w:rPr>
          <w:rFonts w:ascii="Times New Roman" w:hAnsi="Times New Roman"/>
          <w:color w:val="595959" w:themeColor="text1" w:themeTint="A6"/>
          <w:lang w:eastAsia="lt-LT"/>
        </w:rPr>
        <w:t xml:space="preserve"> </w:t>
      </w:r>
      <w:r w:rsidR="00484261" w:rsidRPr="00325A7F">
        <w:rPr>
          <w:rFonts w:ascii="Times New Roman" w:hAnsi="Times New Roman"/>
          <w:color w:val="595959" w:themeColor="text1" w:themeTint="A6"/>
          <w:lang w:eastAsia="lt-LT"/>
        </w:rPr>
        <w:t xml:space="preserve">Lieka rizika, kad projektuose įvykdžius viešuosius pirkimus ar dėl kultūros paveldo projektų įgyvendinimo specifikos išaugs projektų vertė ar papildomų lėšų poreikis. </w:t>
      </w:r>
    </w:p>
    <w:p w:rsidR="007A019F" w:rsidRPr="007A019F" w:rsidRDefault="007A019F" w:rsidP="007A019F">
      <w:pPr>
        <w:pStyle w:val="tekstas"/>
        <w:rPr>
          <w:rFonts w:ascii="Times New Roman" w:hAnsi="Times New Roman"/>
          <w:color w:val="595959" w:themeColor="text1" w:themeTint="A6"/>
          <w:lang w:eastAsia="lt-LT"/>
        </w:rPr>
      </w:pPr>
      <w:r w:rsidRPr="007A019F">
        <w:rPr>
          <w:rFonts w:ascii="Times New Roman" w:hAnsi="Times New Roman"/>
          <w:color w:val="595959" w:themeColor="text1" w:themeTint="A6"/>
          <w:lang w:eastAsia="lt-LT"/>
        </w:rPr>
        <w:t>Nuo 2019 m. pradžios įgyvendinama kultūros paveldo finansinė priemonė – Kultūros paveldo fondas (5,2 mln. eurų), pagal kurią šiuo metu įgyvendinami 5 projektai už 2,4</w:t>
      </w:r>
      <w:r w:rsidR="00707FAE">
        <w:rPr>
          <w:rFonts w:ascii="Times New Roman" w:hAnsi="Times New Roman"/>
          <w:color w:val="595959" w:themeColor="text1" w:themeTint="A6"/>
          <w:lang w:eastAsia="lt-LT"/>
        </w:rPr>
        <w:t>4</w:t>
      </w:r>
      <w:r w:rsidRPr="007A019F">
        <w:rPr>
          <w:rFonts w:ascii="Times New Roman" w:hAnsi="Times New Roman"/>
          <w:color w:val="595959" w:themeColor="text1" w:themeTint="A6"/>
          <w:lang w:eastAsia="lt-LT"/>
        </w:rPr>
        <w:t xml:space="preserve"> mln. eurų (vertinamos dar </w:t>
      </w:r>
      <w:r w:rsidR="00707FAE">
        <w:rPr>
          <w:rFonts w:ascii="Times New Roman" w:hAnsi="Times New Roman"/>
          <w:color w:val="595959" w:themeColor="text1" w:themeTint="A6"/>
          <w:lang w:eastAsia="lt-LT"/>
        </w:rPr>
        <w:t>7</w:t>
      </w:r>
      <w:r w:rsidR="00707FAE" w:rsidRPr="007A019F">
        <w:rPr>
          <w:rFonts w:ascii="Times New Roman" w:hAnsi="Times New Roman"/>
          <w:color w:val="595959" w:themeColor="text1" w:themeTint="A6"/>
          <w:lang w:eastAsia="lt-LT"/>
        </w:rPr>
        <w:t xml:space="preserve"> </w:t>
      </w:r>
      <w:r w:rsidRPr="007A019F">
        <w:rPr>
          <w:rFonts w:ascii="Times New Roman" w:hAnsi="Times New Roman"/>
          <w:color w:val="595959" w:themeColor="text1" w:themeTint="A6"/>
          <w:lang w:eastAsia="lt-LT"/>
        </w:rPr>
        <w:t xml:space="preserve">projektų paraiškos). Fondas teikia lengvatines paskolas viešiesiems ir privatiems juridiniams asmenims valdantiems kultūros paveldo objektus, jų atnaujinimui ir </w:t>
      </w:r>
      <w:proofErr w:type="spellStart"/>
      <w:r w:rsidRPr="007A019F">
        <w:rPr>
          <w:rFonts w:ascii="Times New Roman" w:hAnsi="Times New Roman"/>
          <w:color w:val="595959" w:themeColor="text1" w:themeTint="A6"/>
          <w:lang w:eastAsia="lt-LT"/>
        </w:rPr>
        <w:t>įveiklinimui</w:t>
      </w:r>
      <w:proofErr w:type="spellEnd"/>
      <w:r w:rsidRPr="007A019F">
        <w:rPr>
          <w:rFonts w:ascii="Times New Roman" w:hAnsi="Times New Roman"/>
          <w:color w:val="595959" w:themeColor="text1" w:themeTint="A6"/>
          <w:lang w:eastAsia="lt-LT"/>
        </w:rPr>
        <w:t xml:space="preserve">. Kultūros ministerijai planuojant naujo finansavimo laikotarpio veiklas siūloma apsvarstyti galimybę toliau tęsti šią finansinę priemonę. Į Kultūros paveldo fondą perkėlus naujos ES finansavimo programos lėšas, tai būtų instrumentas kultūros paveldo išlaikymui finansuoti ateityje (į fondą grįžusios lėšos galėtų būti naudojamos kitiems kultūros paveldo objektams finansuoti). </w:t>
      </w:r>
    </w:p>
    <w:p w:rsidR="007A019F" w:rsidRDefault="007A019F" w:rsidP="007A019F">
      <w:pPr>
        <w:pStyle w:val="tekstas"/>
        <w:rPr>
          <w:rFonts w:ascii="Times New Roman" w:hAnsi="Times New Roman"/>
          <w:color w:val="595959" w:themeColor="text1" w:themeTint="A6"/>
          <w:lang w:eastAsia="lt-LT"/>
        </w:rPr>
      </w:pPr>
      <w:r w:rsidRPr="007A019F">
        <w:rPr>
          <w:rFonts w:ascii="Times New Roman" w:hAnsi="Times New Roman"/>
          <w:color w:val="595959" w:themeColor="text1" w:themeTint="A6"/>
          <w:lang w:eastAsia="lt-LT"/>
        </w:rPr>
        <w:t>Naujoje finansinėje 2021–2027 m. ES perspektyvoje kultūros paveldo projektai bus finansuojami atliepiant konkrečios vietos/regiono poreikius pagal integruotas teritorijų strategijas, vadovaujantis principu "iš apačios", tai yra paliekama teisė pačiai bendruomenei apsispręsti dėl prioritetinių investicijų ir poreikių jų regione. Kultūros ministerijai siūloma aktyviau bendrauti su regionais ir viešinti investicijų į kultūros paveldo naudą, skatinti ieškoti būdų aktualizuotus kultūros paveldo objektus panaudoti ne tik kultūros, bet ir kitų viešųjų paslaugų teikimui, skatinti nekurti naujos kultūros infrastruktūros, o prioritetą teikti kultūros paveldo obj</w:t>
      </w:r>
      <w:r w:rsidR="00596BBF">
        <w:rPr>
          <w:rFonts w:ascii="Times New Roman" w:hAnsi="Times New Roman"/>
          <w:color w:val="595959" w:themeColor="text1" w:themeTint="A6"/>
          <w:lang w:eastAsia="lt-LT"/>
        </w:rPr>
        <w:t>ektų tvarkymui ir pritaikymui.</w:t>
      </w:r>
    </w:p>
    <w:p w:rsidR="006202B9" w:rsidRPr="00D35F1B" w:rsidRDefault="007A019F" w:rsidP="00D35F1B">
      <w:pPr>
        <w:pStyle w:val="tekstas"/>
        <w:rPr>
          <w:rFonts w:ascii="Times New Roman" w:hAnsi="Times New Roman"/>
          <w:color w:val="595959" w:themeColor="text1" w:themeTint="A6"/>
          <w:lang w:eastAsia="lt-LT"/>
        </w:rPr>
      </w:pPr>
      <w:r w:rsidRPr="007A019F">
        <w:rPr>
          <w:rFonts w:ascii="Times New Roman" w:hAnsi="Times New Roman"/>
          <w:color w:val="595959" w:themeColor="text1" w:themeTint="A6"/>
          <w:lang w:eastAsia="lt-LT"/>
        </w:rPr>
        <w:t xml:space="preserve">Siekiant paremti veiksmus </w:t>
      </w:r>
      <w:proofErr w:type="spellStart"/>
      <w:r w:rsidRPr="007A019F">
        <w:rPr>
          <w:rFonts w:ascii="Times New Roman" w:hAnsi="Times New Roman"/>
          <w:color w:val="595959" w:themeColor="text1" w:themeTint="A6"/>
          <w:lang w:eastAsia="lt-LT"/>
        </w:rPr>
        <w:t>C</w:t>
      </w:r>
      <w:r w:rsidR="00596BBF">
        <w:rPr>
          <w:rFonts w:ascii="Times New Roman" w:hAnsi="Times New Roman"/>
          <w:color w:val="595959" w:themeColor="text1" w:themeTint="A6"/>
          <w:lang w:eastAsia="lt-LT"/>
        </w:rPr>
        <w:t>ovid</w:t>
      </w:r>
      <w:r w:rsidRPr="007A019F">
        <w:rPr>
          <w:rFonts w:ascii="Times New Roman" w:hAnsi="Times New Roman"/>
          <w:color w:val="595959" w:themeColor="text1" w:themeTint="A6"/>
          <w:lang w:eastAsia="lt-LT"/>
        </w:rPr>
        <w:t>-19</w:t>
      </w:r>
      <w:proofErr w:type="spellEnd"/>
      <w:r w:rsidRPr="007A019F">
        <w:rPr>
          <w:rFonts w:ascii="Times New Roman" w:hAnsi="Times New Roman"/>
          <w:color w:val="595959" w:themeColor="text1" w:themeTint="A6"/>
          <w:lang w:eastAsia="lt-LT"/>
        </w:rPr>
        <w:t xml:space="preserve"> pandemijos sukeltai krizei įveikti, 15,5 mln. eurų </w:t>
      </w:r>
      <w:proofErr w:type="spellStart"/>
      <w:r w:rsidRPr="007A019F">
        <w:rPr>
          <w:rFonts w:ascii="Times New Roman" w:hAnsi="Times New Roman"/>
          <w:color w:val="595959" w:themeColor="text1" w:themeTint="A6"/>
          <w:lang w:eastAsia="lt-LT"/>
        </w:rPr>
        <w:t>R</w:t>
      </w:r>
      <w:r w:rsidR="006202B9">
        <w:rPr>
          <w:rFonts w:ascii="Times New Roman" w:hAnsi="Times New Roman"/>
          <w:color w:val="595959" w:themeColor="text1" w:themeTint="A6"/>
          <w:lang w:eastAsia="lt-LT"/>
        </w:rPr>
        <w:t>eact-</w:t>
      </w:r>
      <w:r w:rsidRPr="007A019F">
        <w:rPr>
          <w:rFonts w:ascii="Times New Roman" w:hAnsi="Times New Roman"/>
          <w:color w:val="595959" w:themeColor="text1" w:themeTint="A6"/>
          <w:lang w:eastAsia="lt-LT"/>
        </w:rPr>
        <w:t>EU</w:t>
      </w:r>
      <w:proofErr w:type="spellEnd"/>
      <w:r w:rsidRPr="007A019F">
        <w:rPr>
          <w:rFonts w:ascii="Times New Roman" w:hAnsi="Times New Roman"/>
          <w:color w:val="595959" w:themeColor="text1" w:themeTint="A6"/>
          <w:lang w:eastAsia="lt-LT"/>
        </w:rPr>
        <w:t xml:space="preserve"> lėšų skirta kultūros ir kūrybinių industrijų sektoriui (KKI). Siekiant išnaudoti KKI sektoriaus kūrybinį potencialą, bus investuojama į labai mažas, mažas ir vidutines KKI įmones, skatinant jas kurti naujus pridėtinę vertę kuriančius konkurencingus skaitmeninę/žiedinę ekonomiką skatinančius kūrybinio turinio ir formos produktus, kurie prisidėtų prie tvarios žiedinės ekonomikos ir </w:t>
      </w:r>
      <w:proofErr w:type="spellStart"/>
      <w:r w:rsidRPr="007A019F">
        <w:rPr>
          <w:rFonts w:ascii="Times New Roman" w:hAnsi="Times New Roman"/>
          <w:color w:val="595959" w:themeColor="text1" w:themeTint="A6"/>
          <w:lang w:eastAsia="lt-LT"/>
        </w:rPr>
        <w:t>skaitmenizavimo</w:t>
      </w:r>
      <w:proofErr w:type="spellEnd"/>
      <w:r w:rsidRPr="007A019F">
        <w:rPr>
          <w:rFonts w:ascii="Times New Roman" w:hAnsi="Times New Roman"/>
          <w:color w:val="595959" w:themeColor="text1" w:themeTint="A6"/>
          <w:lang w:eastAsia="lt-LT"/>
        </w:rPr>
        <w:t xml:space="preserve"> bei aukštos kvalifikacijos darbo vietų kūrimo.</w:t>
      </w:r>
    </w:p>
    <w:p w:rsidR="00661A1B" w:rsidRDefault="00661A1B" w:rsidP="007A019F">
      <w:pPr>
        <w:pStyle w:val="tekstas"/>
        <w:ind w:firstLine="0"/>
        <w:rPr>
          <w:rFonts w:ascii="Times New Roman" w:hAnsi="Times New Roman"/>
          <w:color w:val="595959" w:themeColor="text1" w:themeTint="A6"/>
          <w:lang w:eastAsia="lt-LT"/>
        </w:rPr>
      </w:pPr>
    </w:p>
    <w:p w:rsidR="008004A4" w:rsidRDefault="00D35F1B" w:rsidP="008510B0">
      <w:pPr>
        <w:pStyle w:val="tekstas"/>
        <w:ind w:firstLine="0"/>
        <w:rPr>
          <w:rFonts w:ascii="Times New Roman" w:hAnsi="Times New Roman"/>
          <w:color w:val="595959" w:themeColor="text1" w:themeTint="A6"/>
          <w:lang w:eastAsia="lt-LT"/>
        </w:rPr>
      </w:pPr>
      <w:r>
        <w:rPr>
          <w:noProof/>
          <w:lang w:eastAsia="lt-LT"/>
        </w:rPr>
        <w:drawing>
          <wp:inline distT="0" distB="0" distL="0" distR="0" wp14:anchorId="1B0BC32B" wp14:editId="3464F256">
            <wp:extent cx="6120130" cy="767385"/>
            <wp:effectExtent l="0" t="0" r="13970" b="13970"/>
            <wp:docPr id="403" name="Diagrama 40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004A4" w:rsidRDefault="008004A4" w:rsidP="008510B0">
      <w:pPr>
        <w:pStyle w:val="tekstas"/>
        <w:ind w:firstLine="0"/>
        <w:rPr>
          <w:rFonts w:ascii="Times New Roman" w:hAnsi="Times New Roman"/>
          <w:color w:val="595959" w:themeColor="text1" w:themeTint="A6"/>
          <w:lang w:eastAsia="lt-LT"/>
        </w:rPr>
      </w:pPr>
    </w:p>
    <w:p w:rsidR="008004A4" w:rsidRDefault="008004A4" w:rsidP="008004A4">
      <w:pPr>
        <w:pStyle w:val="tekstas"/>
        <w:rPr>
          <w:rFonts w:ascii="Times New Roman" w:hAnsi="Times New Roman"/>
          <w:color w:val="595959" w:themeColor="text1" w:themeTint="A6"/>
          <w:lang w:eastAsia="lt-LT"/>
        </w:rPr>
      </w:pPr>
      <w:r w:rsidRPr="008004A4">
        <w:rPr>
          <w:rFonts w:ascii="Times New Roman" w:hAnsi="Times New Roman"/>
          <w:color w:val="595959" w:themeColor="text1" w:themeTint="A6"/>
          <w:lang w:eastAsia="lt-LT"/>
        </w:rPr>
        <w:t xml:space="preserve">Ekonomikos ir inovacijų ministerija sudarė sutartis visoms </w:t>
      </w:r>
      <w:r>
        <w:rPr>
          <w:rFonts w:ascii="Times New Roman" w:hAnsi="Times New Roman"/>
          <w:color w:val="595959" w:themeColor="text1" w:themeTint="A6"/>
          <w:lang w:eastAsia="lt-LT"/>
        </w:rPr>
        <w:t>5</w:t>
      </w:r>
      <w:r w:rsidRPr="008004A4">
        <w:rPr>
          <w:rFonts w:ascii="Times New Roman" w:hAnsi="Times New Roman"/>
          <w:color w:val="595959" w:themeColor="text1" w:themeTint="A6"/>
          <w:lang w:eastAsia="lt-LT"/>
        </w:rPr>
        <w:t xml:space="preserve"> prioriteto administruojamų priemonių lėšoms. Lėšų investavimas yra pakankama</w:t>
      </w:r>
      <w:r w:rsidR="00ED5136">
        <w:rPr>
          <w:rFonts w:ascii="Times New Roman" w:hAnsi="Times New Roman"/>
          <w:color w:val="595959" w:themeColor="text1" w:themeTint="A6"/>
          <w:lang w:eastAsia="lt-LT"/>
        </w:rPr>
        <w:t>i</w:t>
      </w:r>
      <w:r w:rsidRPr="008004A4">
        <w:rPr>
          <w:rFonts w:ascii="Times New Roman" w:hAnsi="Times New Roman"/>
          <w:color w:val="595959" w:themeColor="text1" w:themeTint="A6"/>
          <w:lang w:eastAsia="lt-LT"/>
        </w:rPr>
        <w:t xml:space="preserve"> spartus ir viršija Veiksmų programos vidurkį. Papildomai šiame prioritete ministerijai yra numatyta </w:t>
      </w:r>
      <w:r>
        <w:rPr>
          <w:rFonts w:ascii="Times New Roman" w:hAnsi="Times New Roman"/>
          <w:color w:val="595959" w:themeColor="text1" w:themeTint="A6"/>
          <w:lang w:eastAsia="lt-LT"/>
        </w:rPr>
        <w:t>0,2</w:t>
      </w:r>
      <w:r w:rsidRPr="008004A4">
        <w:rPr>
          <w:rFonts w:ascii="Times New Roman" w:hAnsi="Times New Roman"/>
          <w:color w:val="595959" w:themeColor="text1" w:themeTint="A6"/>
          <w:lang w:eastAsia="lt-LT"/>
        </w:rPr>
        <w:t xml:space="preserve"> mln. eurų ES lėšų </w:t>
      </w:r>
      <w:proofErr w:type="spellStart"/>
      <w:r w:rsidRPr="008004A4">
        <w:rPr>
          <w:rFonts w:ascii="Times New Roman" w:hAnsi="Times New Roman"/>
          <w:color w:val="595959" w:themeColor="text1" w:themeTint="A6"/>
          <w:lang w:eastAsia="lt-LT"/>
        </w:rPr>
        <w:t>virškontraktavimo</w:t>
      </w:r>
      <w:proofErr w:type="spellEnd"/>
      <w:r w:rsidRPr="008004A4">
        <w:rPr>
          <w:rFonts w:ascii="Times New Roman" w:hAnsi="Times New Roman"/>
          <w:color w:val="595959" w:themeColor="text1" w:themeTint="A6"/>
          <w:lang w:eastAsia="lt-LT"/>
        </w:rPr>
        <w:t xml:space="preserve"> galimybė.</w:t>
      </w:r>
    </w:p>
    <w:p w:rsidR="008004A4" w:rsidRDefault="00596BBF" w:rsidP="00596BBF">
      <w:pPr>
        <w:pStyle w:val="tekstas"/>
        <w:rPr>
          <w:rFonts w:ascii="Times New Roman" w:hAnsi="Times New Roman"/>
          <w:color w:val="595959" w:themeColor="text1" w:themeTint="A6"/>
          <w:lang w:eastAsia="lt-LT"/>
        </w:rPr>
      </w:pPr>
      <w:r w:rsidRPr="00596BBF">
        <w:rPr>
          <w:rFonts w:ascii="Times New Roman" w:hAnsi="Times New Roman"/>
          <w:color w:val="595959" w:themeColor="text1" w:themeTint="A6"/>
          <w:lang w:eastAsia="lt-LT"/>
        </w:rPr>
        <w:lastRenderedPageBreak/>
        <w:t xml:space="preserve">Ekonomikos ir inovacijų ministerija </w:t>
      </w:r>
      <w:r>
        <w:rPr>
          <w:rFonts w:ascii="Times New Roman" w:hAnsi="Times New Roman"/>
          <w:color w:val="595959" w:themeColor="text1" w:themeTint="A6"/>
          <w:lang w:eastAsia="lt-LT"/>
        </w:rPr>
        <w:t>šiame</w:t>
      </w:r>
      <w:r w:rsidRPr="00596BBF">
        <w:rPr>
          <w:rFonts w:ascii="Times New Roman" w:hAnsi="Times New Roman"/>
          <w:color w:val="595959" w:themeColor="text1" w:themeTint="A6"/>
          <w:lang w:eastAsia="lt-LT"/>
        </w:rPr>
        <w:t xml:space="preserve"> prioritete investuoja į kultūros ir gamtos paveldo objektų, turizmo maršrutų, turizmo trasų ir prioritetinių turizmo produktų rinkodarą ir lankytinų vietų ženklinimą.</w:t>
      </w:r>
    </w:p>
    <w:p w:rsidR="00596BBF" w:rsidRDefault="00596BBF" w:rsidP="008510B0">
      <w:pPr>
        <w:pStyle w:val="tekstas"/>
        <w:ind w:firstLine="0"/>
        <w:rPr>
          <w:rFonts w:ascii="Times New Roman" w:hAnsi="Times New Roman"/>
          <w:color w:val="595959" w:themeColor="text1" w:themeTint="A6"/>
          <w:lang w:eastAsia="lt-LT"/>
        </w:rPr>
      </w:pPr>
    </w:p>
    <w:p w:rsidR="00C92FA0" w:rsidRDefault="00857F40" w:rsidP="008510B0">
      <w:pPr>
        <w:pStyle w:val="tekstas"/>
        <w:ind w:firstLine="0"/>
        <w:rPr>
          <w:rFonts w:ascii="Times New Roman" w:hAnsi="Times New Roman"/>
          <w:color w:val="595959" w:themeColor="text1" w:themeTint="A6"/>
          <w:lang w:eastAsia="lt-LT"/>
        </w:rPr>
      </w:pPr>
      <w:r>
        <w:rPr>
          <w:noProof/>
          <w:lang w:eastAsia="lt-LT"/>
        </w:rPr>
        <w:drawing>
          <wp:inline distT="0" distB="0" distL="0" distR="0" wp14:anchorId="748A6CC8" wp14:editId="7D7C1D41">
            <wp:extent cx="6124575" cy="771525"/>
            <wp:effectExtent l="0" t="0" r="9525" b="9525"/>
            <wp:docPr id="22" name="Diagra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4483E" w:rsidRDefault="0014483E" w:rsidP="00D635D0">
      <w:pPr>
        <w:pStyle w:val="tekstas"/>
        <w:ind w:firstLine="0"/>
        <w:rPr>
          <w:rFonts w:ascii="Times New Roman" w:hAnsi="Times New Roman"/>
          <w:color w:val="595959" w:themeColor="text1" w:themeTint="A6"/>
          <w:lang w:eastAsia="lt-LT"/>
        </w:rPr>
      </w:pPr>
    </w:p>
    <w:p w:rsidR="00C92FA0" w:rsidRDefault="0014483E" w:rsidP="00D635D0">
      <w:pPr>
        <w:pStyle w:val="tekstas"/>
        <w:rPr>
          <w:rFonts w:ascii="Times New Roman" w:hAnsi="Times New Roman"/>
          <w:color w:val="595959" w:themeColor="text1" w:themeTint="A6"/>
          <w:lang w:eastAsia="lt-LT"/>
        </w:rPr>
      </w:pPr>
      <w:r w:rsidRPr="0014483E">
        <w:rPr>
          <w:rFonts w:ascii="Times New Roman" w:hAnsi="Times New Roman"/>
          <w:color w:val="595959" w:themeColor="text1" w:themeTint="A6"/>
          <w:lang w:eastAsia="lt-LT"/>
        </w:rPr>
        <w:t xml:space="preserve">Vidaus reikalų ministerija </w:t>
      </w:r>
      <w:r>
        <w:rPr>
          <w:rFonts w:ascii="Times New Roman" w:hAnsi="Times New Roman"/>
          <w:color w:val="595959" w:themeColor="text1" w:themeTint="A6"/>
          <w:lang w:eastAsia="lt-LT"/>
        </w:rPr>
        <w:t>į</w:t>
      </w:r>
      <w:r w:rsidRPr="0014483E">
        <w:rPr>
          <w:rFonts w:ascii="Times New Roman" w:hAnsi="Times New Roman"/>
          <w:color w:val="595959" w:themeColor="text1" w:themeTint="A6"/>
          <w:lang w:eastAsia="lt-LT"/>
        </w:rPr>
        <w:t xml:space="preserve">gyvendindama 5 prioriteto priemonę „Gyventojų perspėjimo apie pavojus ir gelbėjimo sistemų tobulinimas ir plėtra“ </w:t>
      </w:r>
      <w:r w:rsidR="00596BBF">
        <w:rPr>
          <w:rFonts w:ascii="Times New Roman" w:hAnsi="Times New Roman"/>
          <w:color w:val="595959" w:themeColor="text1" w:themeTint="A6"/>
          <w:lang w:eastAsia="lt-LT"/>
        </w:rPr>
        <w:t xml:space="preserve">ERPF </w:t>
      </w:r>
      <w:r w:rsidR="00596BBF" w:rsidRPr="00596BBF">
        <w:rPr>
          <w:rFonts w:ascii="Times New Roman" w:hAnsi="Times New Roman"/>
          <w:color w:val="595959" w:themeColor="text1" w:themeTint="A6"/>
          <w:lang w:eastAsia="lt-LT"/>
        </w:rPr>
        <w:t>lėšas investuoja į 73 vnt. gelbėjimo modulių, aprūpintų visa reikiama gelbėjimo įranga, skirtų įvairių ekstremaliųjų situacijų, stichinių ir katastrofinių hidrologinių bei meteorologinių reiškinių padarinių likvidavimui, įsigijimui bei gyventojų perspėjimo apie pavojus sistemos tobulinimą ir plėtrą.</w:t>
      </w:r>
      <w:r w:rsidR="00596BBF">
        <w:rPr>
          <w:rFonts w:ascii="Times New Roman" w:hAnsi="Times New Roman"/>
          <w:color w:val="595959" w:themeColor="text1" w:themeTint="A6"/>
          <w:lang w:eastAsia="lt-LT"/>
        </w:rPr>
        <w:t xml:space="preserve"> Visos </w:t>
      </w:r>
      <w:r w:rsidR="00596BBF" w:rsidRPr="00596BBF">
        <w:rPr>
          <w:rFonts w:ascii="Times New Roman" w:hAnsi="Times New Roman"/>
          <w:color w:val="595959" w:themeColor="text1" w:themeTint="A6"/>
          <w:lang w:eastAsia="lt-LT"/>
        </w:rPr>
        <w:t>šiam tikslui skirtos lėšos suplanuotos ir visos sutartys pasirašytos</w:t>
      </w:r>
      <w:r w:rsidRPr="0014483E">
        <w:rPr>
          <w:rFonts w:ascii="Times New Roman" w:hAnsi="Times New Roman"/>
          <w:color w:val="595959" w:themeColor="text1" w:themeTint="A6"/>
          <w:lang w:eastAsia="lt-LT"/>
        </w:rPr>
        <w:t>, tačiau dėl nesibai</w:t>
      </w:r>
      <w:r>
        <w:rPr>
          <w:rFonts w:ascii="Times New Roman" w:hAnsi="Times New Roman"/>
          <w:color w:val="595959" w:themeColor="text1" w:themeTint="A6"/>
          <w:lang w:eastAsia="lt-LT"/>
        </w:rPr>
        <w:t>gusių viešųjų pirkimų procedūrų</w:t>
      </w:r>
      <w:r w:rsidRPr="0014483E">
        <w:rPr>
          <w:rFonts w:ascii="Times New Roman" w:hAnsi="Times New Roman"/>
          <w:color w:val="595959" w:themeColor="text1" w:themeTint="A6"/>
          <w:lang w:eastAsia="lt-LT"/>
        </w:rPr>
        <w:t xml:space="preserve"> invest</w:t>
      </w:r>
      <w:r>
        <w:rPr>
          <w:rFonts w:ascii="Times New Roman" w:hAnsi="Times New Roman"/>
          <w:color w:val="595959" w:themeColor="text1" w:themeTint="A6"/>
          <w:lang w:eastAsia="lt-LT"/>
        </w:rPr>
        <w:t>avo</w:t>
      </w:r>
      <w:r w:rsidRPr="0014483E">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tik</w:t>
      </w:r>
      <w:r w:rsidRPr="0014483E">
        <w:rPr>
          <w:rFonts w:ascii="Times New Roman" w:hAnsi="Times New Roman"/>
          <w:color w:val="595959" w:themeColor="text1" w:themeTint="A6"/>
          <w:lang w:eastAsia="lt-LT"/>
        </w:rPr>
        <w:t xml:space="preserve"> 2</w:t>
      </w:r>
      <w:r w:rsidR="00D35F1B">
        <w:rPr>
          <w:rFonts w:ascii="Times New Roman" w:hAnsi="Times New Roman"/>
          <w:color w:val="595959" w:themeColor="text1" w:themeTint="A6"/>
          <w:lang w:eastAsia="lt-LT"/>
        </w:rPr>
        <w:t>0</w:t>
      </w:r>
      <w:r w:rsidRPr="0014483E">
        <w:rPr>
          <w:rFonts w:ascii="Times New Roman" w:hAnsi="Times New Roman"/>
          <w:color w:val="595959" w:themeColor="text1" w:themeTint="A6"/>
          <w:lang w:eastAsia="lt-LT"/>
        </w:rPr>
        <w:t xml:space="preserve"> proc. ES lėšų</w:t>
      </w:r>
      <w:r>
        <w:rPr>
          <w:rFonts w:ascii="Times New Roman" w:hAnsi="Times New Roman"/>
          <w:color w:val="595959" w:themeColor="text1" w:themeTint="A6"/>
          <w:lang w:eastAsia="lt-LT"/>
        </w:rPr>
        <w:t xml:space="preserve">. </w:t>
      </w:r>
      <w:r w:rsidR="00973515">
        <w:rPr>
          <w:rFonts w:ascii="Times New Roman" w:hAnsi="Times New Roman"/>
          <w:color w:val="595959" w:themeColor="text1" w:themeTint="A6"/>
          <w:lang w:eastAsia="lt-LT"/>
        </w:rPr>
        <w:t xml:space="preserve">Atsižvelgiant į tai, kad šios priemonės lėšomis įsigyjamos prekės, o ne </w:t>
      </w:r>
      <w:r w:rsidR="00FD66CE">
        <w:rPr>
          <w:rFonts w:ascii="Times New Roman" w:hAnsi="Times New Roman"/>
          <w:color w:val="595959" w:themeColor="text1" w:themeTint="A6"/>
          <w:lang w:eastAsia="lt-LT"/>
        </w:rPr>
        <w:t>vykdomi</w:t>
      </w:r>
      <w:r w:rsidR="00973515">
        <w:rPr>
          <w:rFonts w:ascii="Times New Roman" w:hAnsi="Times New Roman"/>
          <w:color w:val="595959" w:themeColor="text1" w:themeTint="A6"/>
          <w:lang w:eastAsia="lt-LT"/>
        </w:rPr>
        <w:t xml:space="preserve"> darbai, </w:t>
      </w:r>
      <w:r w:rsidR="00596BBF">
        <w:rPr>
          <w:rFonts w:ascii="Times New Roman" w:hAnsi="Times New Roman"/>
          <w:color w:val="595959" w:themeColor="text1" w:themeTint="A6"/>
          <w:lang w:eastAsia="lt-LT"/>
        </w:rPr>
        <w:t>rizika</w:t>
      </w:r>
      <w:r>
        <w:rPr>
          <w:rFonts w:ascii="Times New Roman" w:hAnsi="Times New Roman"/>
          <w:color w:val="595959" w:themeColor="text1" w:themeTint="A6"/>
          <w:lang w:eastAsia="lt-LT"/>
        </w:rPr>
        <w:t xml:space="preserve">, kad iki 2023 m. pabaigos nebus </w:t>
      </w:r>
      <w:r w:rsidR="00FD66CE">
        <w:rPr>
          <w:rFonts w:ascii="Times New Roman" w:hAnsi="Times New Roman"/>
          <w:color w:val="595959" w:themeColor="text1" w:themeTint="A6"/>
          <w:lang w:eastAsia="lt-LT"/>
        </w:rPr>
        <w:t>investuotos</w:t>
      </w:r>
      <w:r w:rsidR="00596BBF">
        <w:rPr>
          <w:rFonts w:ascii="Times New Roman" w:hAnsi="Times New Roman"/>
          <w:color w:val="595959" w:themeColor="text1" w:themeTint="A6"/>
          <w:lang w:eastAsia="lt-LT"/>
        </w:rPr>
        <w:t xml:space="preserve"> ES lėšos, minimali</w:t>
      </w:r>
      <w:r>
        <w:rPr>
          <w:rFonts w:ascii="Times New Roman" w:hAnsi="Times New Roman"/>
          <w:color w:val="595959" w:themeColor="text1" w:themeTint="A6"/>
          <w:lang w:eastAsia="lt-LT"/>
        </w:rPr>
        <w:t>.</w:t>
      </w:r>
    </w:p>
    <w:p w:rsidR="00CC6D49" w:rsidRDefault="00CC6D49" w:rsidP="007B4635">
      <w:pPr>
        <w:pStyle w:val="tekstas"/>
        <w:rPr>
          <w:rFonts w:ascii="Times New Roman" w:hAnsi="Times New Roman"/>
          <w:color w:val="595959" w:themeColor="text1" w:themeTint="A6"/>
          <w:lang w:eastAsia="lt-LT"/>
        </w:rPr>
      </w:pPr>
    </w:p>
    <w:p w:rsidR="007B4635" w:rsidRDefault="006202B9" w:rsidP="007B4635">
      <w:pPr>
        <w:pStyle w:val="tekstas"/>
        <w:rPr>
          <w:rFonts w:ascii="Times New Roman" w:hAnsi="Times New Roman"/>
          <w:color w:val="595959" w:themeColor="text1" w:themeTint="A6"/>
          <w:lang w:eastAsia="lt-LT"/>
        </w:rPr>
      </w:pPr>
      <w:r w:rsidRPr="006202B9">
        <w:rPr>
          <w:rFonts w:ascii="Times New Roman" w:hAnsi="Times New Roman"/>
          <w:color w:val="595959" w:themeColor="text1" w:themeTint="A6"/>
          <w:lang w:eastAsia="lt-LT"/>
        </w:rPr>
        <w:t xml:space="preserve">Iki 2020 m. pabaigos </w:t>
      </w:r>
      <w:r>
        <w:rPr>
          <w:rFonts w:ascii="Times New Roman" w:hAnsi="Times New Roman"/>
          <w:color w:val="595959" w:themeColor="text1" w:themeTint="A6"/>
          <w:lang w:eastAsia="lt-LT"/>
        </w:rPr>
        <w:t>b</w:t>
      </w:r>
      <w:r w:rsidR="007B4635">
        <w:rPr>
          <w:rFonts w:ascii="Times New Roman" w:hAnsi="Times New Roman"/>
          <w:color w:val="595959" w:themeColor="text1" w:themeTint="A6"/>
          <w:lang w:eastAsia="lt-LT"/>
        </w:rPr>
        <w:t>endrai prioriteto lygmeniu reikšmingi šių rodiklių pasiekimai:</w:t>
      </w:r>
    </w:p>
    <w:p w:rsidR="007B4635" w:rsidRPr="006202B9" w:rsidRDefault="006202B9" w:rsidP="006202B9">
      <w:pPr>
        <w:ind w:firstLine="426"/>
        <w:jc w:val="both"/>
        <w:rPr>
          <w:color w:val="595959" w:themeColor="text1" w:themeTint="A6"/>
          <w:szCs w:val="24"/>
          <w:lang w:eastAsia="lt-LT"/>
        </w:rPr>
      </w:pPr>
      <w:r>
        <w:rPr>
          <w:color w:val="595959" w:themeColor="text1" w:themeTint="A6"/>
          <w:szCs w:val="24"/>
          <w:lang w:eastAsia="lt-LT"/>
        </w:rPr>
        <w:t>- daugiau nei</w:t>
      </w:r>
      <w:r w:rsidR="007B4635" w:rsidRPr="006202B9">
        <w:rPr>
          <w:color w:val="595959" w:themeColor="text1" w:themeTint="A6"/>
          <w:szCs w:val="24"/>
          <w:lang w:eastAsia="lt-LT"/>
        </w:rPr>
        <w:t xml:space="preserve"> 255 tūkstančių gyventojų teikiamos pagerintos vandens tiekimo paslaugos (</w:t>
      </w:r>
      <w:r>
        <w:rPr>
          <w:color w:val="595959" w:themeColor="text1" w:themeTint="A6"/>
          <w:szCs w:val="24"/>
          <w:lang w:eastAsia="lt-LT"/>
        </w:rPr>
        <w:t>planuojama</w:t>
      </w:r>
      <w:r w:rsidR="007B4635" w:rsidRPr="006202B9">
        <w:rPr>
          <w:color w:val="595959" w:themeColor="text1" w:themeTint="A6"/>
          <w:szCs w:val="24"/>
          <w:lang w:eastAsia="lt-LT"/>
        </w:rPr>
        <w:t xml:space="preserve"> 290 tūkstančių). Rekonstruotų vandens tiekimo ir nuotekų surinkimo tinklų ilgis</w:t>
      </w:r>
      <w:r>
        <w:rPr>
          <w:color w:val="595959" w:themeColor="text1" w:themeTint="A6"/>
          <w:szCs w:val="24"/>
          <w:lang w:eastAsia="lt-LT"/>
        </w:rPr>
        <w:t xml:space="preserve"> – 305 km. (planuojama</w:t>
      </w:r>
      <w:r w:rsidR="007B4635" w:rsidRPr="006202B9">
        <w:rPr>
          <w:color w:val="595959" w:themeColor="text1" w:themeTint="A6"/>
          <w:szCs w:val="24"/>
          <w:lang w:eastAsia="lt-LT"/>
        </w:rPr>
        <w:t xml:space="preserve"> 350 km.).</w:t>
      </w:r>
    </w:p>
    <w:p w:rsidR="007B4635" w:rsidRPr="006202B9" w:rsidRDefault="006202B9" w:rsidP="007B4635">
      <w:pPr>
        <w:ind w:firstLine="426"/>
        <w:jc w:val="both"/>
        <w:rPr>
          <w:color w:val="595959" w:themeColor="text1" w:themeTint="A6"/>
          <w:szCs w:val="24"/>
          <w:lang w:eastAsia="lt-LT"/>
        </w:rPr>
      </w:pPr>
      <w:r>
        <w:rPr>
          <w:color w:val="595959" w:themeColor="text1" w:themeTint="A6"/>
          <w:szCs w:val="24"/>
          <w:lang w:eastAsia="lt-LT"/>
        </w:rPr>
        <w:t>- i</w:t>
      </w:r>
      <w:r w:rsidR="007B4635" w:rsidRPr="006202B9">
        <w:rPr>
          <w:color w:val="595959" w:themeColor="text1" w:themeTint="A6"/>
          <w:szCs w:val="24"/>
          <w:lang w:eastAsia="lt-LT"/>
        </w:rPr>
        <w:t>š 25 suplanuotų, įgyvendintos 24 visuomenės informavimo apie aplinką priemonės. Taip pat įgyvendintos 538 turizmo rinkodaros priemonės (iš 560 planuojamų).</w:t>
      </w:r>
    </w:p>
    <w:p w:rsidR="007B4635" w:rsidRDefault="006202B9" w:rsidP="007B4635">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 į</w:t>
      </w:r>
      <w:r w:rsidRPr="006202B9">
        <w:rPr>
          <w:rFonts w:ascii="Times New Roman" w:hAnsi="Times New Roman"/>
          <w:color w:val="595959" w:themeColor="text1" w:themeTint="A6"/>
          <w:lang w:eastAsia="lt-LT"/>
        </w:rPr>
        <w:t>sigyti</w:t>
      </w:r>
      <w:r w:rsidR="007B4635" w:rsidRPr="006202B9">
        <w:rPr>
          <w:rFonts w:ascii="Times New Roman" w:hAnsi="Times New Roman"/>
          <w:color w:val="595959" w:themeColor="text1" w:themeTint="A6"/>
          <w:lang w:eastAsia="lt-LT"/>
        </w:rPr>
        <w:t xml:space="preserve"> 32 gatvių valymo įrenginiai (planuot</w:t>
      </w:r>
      <w:r w:rsidR="00DB2485" w:rsidRPr="006202B9">
        <w:rPr>
          <w:rFonts w:ascii="Times New Roman" w:hAnsi="Times New Roman"/>
          <w:color w:val="595959" w:themeColor="text1" w:themeTint="A6"/>
          <w:lang w:eastAsia="lt-LT"/>
        </w:rPr>
        <w:t>a įsigyti</w:t>
      </w:r>
      <w:r w:rsidR="007B4635" w:rsidRPr="006202B9">
        <w:rPr>
          <w:rFonts w:ascii="Times New Roman" w:hAnsi="Times New Roman"/>
          <w:color w:val="595959" w:themeColor="text1" w:themeTint="A6"/>
          <w:lang w:eastAsia="lt-LT"/>
        </w:rPr>
        <w:t xml:space="preserve"> 30).</w:t>
      </w:r>
    </w:p>
    <w:p w:rsidR="00581459" w:rsidRDefault="00581459" w:rsidP="00596BBF">
      <w:pPr>
        <w:pStyle w:val="tekstas"/>
        <w:ind w:firstLine="0"/>
        <w:rPr>
          <w:rFonts w:ascii="Times New Roman" w:hAnsi="Times New Roman"/>
          <w:color w:val="595959" w:themeColor="text1" w:themeTint="A6"/>
          <w:lang w:eastAsia="lt-LT"/>
        </w:rPr>
      </w:pPr>
    </w:p>
    <w:p w:rsidR="000305AE" w:rsidRPr="00474C41" w:rsidRDefault="000305AE" w:rsidP="00BE71E9">
      <w:pPr>
        <w:pStyle w:val="antrat3zz"/>
        <w:spacing w:before="0" w:after="0"/>
        <w:rPr>
          <w:rFonts w:ascii="Times New Roman" w:eastAsia="Times New Roman" w:hAnsi="Times New Roman" w:cs="Times New Roman"/>
          <w:bCs w:val="0"/>
        </w:rPr>
      </w:pPr>
      <w:bookmarkStart w:id="21" w:name="_Toc69114254"/>
      <w:r w:rsidRPr="00474C41">
        <w:rPr>
          <w:rFonts w:ascii="Times New Roman" w:eastAsia="Times New Roman" w:hAnsi="Times New Roman" w:cs="Times New Roman"/>
          <w:bCs w:val="0"/>
        </w:rPr>
        <w:t>6 prioritetas. Darnaus transporto ir pagrindinių tinklų infrastruktūros plėtra</w:t>
      </w:r>
      <w:bookmarkEnd w:id="20"/>
      <w:bookmarkEnd w:id="21"/>
    </w:p>
    <w:p w:rsidR="008510B0" w:rsidRDefault="008510B0" w:rsidP="008510B0">
      <w:pPr>
        <w:pStyle w:val="tekstas"/>
        <w:ind w:firstLine="0"/>
        <w:rPr>
          <w:rFonts w:ascii="Times New Roman" w:hAnsi="Times New Roman"/>
          <w:color w:val="595959" w:themeColor="text1" w:themeTint="A6"/>
          <w:lang w:eastAsia="lt-LT"/>
        </w:rPr>
      </w:pPr>
      <w:bookmarkStart w:id="22" w:name="_Toc10104958"/>
    </w:p>
    <w:p w:rsidR="00C92FA0" w:rsidRDefault="00D35F1B" w:rsidP="008510B0">
      <w:pPr>
        <w:pStyle w:val="tekstas"/>
        <w:ind w:firstLine="0"/>
        <w:rPr>
          <w:rFonts w:ascii="Times New Roman" w:hAnsi="Times New Roman"/>
          <w:color w:val="595959" w:themeColor="text1" w:themeTint="A6"/>
          <w:lang w:eastAsia="lt-LT"/>
        </w:rPr>
      </w:pPr>
      <w:r>
        <w:rPr>
          <w:noProof/>
          <w:lang w:eastAsia="lt-LT"/>
        </w:rPr>
        <w:drawing>
          <wp:inline distT="0" distB="0" distL="0" distR="0" wp14:anchorId="753FEBA9" wp14:editId="3E18DD6E">
            <wp:extent cx="6120130" cy="728858"/>
            <wp:effectExtent l="0" t="0" r="13970" b="14605"/>
            <wp:docPr id="404" name="Diagrama 40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864A0" w:rsidRDefault="005864A0" w:rsidP="00FD66CE">
      <w:pPr>
        <w:pStyle w:val="tekstas"/>
        <w:ind w:firstLine="0"/>
        <w:rPr>
          <w:rFonts w:ascii="Times New Roman" w:hAnsi="Times New Roman"/>
          <w:color w:val="595959" w:themeColor="text1" w:themeTint="A6"/>
          <w:lang w:eastAsia="lt-LT"/>
        </w:rPr>
      </w:pPr>
    </w:p>
    <w:p w:rsidR="00C92FA0" w:rsidRDefault="005864A0" w:rsidP="00FD66CE">
      <w:pPr>
        <w:pStyle w:val="tekstas"/>
        <w:rPr>
          <w:rFonts w:ascii="Times New Roman" w:hAnsi="Times New Roman"/>
          <w:color w:val="595959" w:themeColor="text1" w:themeTint="A6"/>
          <w:lang w:eastAsia="lt-LT"/>
        </w:rPr>
      </w:pPr>
      <w:r w:rsidRPr="005864A0">
        <w:rPr>
          <w:rFonts w:ascii="Times New Roman" w:hAnsi="Times New Roman"/>
          <w:color w:val="595959" w:themeColor="text1" w:themeTint="A6"/>
          <w:lang w:eastAsia="lt-LT"/>
        </w:rPr>
        <w:t xml:space="preserve">Energetikos ministerijos </w:t>
      </w:r>
      <w:r w:rsidR="00FD66CE">
        <w:rPr>
          <w:rFonts w:ascii="Times New Roman" w:hAnsi="Times New Roman"/>
          <w:color w:val="595959" w:themeColor="text1" w:themeTint="A6"/>
          <w:lang w:eastAsia="lt-LT"/>
        </w:rPr>
        <w:t>6 prioriteto administruojamose priemonėse sudarytos visos planuotos sutartys, tačiau</w:t>
      </w:r>
      <w:r w:rsidRPr="005864A0">
        <w:rPr>
          <w:rFonts w:ascii="Times New Roman" w:hAnsi="Times New Roman"/>
          <w:color w:val="595959" w:themeColor="text1" w:themeTint="A6"/>
          <w:lang w:eastAsia="lt-LT"/>
        </w:rPr>
        <w:t xml:space="preserve"> investavimo tempas</w:t>
      </w:r>
      <w:r w:rsidR="00FD66CE">
        <w:rPr>
          <w:rFonts w:ascii="Times New Roman" w:hAnsi="Times New Roman"/>
          <w:color w:val="595959" w:themeColor="text1" w:themeTint="A6"/>
          <w:lang w:eastAsia="lt-LT"/>
        </w:rPr>
        <w:t xml:space="preserve"> (</w:t>
      </w:r>
      <w:r w:rsidR="00D35F1B">
        <w:rPr>
          <w:rFonts w:ascii="Times New Roman" w:hAnsi="Times New Roman"/>
          <w:color w:val="595959" w:themeColor="text1" w:themeTint="A6"/>
          <w:lang w:eastAsia="lt-LT"/>
        </w:rPr>
        <w:t>58</w:t>
      </w:r>
      <w:r w:rsidR="00FD66CE">
        <w:rPr>
          <w:rFonts w:ascii="Times New Roman" w:hAnsi="Times New Roman"/>
          <w:color w:val="595959" w:themeColor="text1" w:themeTint="A6"/>
          <w:lang w:eastAsia="lt-LT"/>
        </w:rPr>
        <w:t xml:space="preserve"> proc.)</w:t>
      </w:r>
      <w:r w:rsidRPr="005864A0">
        <w:rPr>
          <w:rFonts w:ascii="Times New Roman" w:hAnsi="Times New Roman"/>
          <w:color w:val="595959" w:themeColor="text1" w:themeTint="A6"/>
          <w:lang w:eastAsia="lt-LT"/>
        </w:rPr>
        <w:t xml:space="preserve"> </w:t>
      </w:r>
      <w:r w:rsidR="00FD66CE">
        <w:rPr>
          <w:rFonts w:ascii="Times New Roman" w:hAnsi="Times New Roman"/>
          <w:color w:val="595959" w:themeColor="text1" w:themeTint="A6"/>
          <w:lang w:eastAsia="lt-LT"/>
        </w:rPr>
        <w:t>yra nepakankamas</w:t>
      </w:r>
      <w:r w:rsidR="008004A4">
        <w:rPr>
          <w:rFonts w:ascii="Times New Roman" w:hAnsi="Times New Roman"/>
          <w:color w:val="595959" w:themeColor="text1" w:themeTint="A6"/>
          <w:lang w:eastAsia="lt-LT"/>
        </w:rPr>
        <w:t xml:space="preserve">. Taip pat </w:t>
      </w:r>
      <w:r w:rsidR="008004A4" w:rsidRPr="008004A4">
        <w:rPr>
          <w:rFonts w:ascii="Times New Roman" w:hAnsi="Times New Roman"/>
          <w:color w:val="595959" w:themeColor="text1" w:themeTint="A6"/>
          <w:lang w:eastAsia="lt-LT"/>
        </w:rPr>
        <w:t xml:space="preserve">šiame prioritete ministerijai yra numatyta </w:t>
      </w:r>
      <w:r w:rsidR="008004A4">
        <w:rPr>
          <w:rFonts w:ascii="Times New Roman" w:hAnsi="Times New Roman"/>
          <w:color w:val="595959" w:themeColor="text1" w:themeTint="A6"/>
          <w:lang w:eastAsia="lt-LT"/>
        </w:rPr>
        <w:t>10</w:t>
      </w:r>
      <w:r w:rsidR="008004A4" w:rsidRPr="008004A4">
        <w:rPr>
          <w:rFonts w:ascii="Times New Roman" w:hAnsi="Times New Roman"/>
          <w:color w:val="595959" w:themeColor="text1" w:themeTint="A6"/>
          <w:lang w:eastAsia="lt-LT"/>
        </w:rPr>
        <w:t xml:space="preserve"> mln. eurų ES lėšų </w:t>
      </w:r>
      <w:proofErr w:type="spellStart"/>
      <w:r w:rsidR="008004A4" w:rsidRPr="008004A4">
        <w:rPr>
          <w:rFonts w:ascii="Times New Roman" w:hAnsi="Times New Roman"/>
          <w:color w:val="595959" w:themeColor="text1" w:themeTint="A6"/>
          <w:lang w:eastAsia="lt-LT"/>
        </w:rPr>
        <w:t>virškontraktavimo</w:t>
      </w:r>
      <w:proofErr w:type="spellEnd"/>
      <w:r w:rsidR="008004A4" w:rsidRPr="008004A4">
        <w:rPr>
          <w:rFonts w:ascii="Times New Roman" w:hAnsi="Times New Roman"/>
          <w:color w:val="595959" w:themeColor="text1" w:themeTint="A6"/>
          <w:lang w:eastAsia="lt-LT"/>
        </w:rPr>
        <w:t xml:space="preserve"> galimybė.</w:t>
      </w:r>
    </w:p>
    <w:p w:rsidR="001B23CE" w:rsidRDefault="00596BBF" w:rsidP="00596BBF">
      <w:pPr>
        <w:pStyle w:val="tekstas"/>
        <w:rPr>
          <w:rFonts w:ascii="Times New Roman" w:hAnsi="Times New Roman"/>
          <w:color w:val="595959" w:themeColor="text1" w:themeTint="A6"/>
          <w:lang w:eastAsia="lt-LT"/>
        </w:rPr>
      </w:pPr>
      <w:r w:rsidRPr="00596BBF">
        <w:rPr>
          <w:rFonts w:ascii="Times New Roman" w:hAnsi="Times New Roman"/>
          <w:color w:val="595959" w:themeColor="text1" w:themeTint="A6"/>
          <w:lang w:eastAsia="lt-LT"/>
        </w:rPr>
        <w:t>Energetikos ministerija šiame prioritete administruoja dujų ir elektros tinklų modernizavimo priemones. Investuojama į elektros energijos ir dujų perdavimo bei skirstymo tinklų modernizavimą, diegiant pažangiųjų tinklų elementus.</w:t>
      </w:r>
    </w:p>
    <w:p w:rsidR="00CB1E8F" w:rsidRDefault="00CB1E8F" w:rsidP="00CB1E8F">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Investicijų atsilikimui</w:t>
      </w:r>
      <w:r w:rsidRPr="00596BBF">
        <w:rPr>
          <w:rFonts w:ascii="Times New Roman" w:hAnsi="Times New Roman"/>
          <w:color w:val="595959" w:themeColor="text1" w:themeTint="A6"/>
          <w:lang w:eastAsia="lt-LT"/>
        </w:rPr>
        <w:t xml:space="preserve"> įtakos turi didelių, ilgai trunkan</w:t>
      </w:r>
      <w:r>
        <w:rPr>
          <w:rFonts w:ascii="Times New Roman" w:hAnsi="Times New Roman"/>
          <w:color w:val="595959" w:themeColor="text1" w:themeTint="A6"/>
          <w:lang w:eastAsia="lt-LT"/>
        </w:rPr>
        <w:t xml:space="preserve">čių infrastruktūrinių </w:t>
      </w:r>
      <w:r w:rsidRPr="00596BBF">
        <w:rPr>
          <w:rFonts w:ascii="Times New Roman" w:hAnsi="Times New Roman"/>
          <w:color w:val="595959" w:themeColor="text1" w:themeTint="A6"/>
          <w:lang w:eastAsia="lt-LT"/>
        </w:rPr>
        <w:t>projektų įgyvendinimo specifika, kuomet didžioji dalis lėšų deklaruojama projektams baigiantis. Taip pat</w:t>
      </w:r>
      <w:r>
        <w:rPr>
          <w:rFonts w:ascii="Times New Roman" w:hAnsi="Times New Roman"/>
          <w:color w:val="595959" w:themeColor="text1" w:themeTint="A6"/>
          <w:lang w:eastAsia="lt-LT"/>
        </w:rPr>
        <w:t>,</w:t>
      </w:r>
      <w:r w:rsidRPr="00596BBF">
        <w:rPr>
          <w:rFonts w:ascii="Times New Roman" w:hAnsi="Times New Roman"/>
          <w:color w:val="595959" w:themeColor="text1" w:themeTint="A6"/>
          <w:lang w:eastAsia="lt-LT"/>
        </w:rPr>
        <w:t xml:space="preserve"> ženklią įta</w:t>
      </w:r>
      <w:r>
        <w:rPr>
          <w:rFonts w:ascii="Times New Roman" w:hAnsi="Times New Roman"/>
          <w:color w:val="595959" w:themeColor="text1" w:themeTint="A6"/>
          <w:lang w:eastAsia="lt-LT"/>
        </w:rPr>
        <w:t xml:space="preserve">ką projektų įgyvendinimui </w:t>
      </w:r>
      <w:r w:rsidRPr="00596BBF">
        <w:rPr>
          <w:rFonts w:ascii="Times New Roman" w:hAnsi="Times New Roman"/>
          <w:color w:val="595959" w:themeColor="text1" w:themeTint="A6"/>
          <w:lang w:eastAsia="lt-LT"/>
        </w:rPr>
        <w:t>tur</w:t>
      </w:r>
      <w:r w:rsidR="000A7340">
        <w:rPr>
          <w:rFonts w:ascii="Times New Roman" w:hAnsi="Times New Roman"/>
          <w:color w:val="595959" w:themeColor="text1" w:themeTint="A6"/>
          <w:lang w:eastAsia="lt-LT"/>
        </w:rPr>
        <w:t>i</w:t>
      </w:r>
      <w:r w:rsidRPr="00596BBF">
        <w:rPr>
          <w:rFonts w:ascii="Times New Roman" w:hAnsi="Times New Roman"/>
          <w:color w:val="595959" w:themeColor="text1" w:themeTint="A6"/>
          <w:lang w:eastAsia="lt-LT"/>
        </w:rPr>
        <w:t xml:space="preserve"> </w:t>
      </w:r>
      <w:proofErr w:type="spellStart"/>
      <w:r w:rsidRPr="00596BBF">
        <w:rPr>
          <w:rFonts w:ascii="Times New Roman" w:hAnsi="Times New Roman"/>
          <w:color w:val="595959" w:themeColor="text1" w:themeTint="A6"/>
          <w:lang w:eastAsia="lt-LT"/>
        </w:rPr>
        <w:t>Covid-19</w:t>
      </w:r>
      <w:proofErr w:type="spellEnd"/>
      <w:r w:rsidRPr="00596BBF">
        <w:rPr>
          <w:rFonts w:ascii="Times New Roman" w:hAnsi="Times New Roman"/>
          <w:color w:val="595959" w:themeColor="text1" w:themeTint="A6"/>
          <w:lang w:eastAsia="lt-LT"/>
        </w:rPr>
        <w:t xml:space="preserve"> situacija. Pažymėtina, kad LVPA vykdo nuolatinę projektų veiklų stebėseną ir esant poreikiui individualiai su kiekvienu projekto vykdytoju analizuoja iškilusias problemas ir ieško sprendimo būdų. Todė</w:t>
      </w:r>
      <w:r>
        <w:rPr>
          <w:rFonts w:ascii="Times New Roman" w:hAnsi="Times New Roman"/>
          <w:color w:val="595959" w:themeColor="text1" w:themeTint="A6"/>
          <w:lang w:eastAsia="lt-LT"/>
        </w:rPr>
        <w:t>l šiuo metu rizika</w:t>
      </w:r>
      <w:r w:rsidRPr="00596BBF">
        <w:rPr>
          <w:rFonts w:ascii="Times New Roman" w:hAnsi="Times New Roman"/>
          <w:color w:val="595959" w:themeColor="text1" w:themeTint="A6"/>
          <w:lang w:eastAsia="lt-LT"/>
        </w:rPr>
        <w:t xml:space="preserve"> laiku (iki 2023 m. pabaigos) neišmokėti visų</w:t>
      </w:r>
      <w:r>
        <w:rPr>
          <w:rFonts w:ascii="Times New Roman" w:hAnsi="Times New Roman"/>
          <w:color w:val="595959" w:themeColor="text1" w:themeTint="A6"/>
          <w:lang w:eastAsia="lt-LT"/>
        </w:rPr>
        <w:t xml:space="preserve"> projektams skirtų ES lėšų, minimali</w:t>
      </w:r>
      <w:r w:rsidRPr="00596BBF">
        <w:rPr>
          <w:rFonts w:ascii="Times New Roman" w:hAnsi="Times New Roman"/>
          <w:color w:val="595959" w:themeColor="text1" w:themeTint="A6"/>
          <w:lang w:eastAsia="lt-LT"/>
        </w:rPr>
        <w:t>.</w:t>
      </w:r>
    </w:p>
    <w:p w:rsidR="00F86DC9" w:rsidRPr="00E7024D" w:rsidRDefault="00CB1E8F" w:rsidP="00F86DC9">
      <w:pPr>
        <w:pStyle w:val="tekstas"/>
        <w:tabs>
          <w:tab w:val="left" w:pos="426"/>
        </w:tabs>
        <w:ind w:firstLine="0"/>
        <w:rPr>
          <w:rFonts w:ascii="Times New Roman" w:hAnsi="Times New Roman"/>
          <w:color w:val="595959" w:themeColor="text1" w:themeTint="A6"/>
          <w:lang w:eastAsia="lt-LT"/>
        </w:rPr>
      </w:pPr>
      <w:r>
        <w:rPr>
          <w:rFonts w:ascii="Times New Roman" w:hAnsi="Times New Roman"/>
          <w:color w:val="595959" w:themeColor="text1" w:themeTint="A6"/>
          <w:lang w:eastAsia="lt-LT"/>
        </w:rPr>
        <w:tab/>
      </w:r>
      <w:r w:rsidR="00F86DC9" w:rsidRPr="00E7024D">
        <w:rPr>
          <w:rFonts w:ascii="Times New Roman" w:hAnsi="Times New Roman"/>
          <w:color w:val="595959" w:themeColor="text1" w:themeTint="A6"/>
          <w:lang w:eastAsia="lt-LT"/>
        </w:rPr>
        <w:t xml:space="preserve">Siekiant didinti elektros energijos tiekimo patikimumą, kokybę ir lankstumą būtina </w:t>
      </w:r>
      <w:r>
        <w:rPr>
          <w:rFonts w:ascii="Times New Roman" w:hAnsi="Times New Roman"/>
          <w:color w:val="595959" w:themeColor="text1" w:themeTint="A6"/>
          <w:lang w:eastAsia="lt-LT"/>
        </w:rPr>
        <w:t xml:space="preserve">ir toliau </w:t>
      </w:r>
      <w:r w:rsidR="00F86DC9" w:rsidRPr="00E7024D">
        <w:rPr>
          <w:rFonts w:ascii="Times New Roman" w:hAnsi="Times New Roman"/>
          <w:color w:val="595959" w:themeColor="text1" w:themeTint="A6"/>
          <w:lang w:eastAsia="lt-LT"/>
        </w:rPr>
        <w:t xml:space="preserve">investuoti į išmaniųjų sprendimų į elektros skirstomąjį tinklą ir energijos kaupimo integravimui </w:t>
      </w:r>
      <w:r>
        <w:rPr>
          <w:rFonts w:ascii="Times New Roman" w:hAnsi="Times New Roman"/>
          <w:color w:val="595959" w:themeColor="text1" w:themeTint="A6"/>
          <w:lang w:eastAsia="lt-LT"/>
        </w:rPr>
        <w:t>bei</w:t>
      </w:r>
      <w:r w:rsidR="00F86DC9" w:rsidRPr="00E7024D">
        <w:rPr>
          <w:rFonts w:ascii="Times New Roman" w:hAnsi="Times New Roman"/>
          <w:color w:val="595959" w:themeColor="text1" w:themeTint="A6"/>
          <w:lang w:eastAsia="lt-LT"/>
        </w:rPr>
        <w:t xml:space="preserve"> valdymui diegimą, elektros skirstomojo tinklo patikimumo ir atsparumo klimato kaitai bei kibernetinėms grėsmėms didinimą.</w:t>
      </w:r>
    </w:p>
    <w:p w:rsidR="00F86DC9" w:rsidRDefault="00F86DC9" w:rsidP="00596BBF">
      <w:pPr>
        <w:pStyle w:val="tekstas"/>
        <w:rPr>
          <w:rFonts w:ascii="Times New Roman" w:hAnsi="Times New Roman"/>
          <w:color w:val="595959" w:themeColor="text1" w:themeTint="A6"/>
          <w:lang w:eastAsia="lt-LT"/>
        </w:rPr>
      </w:pPr>
    </w:p>
    <w:p w:rsidR="00C92FA0" w:rsidRDefault="00C92FA0" w:rsidP="008510B0">
      <w:pPr>
        <w:pStyle w:val="tekstas"/>
        <w:ind w:firstLine="0"/>
        <w:rPr>
          <w:rFonts w:ascii="Times New Roman" w:hAnsi="Times New Roman"/>
          <w:color w:val="595959" w:themeColor="text1" w:themeTint="A6"/>
          <w:lang w:eastAsia="lt-LT"/>
        </w:rPr>
      </w:pPr>
    </w:p>
    <w:p w:rsidR="00C92FA0" w:rsidRDefault="00D35F1B" w:rsidP="008510B0">
      <w:pPr>
        <w:pStyle w:val="tekstas"/>
        <w:ind w:firstLine="0"/>
        <w:rPr>
          <w:rFonts w:ascii="Times New Roman" w:hAnsi="Times New Roman"/>
          <w:color w:val="595959" w:themeColor="text1" w:themeTint="A6"/>
          <w:lang w:eastAsia="lt-LT"/>
        </w:rPr>
      </w:pPr>
      <w:r>
        <w:rPr>
          <w:noProof/>
          <w:lang w:eastAsia="lt-LT"/>
        </w:rPr>
        <w:lastRenderedPageBreak/>
        <w:drawing>
          <wp:inline distT="0" distB="0" distL="0" distR="0" wp14:anchorId="7D851D4C" wp14:editId="05765E0B">
            <wp:extent cx="6120130" cy="1023180"/>
            <wp:effectExtent l="0" t="0" r="13970" b="24765"/>
            <wp:docPr id="405" name="Diagrama 40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35F1B" w:rsidRPr="00FD66CE" w:rsidRDefault="00D35F1B" w:rsidP="008510B0">
      <w:pPr>
        <w:pStyle w:val="tekstas"/>
        <w:ind w:firstLine="0"/>
        <w:rPr>
          <w:rFonts w:ascii="Times New Roman" w:hAnsi="Times New Roman"/>
          <w:color w:val="595959" w:themeColor="text1" w:themeTint="A6"/>
          <w:lang w:eastAsia="lt-LT"/>
        </w:rPr>
      </w:pPr>
    </w:p>
    <w:p w:rsidR="00FD66CE" w:rsidRDefault="00FD66CE" w:rsidP="001D3E90">
      <w:pPr>
        <w:pStyle w:val="tekstas"/>
        <w:rPr>
          <w:rFonts w:ascii="Times New Roman" w:hAnsi="Times New Roman"/>
          <w:color w:val="595959" w:themeColor="text1" w:themeTint="A6"/>
          <w:lang w:eastAsia="lt-LT"/>
        </w:rPr>
      </w:pPr>
      <w:r w:rsidRPr="00FD66CE">
        <w:rPr>
          <w:rFonts w:ascii="Times New Roman" w:hAnsi="Times New Roman"/>
          <w:color w:val="595959" w:themeColor="text1" w:themeTint="A6"/>
          <w:lang w:eastAsia="lt-LT"/>
        </w:rPr>
        <w:t>Susisiekimo ministerijos</w:t>
      </w:r>
      <w:r>
        <w:rPr>
          <w:rFonts w:ascii="Times New Roman" w:hAnsi="Times New Roman"/>
          <w:color w:val="595959" w:themeColor="text1" w:themeTint="A6"/>
          <w:lang w:eastAsia="lt-LT"/>
        </w:rPr>
        <w:t xml:space="preserve"> 6 prioriteto </w:t>
      </w:r>
      <w:r w:rsidR="008004A4">
        <w:rPr>
          <w:rFonts w:ascii="Times New Roman" w:hAnsi="Times New Roman"/>
          <w:color w:val="595959" w:themeColor="text1" w:themeTint="A6"/>
          <w:lang w:eastAsia="lt-LT"/>
        </w:rPr>
        <w:t>ERPF lėšomis finansuojamose</w:t>
      </w:r>
      <w:r>
        <w:rPr>
          <w:rFonts w:ascii="Times New Roman" w:hAnsi="Times New Roman"/>
          <w:color w:val="595959" w:themeColor="text1" w:themeTint="A6"/>
          <w:lang w:eastAsia="lt-LT"/>
        </w:rPr>
        <w:t xml:space="preserve"> priemonės</w:t>
      </w:r>
      <w:r w:rsidR="008004A4">
        <w:rPr>
          <w:rFonts w:ascii="Times New Roman" w:hAnsi="Times New Roman"/>
          <w:color w:val="595959" w:themeColor="text1" w:themeTint="A6"/>
          <w:lang w:eastAsia="lt-LT"/>
        </w:rPr>
        <w:t xml:space="preserve">e sudarytos visos planuotos sutartys, investavimo sparta viršija Veiksmų programos vidurkį. </w:t>
      </w:r>
      <w:proofErr w:type="spellStart"/>
      <w:r w:rsidR="008004A4">
        <w:rPr>
          <w:rFonts w:ascii="Times New Roman" w:hAnsi="Times New Roman"/>
          <w:color w:val="595959" w:themeColor="text1" w:themeTint="A6"/>
          <w:lang w:eastAsia="lt-LT"/>
        </w:rPr>
        <w:t>SaF</w:t>
      </w:r>
      <w:proofErr w:type="spellEnd"/>
      <w:r w:rsidR="008004A4">
        <w:rPr>
          <w:rFonts w:ascii="Times New Roman" w:hAnsi="Times New Roman"/>
          <w:color w:val="595959" w:themeColor="text1" w:themeTint="A6"/>
          <w:lang w:eastAsia="lt-LT"/>
        </w:rPr>
        <w:t xml:space="preserve"> lėšomis finansuojamose</w:t>
      </w:r>
      <w:r w:rsidR="00166383">
        <w:rPr>
          <w:rFonts w:ascii="Times New Roman" w:hAnsi="Times New Roman"/>
          <w:color w:val="595959" w:themeColor="text1" w:themeTint="A6"/>
          <w:lang w:eastAsia="lt-LT"/>
        </w:rPr>
        <w:t xml:space="preserve"> priemonėse sutarčių sudaryta 82</w:t>
      </w:r>
      <w:r w:rsidR="008004A4">
        <w:rPr>
          <w:rFonts w:ascii="Times New Roman" w:hAnsi="Times New Roman"/>
          <w:color w:val="595959" w:themeColor="text1" w:themeTint="A6"/>
          <w:lang w:eastAsia="lt-LT"/>
        </w:rPr>
        <w:t xml:space="preserve"> proc., taip pat atsilieka ir investicijos </w:t>
      </w:r>
      <w:r w:rsidR="001D3E90">
        <w:rPr>
          <w:rFonts w:ascii="Times New Roman" w:hAnsi="Times New Roman"/>
          <w:color w:val="595959" w:themeColor="text1" w:themeTint="A6"/>
          <w:lang w:eastAsia="lt-LT"/>
        </w:rPr>
        <w:t xml:space="preserve">– </w:t>
      </w:r>
      <w:r w:rsidR="00D35F1B">
        <w:rPr>
          <w:rFonts w:ascii="Times New Roman" w:hAnsi="Times New Roman"/>
          <w:color w:val="595959" w:themeColor="text1" w:themeTint="A6"/>
          <w:lang w:eastAsia="lt-LT"/>
        </w:rPr>
        <w:t>60</w:t>
      </w:r>
      <w:r w:rsidR="008004A4">
        <w:rPr>
          <w:rFonts w:ascii="Times New Roman" w:hAnsi="Times New Roman"/>
          <w:color w:val="595959" w:themeColor="text1" w:themeTint="A6"/>
          <w:lang w:eastAsia="lt-LT"/>
        </w:rPr>
        <w:t xml:space="preserve"> proc. Šiame prioritete ministerijai yra sudaryta 20 mln. eurų ERPF lėšų ir 16 mln. eurų </w:t>
      </w:r>
      <w:proofErr w:type="spellStart"/>
      <w:r w:rsidR="008004A4">
        <w:rPr>
          <w:rFonts w:ascii="Times New Roman" w:hAnsi="Times New Roman"/>
          <w:color w:val="595959" w:themeColor="text1" w:themeTint="A6"/>
          <w:lang w:eastAsia="lt-LT"/>
        </w:rPr>
        <w:t>SaF</w:t>
      </w:r>
      <w:proofErr w:type="spellEnd"/>
      <w:r w:rsidR="008004A4">
        <w:rPr>
          <w:rFonts w:ascii="Times New Roman" w:hAnsi="Times New Roman"/>
          <w:color w:val="595959" w:themeColor="text1" w:themeTint="A6"/>
          <w:lang w:eastAsia="lt-LT"/>
        </w:rPr>
        <w:t xml:space="preserve"> lėšų </w:t>
      </w:r>
      <w:proofErr w:type="spellStart"/>
      <w:r w:rsidR="008004A4">
        <w:rPr>
          <w:rFonts w:ascii="Times New Roman" w:hAnsi="Times New Roman"/>
          <w:color w:val="595959" w:themeColor="text1" w:themeTint="A6"/>
          <w:lang w:eastAsia="lt-LT"/>
        </w:rPr>
        <w:t>virškontraktavimo</w:t>
      </w:r>
      <w:proofErr w:type="spellEnd"/>
      <w:r w:rsidR="008004A4">
        <w:rPr>
          <w:rFonts w:ascii="Times New Roman" w:hAnsi="Times New Roman"/>
          <w:color w:val="595959" w:themeColor="text1" w:themeTint="A6"/>
          <w:lang w:eastAsia="lt-LT"/>
        </w:rPr>
        <w:t xml:space="preserve"> galimybė.</w:t>
      </w:r>
    </w:p>
    <w:p w:rsidR="00DB2485" w:rsidRDefault="001147B5" w:rsidP="001147B5">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Vieni svarbiausių </w:t>
      </w:r>
      <w:r w:rsidR="00DB2485">
        <w:rPr>
          <w:rFonts w:ascii="Times New Roman" w:hAnsi="Times New Roman"/>
          <w:color w:val="595959" w:themeColor="text1" w:themeTint="A6"/>
          <w:lang w:eastAsia="lt-LT"/>
        </w:rPr>
        <w:t>transporto sektoriaus iššūki</w:t>
      </w:r>
      <w:r>
        <w:rPr>
          <w:rFonts w:ascii="Times New Roman" w:hAnsi="Times New Roman"/>
          <w:color w:val="595959" w:themeColor="text1" w:themeTint="A6"/>
          <w:lang w:eastAsia="lt-LT"/>
        </w:rPr>
        <w:t>ų:</w:t>
      </w:r>
    </w:p>
    <w:p w:rsidR="00DB2485" w:rsidRPr="000478EC" w:rsidRDefault="00DB2485" w:rsidP="00DB2485">
      <w:pPr>
        <w:pStyle w:val="tekstas"/>
        <w:numPr>
          <w:ilvl w:val="1"/>
          <w:numId w:val="31"/>
        </w:numPr>
        <w:tabs>
          <w:tab w:val="left" w:pos="426"/>
        </w:tabs>
        <w:ind w:left="0" w:firstLine="284"/>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 </w:t>
      </w:r>
      <w:r w:rsidRPr="000478EC">
        <w:rPr>
          <w:rFonts w:ascii="Times New Roman" w:hAnsi="Times New Roman"/>
          <w:color w:val="595959" w:themeColor="text1" w:themeTint="A6"/>
          <w:lang w:eastAsia="lt-LT"/>
        </w:rPr>
        <w:t>Atsinaujinančių energijos išteklių dalies didinimas (nuo 4,33 proc. iki 15 proc. 2030 m.) Būtina mažinti transporto sektoriaus priklausomybę nuo iškastinio kuro ir padidinti atsinaujinančių išteklių dalį transporto sektoriuje, įgyvendinant Nacionaliniame energetikos ir klimato srities veiksmų plane numatytas priemones (įskaitant biodujų naudojimą transporto parkuose, spartų elektrifikavimo didinimą ir pažangiųjų biodegalų gamybos didinimą).</w:t>
      </w:r>
    </w:p>
    <w:p w:rsidR="00DB2485" w:rsidRPr="000478EC" w:rsidRDefault="00DB2485" w:rsidP="00DB2485">
      <w:pPr>
        <w:pStyle w:val="tekstas"/>
        <w:numPr>
          <w:ilvl w:val="1"/>
          <w:numId w:val="31"/>
        </w:numPr>
        <w:tabs>
          <w:tab w:val="left" w:pos="426"/>
        </w:tabs>
        <w:ind w:left="0" w:firstLine="284"/>
        <w:rPr>
          <w:rFonts w:ascii="Times New Roman" w:hAnsi="Times New Roman"/>
          <w:color w:val="595959" w:themeColor="text1" w:themeTint="A6"/>
          <w:lang w:eastAsia="lt-LT"/>
        </w:rPr>
      </w:pPr>
      <w:r w:rsidRPr="000478EC">
        <w:rPr>
          <w:rFonts w:ascii="Times New Roman" w:hAnsi="Times New Roman"/>
          <w:color w:val="595959" w:themeColor="text1" w:themeTint="A6"/>
          <w:lang w:eastAsia="lt-LT"/>
        </w:rPr>
        <w:t>Žuvusiųjų skaiči</w:t>
      </w:r>
      <w:r w:rsidR="00E235C8">
        <w:rPr>
          <w:rFonts w:ascii="Times New Roman" w:hAnsi="Times New Roman"/>
          <w:color w:val="595959" w:themeColor="text1" w:themeTint="A6"/>
          <w:lang w:eastAsia="lt-LT"/>
        </w:rPr>
        <w:t>a</w:t>
      </w:r>
      <w:r w:rsidRPr="000478EC">
        <w:rPr>
          <w:rFonts w:ascii="Times New Roman" w:hAnsi="Times New Roman"/>
          <w:color w:val="595959" w:themeColor="text1" w:themeTint="A6"/>
          <w:lang w:eastAsia="lt-LT"/>
        </w:rPr>
        <w:t>us keliuose maž</w:t>
      </w:r>
      <w:r>
        <w:rPr>
          <w:rFonts w:ascii="Times New Roman" w:hAnsi="Times New Roman"/>
          <w:color w:val="595959" w:themeColor="text1" w:themeTint="A6"/>
          <w:lang w:eastAsia="lt-LT"/>
        </w:rPr>
        <w:t>i</w:t>
      </w:r>
      <w:r w:rsidRPr="000478EC">
        <w:rPr>
          <w:rFonts w:ascii="Times New Roman" w:hAnsi="Times New Roman"/>
          <w:color w:val="595959" w:themeColor="text1" w:themeTint="A6"/>
          <w:lang w:eastAsia="lt-LT"/>
        </w:rPr>
        <w:t xml:space="preserve">nimas. Pagal statistiką viršijame ES vidurkį (LT 61 mirties atvejis milijonui gyventojų, ES vidurkis – 49). Siekiant užtikrinti saugesnę transporto infrastruktūrą, ir toliau siūloma diegti eismo saugos ir aplinkosaugos priemones bei intelektines transporto sistemas, taip </w:t>
      </w:r>
      <w:r>
        <w:rPr>
          <w:rFonts w:ascii="Times New Roman" w:hAnsi="Times New Roman"/>
          <w:color w:val="595959" w:themeColor="text1" w:themeTint="A6"/>
          <w:lang w:eastAsia="lt-LT"/>
        </w:rPr>
        <w:t>p</w:t>
      </w:r>
      <w:r w:rsidRPr="000478EC">
        <w:rPr>
          <w:rFonts w:ascii="Times New Roman" w:hAnsi="Times New Roman"/>
          <w:color w:val="595959" w:themeColor="text1" w:themeTint="A6"/>
          <w:lang w:eastAsia="lt-LT"/>
        </w:rPr>
        <w:t>at svarbu šviesti eismo dalyvius apie tinkamą elgesį kelyje bei skatinti naudoti saugesnius automobilius, įgy</w:t>
      </w:r>
      <w:r>
        <w:rPr>
          <w:rFonts w:ascii="Times New Roman" w:hAnsi="Times New Roman"/>
          <w:color w:val="595959" w:themeColor="text1" w:themeTint="A6"/>
          <w:lang w:eastAsia="lt-LT"/>
        </w:rPr>
        <w:t>vendinti strategiją ,,Vizija 0“</w:t>
      </w:r>
      <w:r w:rsidRPr="000478EC">
        <w:rPr>
          <w:rFonts w:ascii="Times New Roman" w:hAnsi="Times New Roman"/>
          <w:color w:val="595959" w:themeColor="text1" w:themeTint="A6"/>
          <w:lang w:eastAsia="lt-LT"/>
        </w:rPr>
        <w:t xml:space="preserve">. </w:t>
      </w:r>
    </w:p>
    <w:p w:rsidR="00DB2485" w:rsidRDefault="00B43899" w:rsidP="00B43899">
      <w:pPr>
        <w:pStyle w:val="tekstas"/>
        <w:rPr>
          <w:rFonts w:ascii="Times New Roman" w:hAnsi="Times New Roman"/>
          <w:color w:val="595959" w:themeColor="text1" w:themeTint="A6"/>
          <w:lang w:eastAsia="lt-LT"/>
        </w:rPr>
      </w:pPr>
      <w:r w:rsidRPr="00B43899">
        <w:rPr>
          <w:rFonts w:ascii="Times New Roman" w:hAnsi="Times New Roman"/>
          <w:color w:val="595959" w:themeColor="text1" w:themeTint="A6"/>
          <w:lang w:eastAsia="lt-LT"/>
        </w:rPr>
        <w:t xml:space="preserve">ES investicijos </w:t>
      </w:r>
      <w:r w:rsidR="001147B5">
        <w:rPr>
          <w:rFonts w:ascii="Times New Roman" w:hAnsi="Times New Roman"/>
          <w:color w:val="595959" w:themeColor="text1" w:themeTint="A6"/>
          <w:lang w:eastAsia="lt-LT"/>
        </w:rPr>
        <w:t xml:space="preserve">šiame Veiksmų programos prioritete </w:t>
      </w:r>
      <w:r w:rsidRPr="00B43899">
        <w:rPr>
          <w:rFonts w:ascii="Times New Roman" w:hAnsi="Times New Roman"/>
          <w:color w:val="595959" w:themeColor="text1" w:themeTint="A6"/>
          <w:lang w:eastAsia="lt-LT"/>
        </w:rPr>
        <w:t xml:space="preserve">numatytos TEN-T tinklo Lietuvoje gerinimui, tiesiant reikiamas susisiekimo infrastruktūros jungtis su TEN-T ir trūkstamas grandis bei plėtojant skirtingų transporto rūšių sąveiką užtikrinančią infrastruktūrą. Didinamas verslo bei gyventojų regionuose mobilumas, didinamas regionų tarpusavio pasiekiamumas ir užtikrinamas tinkamas sujungimas su TEN-T tinklu ir saugumas. </w:t>
      </w:r>
    </w:p>
    <w:p w:rsidR="00B43899" w:rsidRPr="00B43899" w:rsidRDefault="001147B5" w:rsidP="00B43899">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Finansuojamas</w:t>
      </w:r>
      <w:r w:rsidR="00B43899" w:rsidRPr="00B43899">
        <w:rPr>
          <w:rFonts w:ascii="Times New Roman" w:hAnsi="Times New Roman"/>
          <w:color w:val="595959" w:themeColor="text1" w:themeTint="A6"/>
          <w:lang w:eastAsia="lt-LT"/>
        </w:rPr>
        <w:t xml:space="preserve"> vandens transporto infrastruktūros modernizavimas ir plėtra (Klaipėdos valstybinio jūrų uosto bendro naudojimo laivybos kanalo saugos ir aplinkosauginių parametrų gerinimas, vidaus vandens transporto infrastruktūros modernizavimas ir plėtra, laivybos vidaus vandenų keliais gerinimas). Oro transporto srityje investicijos nukreiptos į pagrindinio TEN-T tinklo oro uostą, siekiant gerinti infrastruktūrą didinant saugumo parametrus ir mažinant neigiamą poveikį aplinkai.</w:t>
      </w:r>
    </w:p>
    <w:p w:rsidR="00B43899" w:rsidRPr="00B43899" w:rsidRDefault="00B43899" w:rsidP="00B43899">
      <w:pPr>
        <w:pStyle w:val="tekstas"/>
        <w:rPr>
          <w:rFonts w:ascii="Times New Roman" w:hAnsi="Times New Roman"/>
          <w:color w:val="595959" w:themeColor="text1" w:themeTint="A6"/>
          <w:lang w:eastAsia="lt-LT"/>
        </w:rPr>
      </w:pPr>
      <w:r w:rsidRPr="00B43899">
        <w:rPr>
          <w:rFonts w:ascii="Times New Roman" w:hAnsi="Times New Roman"/>
          <w:color w:val="595959" w:themeColor="text1" w:themeTint="A6"/>
          <w:lang w:eastAsia="lt-LT"/>
        </w:rPr>
        <w:t xml:space="preserve">Labiausiai </w:t>
      </w:r>
      <w:r w:rsidR="00E235C8">
        <w:rPr>
          <w:rFonts w:ascii="Times New Roman" w:hAnsi="Times New Roman"/>
          <w:color w:val="595959" w:themeColor="text1" w:themeTint="A6"/>
          <w:lang w:eastAsia="lt-LT"/>
        </w:rPr>
        <w:t xml:space="preserve">šio prioriteto </w:t>
      </w:r>
      <w:r w:rsidRPr="00B43899">
        <w:rPr>
          <w:rFonts w:ascii="Times New Roman" w:hAnsi="Times New Roman"/>
          <w:color w:val="595959" w:themeColor="text1" w:themeTint="A6"/>
          <w:lang w:eastAsia="lt-LT"/>
        </w:rPr>
        <w:t>lėšų investavimo atsilikimą sąlygoja nesudaryta didelės apimties geležinkelio ruožo nuo Kaišiadorių iki Kla</w:t>
      </w:r>
      <w:r>
        <w:rPr>
          <w:rFonts w:ascii="Times New Roman" w:hAnsi="Times New Roman"/>
          <w:color w:val="595959" w:themeColor="text1" w:themeTint="A6"/>
          <w:lang w:eastAsia="lt-LT"/>
        </w:rPr>
        <w:t>ipėdos elektrifikavimo projekto</w:t>
      </w:r>
      <w:r w:rsidR="001A0CCC" w:rsidRPr="001A0CCC">
        <w:rPr>
          <w:rStyle w:val="Puslapioinaosnuoroda"/>
          <w:color w:val="595959" w:themeColor="text1" w:themeTint="A6"/>
          <w:lang w:eastAsia="lt-LT"/>
        </w:rPr>
        <w:footnoteReference w:id="4"/>
      </w:r>
      <w:r w:rsidRPr="00B43899">
        <w:rPr>
          <w:rFonts w:ascii="Times New Roman" w:hAnsi="Times New Roman"/>
          <w:color w:val="595959" w:themeColor="text1" w:themeTint="A6"/>
          <w:lang w:eastAsia="lt-LT"/>
        </w:rPr>
        <w:t xml:space="preserve"> sutartis, kuriam numatytos 166 mln. eurų ES investicijos (</w:t>
      </w:r>
      <w:proofErr w:type="spellStart"/>
      <w:r w:rsidRPr="00B43899">
        <w:rPr>
          <w:rFonts w:ascii="Times New Roman" w:hAnsi="Times New Roman"/>
          <w:color w:val="595959" w:themeColor="text1" w:themeTint="A6"/>
          <w:lang w:eastAsia="lt-LT"/>
        </w:rPr>
        <w:t>SaF</w:t>
      </w:r>
      <w:proofErr w:type="spellEnd"/>
      <w:r w:rsidRPr="00B43899">
        <w:rPr>
          <w:rFonts w:ascii="Times New Roman" w:hAnsi="Times New Roman"/>
          <w:color w:val="595959" w:themeColor="text1" w:themeTint="A6"/>
          <w:lang w:eastAsia="lt-LT"/>
        </w:rPr>
        <w:t>). Didžiausią įtaką vėlavimui turi apli</w:t>
      </w:r>
      <w:r>
        <w:rPr>
          <w:rFonts w:ascii="Times New Roman" w:hAnsi="Times New Roman"/>
          <w:color w:val="595959" w:themeColor="text1" w:themeTint="A6"/>
          <w:lang w:eastAsia="lt-LT"/>
        </w:rPr>
        <w:t xml:space="preserve">nkosauginiai aspektai </w:t>
      </w:r>
      <w:r w:rsidR="00EB0097">
        <w:rPr>
          <w:rFonts w:ascii="Times New Roman" w:hAnsi="Times New Roman"/>
          <w:color w:val="595959" w:themeColor="text1" w:themeTint="A6"/>
          <w:lang w:eastAsia="lt-LT"/>
        </w:rPr>
        <w:t>–</w:t>
      </w:r>
      <w:r>
        <w:rPr>
          <w:rFonts w:ascii="Times New Roman" w:hAnsi="Times New Roman"/>
          <w:color w:val="595959" w:themeColor="text1" w:themeTint="A6"/>
          <w:lang w:eastAsia="lt-LT"/>
        </w:rPr>
        <w:t xml:space="preserve"> nepakan</w:t>
      </w:r>
      <w:r w:rsidRPr="00B43899">
        <w:rPr>
          <w:rFonts w:ascii="Times New Roman" w:hAnsi="Times New Roman"/>
          <w:color w:val="595959" w:themeColor="text1" w:themeTint="A6"/>
          <w:lang w:eastAsia="lt-LT"/>
        </w:rPr>
        <w:t>kamo detalumo ,,</w:t>
      </w:r>
      <w:proofErr w:type="spellStart"/>
      <w:r w:rsidRPr="00B43899">
        <w:rPr>
          <w:rFonts w:ascii="Times New Roman" w:hAnsi="Times New Roman"/>
          <w:color w:val="595959" w:themeColor="text1" w:themeTint="A6"/>
          <w:lang w:eastAsia="lt-LT"/>
        </w:rPr>
        <w:t>Natura</w:t>
      </w:r>
      <w:proofErr w:type="spellEnd"/>
      <w:r w:rsidRPr="00B43899">
        <w:rPr>
          <w:rFonts w:ascii="Times New Roman" w:hAnsi="Times New Roman"/>
          <w:color w:val="595959" w:themeColor="text1" w:themeTint="A6"/>
          <w:lang w:eastAsia="lt-LT"/>
        </w:rPr>
        <w:t xml:space="preserve"> 2000“ teritorijos apsaugos </w:t>
      </w:r>
      <w:r>
        <w:rPr>
          <w:rFonts w:ascii="Times New Roman" w:hAnsi="Times New Roman"/>
          <w:color w:val="595959" w:themeColor="text1" w:themeTint="A6"/>
          <w:lang w:eastAsia="lt-LT"/>
        </w:rPr>
        <w:t>tikslai planuojamo įgyvendinti p</w:t>
      </w:r>
      <w:r w:rsidRPr="00B43899">
        <w:rPr>
          <w:rFonts w:ascii="Times New Roman" w:hAnsi="Times New Roman"/>
          <w:color w:val="595959" w:themeColor="text1" w:themeTint="A6"/>
          <w:lang w:eastAsia="lt-LT"/>
        </w:rPr>
        <w:t xml:space="preserve">rojekto teritorijose. Atsižvelgiant į </w:t>
      </w:r>
      <w:r>
        <w:rPr>
          <w:rFonts w:ascii="Times New Roman" w:hAnsi="Times New Roman"/>
          <w:color w:val="595959" w:themeColor="text1" w:themeTint="A6"/>
          <w:lang w:eastAsia="lt-LT"/>
        </w:rPr>
        <w:t>EK</w:t>
      </w:r>
      <w:r w:rsidRPr="00B43899">
        <w:rPr>
          <w:rFonts w:ascii="Times New Roman" w:hAnsi="Times New Roman"/>
          <w:color w:val="595959" w:themeColor="text1" w:themeTint="A6"/>
          <w:lang w:eastAsia="lt-LT"/>
        </w:rPr>
        <w:t xml:space="preserve"> Aplinkos generalinio direktorato pastabas, 2020 m. gruodžio 16 d. raštu Finansų ministerija kreipėsi į Aplinkos ministeriją ir Valstybinę saugomų teritorijų tarnybą su prašymu imtis veiksmų dėl Projektui aktualių „</w:t>
      </w:r>
      <w:proofErr w:type="spellStart"/>
      <w:r w:rsidRPr="00B43899">
        <w:rPr>
          <w:rFonts w:ascii="Times New Roman" w:hAnsi="Times New Roman"/>
          <w:color w:val="595959" w:themeColor="text1" w:themeTint="A6"/>
          <w:lang w:eastAsia="lt-LT"/>
        </w:rPr>
        <w:t>Natura</w:t>
      </w:r>
      <w:proofErr w:type="spellEnd"/>
      <w:r w:rsidRPr="00B43899">
        <w:rPr>
          <w:rFonts w:ascii="Times New Roman" w:hAnsi="Times New Roman"/>
          <w:color w:val="595959" w:themeColor="text1" w:themeTint="A6"/>
          <w:lang w:eastAsia="lt-LT"/>
        </w:rPr>
        <w:t xml:space="preserve"> 2000“ teritorijų apsaugos tikslų kokybės klausimo suderinimo su </w:t>
      </w:r>
      <w:r>
        <w:rPr>
          <w:rFonts w:ascii="Times New Roman" w:hAnsi="Times New Roman"/>
          <w:color w:val="595959" w:themeColor="text1" w:themeTint="A6"/>
          <w:lang w:eastAsia="lt-LT"/>
        </w:rPr>
        <w:t>EK</w:t>
      </w:r>
      <w:r w:rsidRPr="00B43899">
        <w:rPr>
          <w:rFonts w:ascii="Times New Roman" w:hAnsi="Times New Roman"/>
          <w:color w:val="595959" w:themeColor="text1" w:themeTint="A6"/>
          <w:lang w:eastAsia="lt-LT"/>
        </w:rPr>
        <w:t xml:space="preserve"> Aplinkos generaliniu direktoratu (toliau – Aplinkos direktoratas). Aplinkos ministerija kreipėsi į Aplinkos direktoratą dėl Lietuvos veiksmų, susijusių su „</w:t>
      </w:r>
      <w:proofErr w:type="spellStart"/>
      <w:r w:rsidRPr="00B43899">
        <w:rPr>
          <w:rFonts w:ascii="Times New Roman" w:hAnsi="Times New Roman"/>
          <w:color w:val="595959" w:themeColor="text1" w:themeTint="A6"/>
          <w:lang w:eastAsia="lt-LT"/>
        </w:rPr>
        <w:t>Natura</w:t>
      </w:r>
      <w:proofErr w:type="spellEnd"/>
      <w:r w:rsidRPr="00B43899">
        <w:rPr>
          <w:rFonts w:ascii="Times New Roman" w:hAnsi="Times New Roman"/>
          <w:color w:val="595959" w:themeColor="text1" w:themeTint="A6"/>
          <w:lang w:eastAsia="lt-LT"/>
        </w:rPr>
        <w:t xml:space="preserve"> 2000“ teritorijų apsaugos tikslų nustatymu (tikslinimu), </w:t>
      </w:r>
      <w:r w:rsidR="00EB0097">
        <w:rPr>
          <w:rFonts w:ascii="Times New Roman" w:hAnsi="Times New Roman"/>
          <w:color w:val="595959" w:themeColor="text1" w:themeTint="A6"/>
          <w:lang w:eastAsia="lt-LT"/>
        </w:rPr>
        <w:t>vasario 5 d.</w:t>
      </w:r>
      <w:r w:rsidRPr="00B43899">
        <w:rPr>
          <w:rFonts w:ascii="Times New Roman" w:hAnsi="Times New Roman"/>
          <w:color w:val="595959" w:themeColor="text1" w:themeTint="A6"/>
          <w:lang w:eastAsia="lt-LT"/>
        </w:rPr>
        <w:t xml:space="preserve"> </w:t>
      </w:r>
      <w:r w:rsidR="00EB0097">
        <w:rPr>
          <w:rFonts w:ascii="Times New Roman" w:hAnsi="Times New Roman"/>
          <w:color w:val="595959" w:themeColor="text1" w:themeTint="A6"/>
          <w:lang w:eastAsia="lt-LT"/>
        </w:rPr>
        <w:t>su</w:t>
      </w:r>
      <w:r w:rsidRPr="00B43899">
        <w:rPr>
          <w:rFonts w:ascii="Times New Roman" w:hAnsi="Times New Roman"/>
          <w:color w:val="595959" w:themeColor="text1" w:themeTint="A6"/>
          <w:lang w:eastAsia="lt-LT"/>
        </w:rPr>
        <w:t>organizuot</w:t>
      </w:r>
      <w:r w:rsidR="00EB0097">
        <w:rPr>
          <w:rFonts w:ascii="Times New Roman" w:hAnsi="Times New Roman"/>
          <w:color w:val="595959" w:themeColor="text1" w:themeTint="A6"/>
          <w:lang w:eastAsia="lt-LT"/>
        </w:rPr>
        <w:t>a</w:t>
      </w:r>
      <w:r w:rsidRPr="00B43899">
        <w:rPr>
          <w:rFonts w:ascii="Times New Roman" w:hAnsi="Times New Roman"/>
          <w:color w:val="595959" w:themeColor="text1" w:themeTint="A6"/>
          <w:lang w:eastAsia="lt-LT"/>
        </w:rPr>
        <w:t xml:space="preserve"> technin</w:t>
      </w:r>
      <w:r w:rsidR="00EB0097">
        <w:rPr>
          <w:rFonts w:ascii="Times New Roman" w:hAnsi="Times New Roman"/>
          <w:color w:val="595959" w:themeColor="text1" w:themeTint="A6"/>
          <w:lang w:eastAsia="lt-LT"/>
        </w:rPr>
        <w:t>ė</w:t>
      </w:r>
      <w:r w:rsidRPr="00B43899">
        <w:rPr>
          <w:rFonts w:ascii="Times New Roman" w:hAnsi="Times New Roman"/>
          <w:color w:val="595959" w:themeColor="text1" w:themeTint="A6"/>
          <w:lang w:eastAsia="lt-LT"/>
        </w:rPr>
        <w:t xml:space="preserve"> konsultacij</w:t>
      </w:r>
      <w:r w:rsidR="00EB0097">
        <w:rPr>
          <w:rFonts w:ascii="Times New Roman" w:hAnsi="Times New Roman"/>
          <w:color w:val="595959" w:themeColor="text1" w:themeTint="A6"/>
          <w:lang w:eastAsia="lt-LT"/>
        </w:rPr>
        <w:t>a</w:t>
      </w:r>
      <w:r w:rsidRPr="00B43899">
        <w:rPr>
          <w:rFonts w:ascii="Times New Roman" w:hAnsi="Times New Roman"/>
          <w:color w:val="595959" w:themeColor="text1" w:themeTint="A6"/>
          <w:lang w:eastAsia="lt-LT"/>
        </w:rPr>
        <w:t xml:space="preserve">. Rekomendacija Aplinkos ministerijai dėl tolimesnių veiksmų pateikta prie </w:t>
      </w:r>
      <w:r w:rsidR="001D3E90">
        <w:rPr>
          <w:rFonts w:ascii="Times New Roman" w:hAnsi="Times New Roman"/>
          <w:color w:val="595959" w:themeColor="text1" w:themeTint="A6"/>
          <w:lang w:eastAsia="lt-LT"/>
        </w:rPr>
        <w:t xml:space="preserve">šios ataskaitos </w:t>
      </w:r>
      <w:r w:rsidRPr="00B43899">
        <w:rPr>
          <w:rFonts w:ascii="Times New Roman" w:hAnsi="Times New Roman"/>
          <w:color w:val="595959" w:themeColor="text1" w:themeTint="A6"/>
          <w:lang w:eastAsia="lt-LT"/>
        </w:rPr>
        <w:t>5 prioriteto</w:t>
      </w:r>
      <w:r w:rsidR="001D3E90">
        <w:rPr>
          <w:rFonts w:ascii="Times New Roman" w:hAnsi="Times New Roman"/>
          <w:color w:val="595959" w:themeColor="text1" w:themeTint="A6"/>
          <w:lang w:eastAsia="lt-LT"/>
        </w:rPr>
        <w:t xml:space="preserve"> aprašymo</w:t>
      </w:r>
      <w:r w:rsidRPr="00B43899">
        <w:rPr>
          <w:rFonts w:ascii="Times New Roman" w:hAnsi="Times New Roman"/>
          <w:color w:val="595959" w:themeColor="text1" w:themeTint="A6"/>
          <w:lang w:eastAsia="lt-LT"/>
        </w:rPr>
        <w:t xml:space="preserve">. </w:t>
      </w:r>
    </w:p>
    <w:p w:rsidR="00867A20" w:rsidRDefault="00B43899" w:rsidP="00B43899">
      <w:pPr>
        <w:pStyle w:val="tekstas"/>
        <w:rPr>
          <w:rFonts w:ascii="Times New Roman" w:hAnsi="Times New Roman"/>
          <w:color w:val="595959" w:themeColor="text1" w:themeTint="A6"/>
          <w:lang w:eastAsia="lt-LT"/>
        </w:rPr>
      </w:pPr>
      <w:r w:rsidRPr="00B43899">
        <w:rPr>
          <w:rFonts w:ascii="Times New Roman" w:hAnsi="Times New Roman"/>
          <w:color w:val="595959" w:themeColor="text1" w:themeTint="A6"/>
          <w:lang w:eastAsia="lt-LT"/>
        </w:rPr>
        <w:t>Atsižvelg</w:t>
      </w:r>
      <w:r w:rsidR="00DB2485">
        <w:rPr>
          <w:rFonts w:ascii="Times New Roman" w:hAnsi="Times New Roman"/>
          <w:color w:val="595959" w:themeColor="text1" w:themeTint="A6"/>
          <w:lang w:eastAsia="lt-LT"/>
        </w:rPr>
        <w:t>dama</w:t>
      </w:r>
      <w:r w:rsidRPr="00B43899">
        <w:rPr>
          <w:rFonts w:ascii="Times New Roman" w:hAnsi="Times New Roman"/>
          <w:color w:val="595959" w:themeColor="text1" w:themeTint="A6"/>
          <w:lang w:eastAsia="lt-LT"/>
        </w:rPr>
        <w:t xml:space="preserve"> į didelės apimties projekto įgyvendinimo grafiką</w:t>
      </w:r>
      <w:r w:rsidR="00DB2485">
        <w:rPr>
          <w:rFonts w:ascii="Times New Roman" w:hAnsi="Times New Roman"/>
          <w:color w:val="595959" w:themeColor="text1" w:themeTint="A6"/>
          <w:lang w:eastAsia="lt-LT"/>
        </w:rPr>
        <w:t xml:space="preserve">, </w:t>
      </w:r>
      <w:r w:rsidRPr="00B43899">
        <w:rPr>
          <w:rFonts w:ascii="Times New Roman" w:hAnsi="Times New Roman"/>
          <w:color w:val="595959" w:themeColor="text1" w:themeTint="A6"/>
          <w:lang w:eastAsia="lt-LT"/>
        </w:rPr>
        <w:t>Finansų ministerija pritarė projekto sutarties pasirašymo termino pratęsimui iki 2021 m. rugsėjo</w:t>
      </w:r>
      <w:r>
        <w:rPr>
          <w:rFonts w:ascii="Times New Roman" w:hAnsi="Times New Roman"/>
          <w:color w:val="595959" w:themeColor="text1" w:themeTint="A6"/>
          <w:lang w:eastAsia="lt-LT"/>
        </w:rPr>
        <w:t xml:space="preserve"> 1 d., tačiau pastebėjo, kad šis</w:t>
      </w:r>
      <w:r w:rsidRPr="00B43899">
        <w:rPr>
          <w:rFonts w:ascii="Times New Roman" w:hAnsi="Times New Roman"/>
          <w:color w:val="595959" w:themeColor="text1" w:themeTint="A6"/>
          <w:lang w:eastAsia="lt-LT"/>
        </w:rPr>
        <w:t xml:space="preserve"> pratęsimas nereiškia įsipareigojimo sudaryti finansavimo sutartį</w:t>
      </w:r>
      <w:r w:rsidR="00B00C76">
        <w:rPr>
          <w:rFonts w:ascii="Times New Roman" w:hAnsi="Times New Roman"/>
          <w:color w:val="595959" w:themeColor="text1" w:themeTint="A6"/>
          <w:lang w:eastAsia="lt-LT"/>
        </w:rPr>
        <w:t xml:space="preserve"> </w:t>
      </w:r>
      <w:r w:rsidR="009E62B9">
        <w:rPr>
          <w:rFonts w:ascii="Times New Roman" w:hAnsi="Times New Roman"/>
          <w:color w:val="595959" w:themeColor="text1" w:themeTint="A6"/>
          <w:lang w:eastAsia="lt-LT"/>
        </w:rPr>
        <w:t>(</w:t>
      </w:r>
      <w:r w:rsidR="00EB0097">
        <w:rPr>
          <w:rFonts w:ascii="Times New Roman" w:hAnsi="Times New Roman"/>
          <w:color w:val="595959" w:themeColor="text1" w:themeTint="A6"/>
          <w:lang w:eastAsia="lt-LT"/>
        </w:rPr>
        <w:t xml:space="preserve">preliminari </w:t>
      </w:r>
      <w:r w:rsidRPr="00B43899">
        <w:rPr>
          <w:rFonts w:ascii="Times New Roman" w:hAnsi="Times New Roman"/>
          <w:color w:val="595959" w:themeColor="text1" w:themeTint="A6"/>
          <w:lang w:eastAsia="lt-LT"/>
        </w:rPr>
        <w:t xml:space="preserve">JASPERS ekspertų </w:t>
      </w:r>
      <w:r w:rsidRPr="00B43899">
        <w:rPr>
          <w:rFonts w:ascii="Times New Roman" w:hAnsi="Times New Roman"/>
          <w:color w:val="595959" w:themeColor="text1" w:themeTint="A6"/>
          <w:lang w:eastAsia="lt-LT"/>
        </w:rPr>
        <w:lastRenderedPageBreak/>
        <w:t>galutin</w:t>
      </w:r>
      <w:r w:rsidR="00EB0097">
        <w:rPr>
          <w:rFonts w:ascii="Times New Roman" w:hAnsi="Times New Roman"/>
          <w:color w:val="595959" w:themeColor="text1" w:themeTint="A6"/>
          <w:lang w:eastAsia="lt-LT"/>
        </w:rPr>
        <w:t>ė</w:t>
      </w:r>
      <w:r w:rsidRPr="00B43899">
        <w:rPr>
          <w:rFonts w:ascii="Times New Roman" w:hAnsi="Times New Roman"/>
          <w:color w:val="595959" w:themeColor="text1" w:themeTint="A6"/>
          <w:lang w:eastAsia="lt-LT"/>
        </w:rPr>
        <w:t xml:space="preserve"> išvad</w:t>
      </w:r>
      <w:r w:rsidR="00EB0097">
        <w:rPr>
          <w:rFonts w:ascii="Times New Roman" w:hAnsi="Times New Roman"/>
          <w:color w:val="595959" w:themeColor="text1" w:themeTint="A6"/>
          <w:lang w:eastAsia="lt-LT"/>
        </w:rPr>
        <w:t>a gauta kovo 30 d., todėl</w:t>
      </w:r>
      <w:r w:rsidRPr="00B43899">
        <w:rPr>
          <w:rFonts w:ascii="Times New Roman" w:hAnsi="Times New Roman"/>
          <w:color w:val="595959" w:themeColor="text1" w:themeTint="A6"/>
          <w:lang w:eastAsia="lt-LT"/>
        </w:rPr>
        <w:t xml:space="preserve"> projekto įgyvendinimo laiku rizika turės būti įvertinta pakartotinai</w:t>
      </w:r>
      <w:r w:rsidR="009E62B9">
        <w:rPr>
          <w:rFonts w:ascii="Times New Roman" w:hAnsi="Times New Roman"/>
          <w:color w:val="595959" w:themeColor="text1" w:themeTint="A6"/>
          <w:lang w:eastAsia="lt-LT"/>
        </w:rPr>
        <w:t>)</w:t>
      </w:r>
      <w:r w:rsidRPr="00B43899">
        <w:rPr>
          <w:rFonts w:ascii="Times New Roman" w:hAnsi="Times New Roman"/>
          <w:color w:val="595959" w:themeColor="text1" w:themeTint="A6"/>
          <w:lang w:eastAsia="lt-LT"/>
        </w:rPr>
        <w:t>.</w:t>
      </w:r>
    </w:p>
    <w:p w:rsidR="00F86DC9" w:rsidRDefault="00F86DC9" w:rsidP="00B43899">
      <w:pPr>
        <w:pStyle w:val="tekstas"/>
        <w:rPr>
          <w:rFonts w:ascii="Times New Roman" w:hAnsi="Times New Roman"/>
          <w:color w:val="595959" w:themeColor="text1" w:themeTint="A6"/>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B43899" w:rsidRPr="0040787A" w:rsidTr="00574E3F">
        <w:tc>
          <w:tcPr>
            <w:tcW w:w="9638" w:type="dxa"/>
            <w:tcBorders>
              <w:top w:val="nil"/>
              <w:left w:val="nil"/>
              <w:bottom w:val="nil"/>
              <w:right w:val="nil"/>
            </w:tcBorders>
            <w:shd w:val="clear" w:color="auto" w:fill="D9D9D9" w:themeFill="background1" w:themeFillShade="D9"/>
          </w:tcPr>
          <w:p w:rsidR="00B43899" w:rsidRPr="0040787A" w:rsidRDefault="00B43899" w:rsidP="00574E3F">
            <w:pPr>
              <w:jc w:val="both"/>
              <w:rPr>
                <w:b/>
                <w:color w:val="365F91" w:themeColor="accent1" w:themeShade="BF"/>
              </w:rPr>
            </w:pPr>
            <w:r>
              <w:rPr>
                <w:b/>
                <w:color w:val="365F91" w:themeColor="accent1" w:themeShade="BF"/>
              </w:rPr>
              <w:t>Siūlymas</w:t>
            </w:r>
            <w:r w:rsidRPr="00B43899">
              <w:rPr>
                <w:b/>
                <w:color w:val="365F91" w:themeColor="accent1" w:themeShade="BF"/>
              </w:rPr>
              <w:t xml:space="preserve"> Susisiekimo</w:t>
            </w:r>
            <w:r>
              <w:t xml:space="preserve"> </w:t>
            </w:r>
            <w:r w:rsidRPr="0040787A">
              <w:rPr>
                <w:b/>
                <w:color w:val="365F91" w:themeColor="accent1" w:themeShade="BF"/>
              </w:rPr>
              <w:t>ministerijai:</w:t>
            </w:r>
          </w:p>
          <w:p w:rsidR="00B43899" w:rsidRPr="00835C89" w:rsidRDefault="00B43899" w:rsidP="00D35F1B">
            <w:pPr>
              <w:jc w:val="both"/>
              <w:rPr>
                <w:color w:val="365F91" w:themeColor="accent1" w:themeShade="BF"/>
              </w:rPr>
            </w:pPr>
            <w:r w:rsidRPr="0040787A">
              <w:rPr>
                <w:color w:val="365F91" w:themeColor="accent1" w:themeShade="BF"/>
              </w:rPr>
              <w:t>-</w:t>
            </w:r>
            <w:r>
              <w:t xml:space="preserve"> </w:t>
            </w:r>
            <w:r w:rsidR="00523E53">
              <w:rPr>
                <w:color w:val="365F91" w:themeColor="accent1" w:themeShade="BF"/>
              </w:rPr>
              <w:t>atsižvelgus į gautą</w:t>
            </w:r>
            <w:r w:rsidRPr="00AD16B2">
              <w:rPr>
                <w:color w:val="365F91" w:themeColor="accent1" w:themeShade="BF"/>
              </w:rPr>
              <w:t xml:space="preserve"> JASPERS ekspertų galutinę projekto išvadą (</w:t>
            </w:r>
            <w:proofErr w:type="spellStart"/>
            <w:r w:rsidRPr="00AD16B2">
              <w:rPr>
                <w:color w:val="365F91" w:themeColor="accent1" w:themeShade="BF"/>
              </w:rPr>
              <w:t>ang</w:t>
            </w:r>
            <w:proofErr w:type="spellEnd"/>
            <w:r w:rsidRPr="00AD16B2">
              <w:rPr>
                <w:color w:val="365F91" w:themeColor="accent1" w:themeShade="BF"/>
              </w:rPr>
              <w:t xml:space="preserve">. </w:t>
            </w:r>
            <w:proofErr w:type="spellStart"/>
            <w:r w:rsidRPr="00AD16B2">
              <w:rPr>
                <w:i/>
                <w:color w:val="365F91" w:themeColor="accent1" w:themeShade="BF"/>
              </w:rPr>
              <w:t>Action</w:t>
            </w:r>
            <w:proofErr w:type="spellEnd"/>
            <w:r w:rsidRPr="00AD16B2">
              <w:rPr>
                <w:i/>
                <w:color w:val="365F91" w:themeColor="accent1" w:themeShade="BF"/>
              </w:rPr>
              <w:t xml:space="preserve"> </w:t>
            </w:r>
            <w:proofErr w:type="spellStart"/>
            <w:r w:rsidRPr="00AD16B2">
              <w:rPr>
                <w:i/>
                <w:color w:val="365F91" w:themeColor="accent1" w:themeShade="BF"/>
              </w:rPr>
              <w:t>Completion</w:t>
            </w:r>
            <w:proofErr w:type="spellEnd"/>
            <w:r w:rsidRPr="00AD16B2">
              <w:rPr>
                <w:i/>
                <w:color w:val="365F91" w:themeColor="accent1" w:themeShade="BF"/>
              </w:rPr>
              <w:t xml:space="preserve"> Note</w:t>
            </w:r>
            <w:r w:rsidRPr="00AD16B2">
              <w:rPr>
                <w:color w:val="365F91" w:themeColor="accent1" w:themeShade="BF"/>
              </w:rPr>
              <w:t xml:space="preserve">) įvertinti, ar pagal veiklų įgyvendinimo planą ir faktiškai atliktus darbus </w:t>
            </w:r>
            <w:r w:rsidRPr="00B43899">
              <w:rPr>
                <w:color w:val="365F91" w:themeColor="accent1" w:themeShade="BF"/>
              </w:rPr>
              <w:t xml:space="preserve">geležinkelio ruožo nuo Kaišiadorių iki Klaipėdos elektrifikavimo </w:t>
            </w:r>
            <w:r>
              <w:rPr>
                <w:color w:val="365F91" w:themeColor="accent1" w:themeShade="BF"/>
              </w:rPr>
              <w:t>p</w:t>
            </w:r>
            <w:r w:rsidRPr="00AD16B2">
              <w:rPr>
                <w:color w:val="365F91" w:themeColor="accent1" w:themeShade="BF"/>
              </w:rPr>
              <w:t>rojekto veiklų įgyvendinimo laiku</w:t>
            </w:r>
            <w:r w:rsidR="00D53B90">
              <w:rPr>
                <w:color w:val="365F91" w:themeColor="accent1" w:themeShade="BF"/>
              </w:rPr>
              <w:t xml:space="preserve"> (iki 2023 m. spalio 1 d.)</w:t>
            </w:r>
            <w:r w:rsidRPr="00AD16B2">
              <w:rPr>
                <w:color w:val="365F91" w:themeColor="accent1" w:themeShade="BF"/>
              </w:rPr>
              <w:t xml:space="preserve"> rizika yra valdoma ir pateikti informaciją raštu Finansų ministerijai iki 2021 m. </w:t>
            </w:r>
            <w:r w:rsidR="00EB0097">
              <w:rPr>
                <w:color w:val="365F91" w:themeColor="accent1" w:themeShade="BF"/>
              </w:rPr>
              <w:t>balandžio 30</w:t>
            </w:r>
            <w:r w:rsidRPr="00AD16B2">
              <w:rPr>
                <w:color w:val="365F91" w:themeColor="accent1" w:themeShade="BF"/>
              </w:rPr>
              <w:t xml:space="preserve"> d.</w:t>
            </w:r>
          </w:p>
        </w:tc>
      </w:tr>
    </w:tbl>
    <w:p w:rsidR="00DB2485" w:rsidRDefault="00DB2485" w:rsidP="0087038E">
      <w:pPr>
        <w:pStyle w:val="tekstas"/>
        <w:rPr>
          <w:rFonts w:ascii="Times New Roman" w:hAnsi="Times New Roman"/>
          <w:color w:val="595959" w:themeColor="text1" w:themeTint="A6"/>
          <w:lang w:eastAsia="lt-LT"/>
        </w:rPr>
      </w:pPr>
    </w:p>
    <w:p w:rsidR="0087038E" w:rsidRDefault="00642526" w:rsidP="0087038E">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Iki 2020 m. pabaigos pasiekti </w:t>
      </w:r>
      <w:r w:rsidR="00951611">
        <w:rPr>
          <w:rFonts w:ascii="Times New Roman" w:hAnsi="Times New Roman"/>
          <w:color w:val="595959" w:themeColor="text1" w:themeTint="A6"/>
          <w:lang w:eastAsia="lt-LT"/>
        </w:rPr>
        <w:t>šio prioriteto</w:t>
      </w:r>
      <w:r>
        <w:rPr>
          <w:rFonts w:ascii="Times New Roman" w:hAnsi="Times New Roman"/>
          <w:color w:val="595959" w:themeColor="text1" w:themeTint="A6"/>
          <w:lang w:eastAsia="lt-LT"/>
        </w:rPr>
        <w:t xml:space="preserve"> </w:t>
      </w:r>
      <w:r w:rsidR="0087038E">
        <w:rPr>
          <w:rFonts w:ascii="Times New Roman" w:hAnsi="Times New Roman"/>
          <w:color w:val="595959" w:themeColor="text1" w:themeTint="A6"/>
          <w:lang w:eastAsia="lt-LT"/>
        </w:rPr>
        <w:t>reikšmingi rodiklių pasiekimai:</w:t>
      </w:r>
    </w:p>
    <w:p w:rsidR="0087038E" w:rsidRDefault="00642526" w:rsidP="00642526">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w:t>
      </w:r>
      <w:r w:rsidR="0087038E" w:rsidRPr="00B56B1D">
        <w:rPr>
          <w:rFonts w:ascii="Times New Roman" w:hAnsi="Times New Roman"/>
          <w:color w:val="595959" w:themeColor="text1" w:themeTint="A6"/>
          <w:lang w:eastAsia="lt-LT"/>
        </w:rPr>
        <w:t xml:space="preserve"> rekonstruotų arba atnaujintų kelių ilgis sudaro 159 km (</w:t>
      </w:r>
      <w:r>
        <w:rPr>
          <w:rFonts w:ascii="Times New Roman" w:hAnsi="Times New Roman"/>
          <w:color w:val="595959" w:themeColor="text1" w:themeTint="A6"/>
          <w:lang w:eastAsia="lt-LT"/>
        </w:rPr>
        <w:t>planuojama</w:t>
      </w:r>
      <w:r w:rsidR="0087038E" w:rsidRPr="00B56B1D">
        <w:rPr>
          <w:rFonts w:ascii="Times New Roman" w:hAnsi="Times New Roman"/>
          <w:color w:val="595959" w:themeColor="text1" w:themeTint="A6"/>
          <w:lang w:eastAsia="lt-LT"/>
        </w:rPr>
        <w:t xml:space="preserve"> 201 km.)</w:t>
      </w:r>
      <w:r w:rsidR="0087038E">
        <w:rPr>
          <w:rFonts w:ascii="Times New Roman" w:hAnsi="Times New Roman"/>
          <w:color w:val="595959" w:themeColor="text1" w:themeTint="A6"/>
          <w:lang w:eastAsia="lt-LT"/>
        </w:rPr>
        <w:t>. Iš jų</w:t>
      </w:r>
      <w:r w:rsidR="0087038E" w:rsidRPr="00F7457C">
        <w:rPr>
          <w:rFonts w:ascii="Times New Roman" w:hAnsi="Times New Roman"/>
          <w:color w:val="595959" w:themeColor="text1" w:themeTint="A6"/>
          <w:lang w:eastAsia="lt-LT"/>
        </w:rPr>
        <w:t>: TEN-T</w:t>
      </w:r>
      <w:r>
        <w:rPr>
          <w:rFonts w:ascii="Times New Roman" w:hAnsi="Times New Roman"/>
          <w:color w:val="595959" w:themeColor="text1" w:themeTint="A6"/>
          <w:lang w:eastAsia="lt-LT"/>
        </w:rPr>
        <w:t xml:space="preserve"> – beveik 90 km. (planuojama</w:t>
      </w:r>
      <w:r w:rsidR="0087038E" w:rsidRPr="00B56B1D">
        <w:rPr>
          <w:rFonts w:ascii="Times New Roman" w:hAnsi="Times New Roman"/>
          <w:color w:val="595959" w:themeColor="text1" w:themeTint="A6"/>
          <w:lang w:eastAsia="lt-LT"/>
        </w:rPr>
        <w:t xml:space="preserve"> </w:t>
      </w:r>
      <w:r w:rsidR="0087038E">
        <w:rPr>
          <w:rFonts w:ascii="Times New Roman" w:hAnsi="Times New Roman"/>
          <w:color w:val="595959" w:themeColor="text1" w:themeTint="A6"/>
          <w:lang w:eastAsia="lt-LT"/>
        </w:rPr>
        <w:t>99</w:t>
      </w:r>
      <w:r w:rsidR="0087038E" w:rsidRPr="00B56B1D">
        <w:rPr>
          <w:rFonts w:ascii="Times New Roman" w:hAnsi="Times New Roman"/>
          <w:color w:val="595959" w:themeColor="text1" w:themeTint="A6"/>
          <w:lang w:eastAsia="lt-LT"/>
        </w:rPr>
        <w:t xml:space="preserve"> km.</w:t>
      </w:r>
      <w:r w:rsidR="0087038E">
        <w:rPr>
          <w:rFonts w:ascii="Times New Roman" w:hAnsi="Times New Roman"/>
          <w:color w:val="595959" w:themeColor="text1" w:themeTint="A6"/>
          <w:lang w:eastAsia="lt-LT"/>
        </w:rPr>
        <w:t>)</w:t>
      </w:r>
    </w:p>
    <w:p w:rsidR="00951611" w:rsidRDefault="00951611" w:rsidP="0087038E">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 </w:t>
      </w:r>
      <w:r w:rsidR="0087038E">
        <w:rPr>
          <w:rFonts w:ascii="Times New Roman" w:hAnsi="Times New Roman"/>
          <w:color w:val="595959" w:themeColor="text1" w:themeTint="A6"/>
          <w:lang w:eastAsia="lt-LT"/>
        </w:rPr>
        <w:t>į</w:t>
      </w:r>
      <w:r w:rsidR="0087038E" w:rsidRPr="005A6808">
        <w:rPr>
          <w:rFonts w:ascii="Times New Roman" w:hAnsi="Times New Roman"/>
          <w:color w:val="595959" w:themeColor="text1" w:themeTint="A6"/>
          <w:lang w:eastAsia="lt-LT"/>
        </w:rPr>
        <w:t xml:space="preserve">diegtos </w:t>
      </w:r>
      <w:r w:rsidR="0087038E">
        <w:rPr>
          <w:rFonts w:ascii="Times New Roman" w:hAnsi="Times New Roman"/>
          <w:color w:val="595959" w:themeColor="text1" w:themeTint="A6"/>
          <w:lang w:eastAsia="lt-LT"/>
        </w:rPr>
        <w:t xml:space="preserve">153 </w:t>
      </w:r>
      <w:r w:rsidR="0087038E" w:rsidRPr="005A6808">
        <w:rPr>
          <w:rFonts w:ascii="Times New Roman" w:hAnsi="Times New Roman"/>
          <w:color w:val="595959" w:themeColor="text1" w:themeTint="A6"/>
          <w:lang w:eastAsia="lt-LT"/>
        </w:rPr>
        <w:t>saugų eismą gerinančios ir aplinkosaugos priemonės</w:t>
      </w:r>
      <w:r>
        <w:rPr>
          <w:rFonts w:ascii="Times New Roman" w:hAnsi="Times New Roman"/>
          <w:color w:val="595959" w:themeColor="text1" w:themeTint="A6"/>
          <w:lang w:eastAsia="lt-LT"/>
        </w:rPr>
        <w:t xml:space="preserve"> (planuojama</w:t>
      </w:r>
      <w:r w:rsidR="0087038E" w:rsidRPr="00B56B1D">
        <w:rPr>
          <w:rFonts w:ascii="Times New Roman" w:hAnsi="Times New Roman"/>
          <w:color w:val="595959" w:themeColor="text1" w:themeTint="A6"/>
          <w:lang w:eastAsia="lt-LT"/>
        </w:rPr>
        <w:t xml:space="preserve"> – </w:t>
      </w:r>
      <w:r w:rsidR="0087038E">
        <w:rPr>
          <w:rFonts w:ascii="Times New Roman" w:hAnsi="Times New Roman"/>
          <w:color w:val="595959" w:themeColor="text1" w:themeTint="A6"/>
          <w:lang w:eastAsia="lt-LT"/>
        </w:rPr>
        <w:t xml:space="preserve">173). </w:t>
      </w:r>
    </w:p>
    <w:p w:rsidR="0087038E" w:rsidRPr="00951611" w:rsidRDefault="00951611" w:rsidP="0087038E">
      <w:pPr>
        <w:pStyle w:val="tekstas"/>
        <w:rPr>
          <w:rFonts w:ascii="Times New Roman" w:hAnsi="Times New Roman"/>
          <w:color w:val="595959" w:themeColor="text1" w:themeTint="A6"/>
          <w:lang w:eastAsia="lt-LT"/>
        </w:rPr>
      </w:pPr>
      <w:r w:rsidRPr="00951611">
        <w:rPr>
          <w:rFonts w:ascii="Times New Roman" w:hAnsi="Times New Roman"/>
          <w:color w:val="595959" w:themeColor="text1" w:themeTint="A6"/>
          <w:lang w:eastAsia="lt-LT"/>
        </w:rPr>
        <w:t>- i</w:t>
      </w:r>
      <w:r w:rsidR="0087038E" w:rsidRPr="00951611">
        <w:rPr>
          <w:rFonts w:ascii="Times New Roman" w:hAnsi="Times New Roman"/>
          <w:color w:val="595959" w:themeColor="text1" w:themeTint="A6"/>
          <w:lang w:eastAsia="lt-LT"/>
        </w:rPr>
        <w:t>š 330 km. suplanuotų – jau yra nutiesta arba rekonstruota 254 km. elektros perdavimo linijų.</w:t>
      </w:r>
    </w:p>
    <w:p w:rsidR="00B43899" w:rsidRDefault="00B43899" w:rsidP="00B43899">
      <w:pPr>
        <w:pStyle w:val="tekstas"/>
        <w:rPr>
          <w:rFonts w:ascii="Times New Roman" w:hAnsi="Times New Roman"/>
          <w:color w:val="595959" w:themeColor="text1" w:themeTint="A6"/>
          <w:lang w:eastAsia="lt-LT"/>
        </w:rPr>
      </w:pPr>
    </w:p>
    <w:p w:rsidR="000305AE" w:rsidRPr="00935DA5" w:rsidRDefault="000305AE" w:rsidP="00240928">
      <w:pPr>
        <w:pStyle w:val="antrat3zz"/>
        <w:spacing w:before="0" w:after="0"/>
        <w:rPr>
          <w:rFonts w:ascii="Times New Roman" w:eastAsia="Times New Roman" w:hAnsi="Times New Roman" w:cs="Times New Roman"/>
          <w:bCs w:val="0"/>
        </w:rPr>
      </w:pPr>
      <w:bookmarkStart w:id="23" w:name="_Toc69114255"/>
      <w:r w:rsidRPr="00935DA5">
        <w:rPr>
          <w:rFonts w:ascii="Times New Roman" w:eastAsia="Times New Roman" w:hAnsi="Times New Roman" w:cs="Times New Roman"/>
          <w:bCs w:val="0"/>
        </w:rPr>
        <w:t>7 prioritetas. Kokybiško užimtumo ir dalyvavimo darbo rinkoje skatinimas</w:t>
      </w:r>
      <w:bookmarkEnd w:id="22"/>
      <w:bookmarkEnd w:id="23"/>
    </w:p>
    <w:p w:rsidR="00A818E4" w:rsidRDefault="00A818E4" w:rsidP="004610C5">
      <w:pPr>
        <w:jc w:val="both"/>
        <w:rPr>
          <w:color w:val="595959" w:themeColor="text1" w:themeTint="A6"/>
          <w:szCs w:val="24"/>
          <w:lang w:eastAsia="lt-LT"/>
        </w:rPr>
      </w:pPr>
      <w:bookmarkStart w:id="24" w:name="_Toc512504084"/>
      <w:bookmarkStart w:id="25" w:name="_Toc10104959"/>
    </w:p>
    <w:p w:rsidR="00C92FA0" w:rsidRDefault="00D35F1B" w:rsidP="004610C5">
      <w:pPr>
        <w:jc w:val="both"/>
        <w:rPr>
          <w:color w:val="595959" w:themeColor="text1" w:themeTint="A6"/>
          <w:szCs w:val="24"/>
          <w:lang w:eastAsia="lt-LT"/>
        </w:rPr>
      </w:pPr>
      <w:r>
        <w:rPr>
          <w:noProof/>
          <w:lang w:eastAsia="lt-LT"/>
        </w:rPr>
        <w:drawing>
          <wp:inline distT="0" distB="0" distL="0" distR="0" wp14:anchorId="100DCE0C" wp14:editId="7CA65994">
            <wp:extent cx="6120130" cy="786332"/>
            <wp:effectExtent l="0" t="0" r="13970" b="13970"/>
            <wp:docPr id="406" name="Diagrama 40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03573" w:rsidRPr="000D6CD6" w:rsidRDefault="00803573" w:rsidP="00803573">
      <w:pPr>
        <w:jc w:val="both"/>
        <w:rPr>
          <w:color w:val="595959" w:themeColor="text1" w:themeTint="A6"/>
          <w:szCs w:val="24"/>
          <w:lang w:eastAsia="lt-LT"/>
        </w:rPr>
      </w:pPr>
    </w:p>
    <w:p w:rsidR="00803573" w:rsidRDefault="000D6CD6" w:rsidP="00803573">
      <w:pPr>
        <w:pStyle w:val="tekstas"/>
        <w:rPr>
          <w:rFonts w:ascii="Times New Roman" w:hAnsi="Times New Roman"/>
          <w:color w:val="595959" w:themeColor="text1" w:themeTint="A6"/>
          <w:lang w:eastAsia="lt-LT"/>
        </w:rPr>
      </w:pPr>
      <w:r w:rsidRPr="00867A20">
        <w:rPr>
          <w:rFonts w:ascii="Times New Roman" w:hAnsi="Times New Roman"/>
          <w:color w:val="595959" w:themeColor="text1" w:themeTint="A6"/>
          <w:lang w:eastAsia="lt-LT"/>
        </w:rPr>
        <w:t xml:space="preserve">Kultūros </w:t>
      </w:r>
      <w:r w:rsidR="00867A20" w:rsidRPr="008004A4">
        <w:rPr>
          <w:rFonts w:ascii="Times New Roman" w:hAnsi="Times New Roman"/>
          <w:color w:val="595959" w:themeColor="text1" w:themeTint="A6"/>
          <w:lang w:eastAsia="lt-LT"/>
        </w:rPr>
        <w:t xml:space="preserve">ministerija </w:t>
      </w:r>
      <w:r w:rsidR="00D35F1B">
        <w:rPr>
          <w:rFonts w:ascii="Times New Roman" w:hAnsi="Times New Roman"/>
          <w:color w:val="595959" w:themeColor="text1" w:themeTint="A6"/>
          <w:lang w:eastAsia="lt-LT"/>
        </w:rPr>
        <w:t xml:space="preserve">iš esmės yra suplanavusi visas </w:t>
      </w:r>
      <w:r w:rsidR="00987761">
        <w:rPr>
          <w:rFonts w:ascii="Times New Roman" w:hAnsi="Times New Roman"/>
          <w:color w:val="595959" w:themeColor="text1" w:themeTint="A6"/>
          <w:lang w:eastAsia="lt-LT"/>
        </w:rPr>
        <w:t>7</w:t>
      </w:r>
      <w:r w:rsidR="00867A20" w:rsidRPr="008004A4">
        <w:rPr>
          <w:rFonts w:ascii="Times New Roman" w:hAnsi="Times New Roman"/>
          <w:color w:val="595959" w:themeColor="text1" w:themeTint="A6"/>
          <w:lang w:eastAsia="lt-LT"/>
        </w:rPr>
        <w:t xml:space="preserve"> prioriteto ad</w:t>
      </w:r>
      <w:r w:rsidR="00867A20">
        <w:rPr>
          <w:rFonts w:ascii="Times New Roman" w:hAnsi="Times New Roman"/>
          <w:color w:val="595959" w:themeColor="text1" w:themeTint="A6"/>
          <w:lang w:eastAsia="lt-LT"/>
        </w:rPr>
        <w:t>ministruojamų priemonių lėš</w:t>
      </w:r>
      <w:r w:rsidR="00D35F1B">
        <w:rPr>
          <w:rFonts w:ascii="Times New Roman" w:hAnsi="Times New Roman"/>
          <w:color w:val="595959" w:themeColor="text1" w:themeTint="A6"/>
          <w:lang w:eastAsia="lt-LT"/>
        </w:rPr>
        <w:t>a</w:t>
      </w:r>
      <w:r w:rsidR="00867A20">
        <w:rPr>
          <w:rFonts w:ascii="Times New Roman" w:hAnsi="Times New Roman"/>
          <w:color w:val="595959" w:themeColor="text1" w:themeTint="A6"/>
          <w:lang w:eastAsia="lt-LT"/>
        </w:rPr>
        <w:t>s, tačiau investavimo sparta (5</w:t>
      </w:r>
      <w:r w:rsidR="00D35F1B">
        <w:rPr>
          <w:rFonts w:ascii="Times New Roman" w:hAnsi="Times New Roman"/>
          <w:color w:val="595959" w:themeColor="text1" w:themeTint="A6"/>
          <w:lang w:eastAsia="lt-LT"/>
        </w:rPr>
        <w:t>4</w:t>
      </w:r>
      <w:r w:rsidR="00867A20">
        <w:rPr>
          <w:rFonts w:ascii="Times New Roman" w:hAnsi="Times New Roman"/>
          <w:color w:val="595959" w:themeColor="text1" w:themeTint="A6"/>
          <w:lang w:eastAsia="lt-LT"/>
        </w:rPr>
        <w:t xml:space="preserve"> proc.) nepakankama.</w:t>
      </w:r>
    </w:p>
    <w:p w:rsidR="009F2E98" w:rsidRPr="00773471" w:rsidRDefault="001A0CCC" w:rsidP="00773471">
      <w:pPr>
        <w:pStyle w:val="Pagrindinispaprastastekstas"/>
        <w:ind w:firstLine="426"/>
        <w:rPr>
          <w:rFonts w:ascii="Times New Roman" w:eastAsia="Times New Roman" w:hAnsi="Times New Roman" w:cs="Times New Roman"/>
          <w:color w:val="595959" w:themeColor="text1" w:themeTint="A6"/>
        </w:rPr>
      </w:pPr>
      <w:r w:rsidRPr="00951611">
        <w:rPr>
          <w:rFonts w:ascii="Times New Roman" w:eastAsia="Times New Roman" w:hAnsi="Times New Roman" w:cs="Times New Roman"/>
          <w:color w:val="595959" w:themeColor="text1" w:themeTint="A6"/>
        </w:rPr>
        <w:t>Kultūros ministerija ES lėšomis finansuoja kultūros infrastruktūros (muziejų, bibliotekų, kultūros centrų, teatrų) modernizavimą, kuris vykdomas esamos kultūros infrastruktūros pagrindu, siekiant aukštesnės kultūros paslaugų kokybės</w:t>
      </w:r>
      <w:r w:rsidR="009F2E98" w:rsidRPr="00951611">
        <w:rPr>
          <w:rFonts w:ascii="Times New Roman" w:eastAsia="Times New Roman" w:hAnsi="Times New Roman" w:cs="Times New Roman"/>
          <w:color w:val="595959" w:themeColor="text1" w:themeTint="A6"/>
        </w:rPr>
        <w:t>.</w:t>
      </w:r>
      <w:r w:rsidRPr="00951611">
        <w:rPr>
          <w:rFonts w:ascii="Times New Roman" w:eastAsia="Times New Roman" w:hAnsi="Times New Roman" w:cs="Times New Roman"/>
          <w:color w:val="595959" w:themeColor="text1" w:themeTint="A6"/>
        </w:rPr>
        <w:t xml:space="preserve"> </w:t>
      </w:r>
      <w:r w:rsidR="00776369" w:rsidRPr="00951611">
        <w:rPr>
          <w:rFonts w:ascii="Times New Roman" w:eastAsia="Times New Roman" w:hAnsi="Times New Roman" w:cs="Times New Roman"/>
          <w:color w:val="595959" w:themeColor="text1" w:themeTint="A6"/>
        </w:rPr>
        <w:t>Nuo</w:t>
      </w:r>
      <w:r w:rsidR="009F2E98" w:rsidRPr="00951611">
        <w:rPr>
          <w:rFonts w:ascii="Times New Roman" w:eastAsia="Times New Roman" w:hAnsi="Times New Roman" w:cs="Times New Roman"/>
          <w:color w:val="595959" w:themeColor="text1" w:themeTint="A6"/>
        </w:rPr>
        <w:t xml:space="preserve"> 2014–2020</w:t>
      </w:r>
      <w:r w:rsidR="00773471">
        <w:rPr>
          <w:rFonts w:ascii="Times New Roman" w:eastAsia="Times New Roman" w:hAnsi="Times New Roman" w:cs="Times New Roman"/>
          <w:color w:val="595959" w:themeColor="text1" w:themeTint="A6"/>
        </w:rPr>
        <w:t xml:space="preserve"> </w:t>
      </w:r>
      <w:r w:rsidR="009F2E98" w:rsidRPr="00951611">
        <w:rPr>
          <w:rFonts w:ascii="Times New Roman" w:eastAsia="Times New Roman" w:hAnsi="Times New Roman" w:cs="Times New Roman"/>
          <w:color w:val="595959" w:themeColor="text1" w:themeTint="A6"/>
        </w:rPr>
        <w:t xml:space="preserve">m. </w:t>
      </w:r>
      <w:r w:rsidR="00776369" w:rsidRPr="00951611">
        <w:rPr>
          <w:rFonts w:ascii="Times New Roman" w:eastAsia="Times New Roman" w:hAnsi="Times New Roman" w:cs="Times New Roman"/>
          <w:color w:val="595959" w:themeColor="text1" w:themeTint="A6"/>
        </w:rPr>
        <w:t>periodo pradžios</w:t>
      </w:r>
      <w:r w:rsidR="009F2E98" w:rsidRPr="00951611">
        <w:rPr>
          <w:rFonts w:ascii="Times New Roman" w:eastAsia="Times New Roman" w:hAnsi="Times New Roman" w:cs="Times New Roman"/>
          <w:color w:val="595959" w:themeColor="text1" w:themeTint="A6"/>
        </w:rPr>
        <w:t xml:space="preserve"> ERPF lėšomis buvo modernizuota </w:t>
      </w:r>
      <w:r w:rsidR="002D11F3">
        <w:rPr>
          <w:rFonts w:ascii="Times New Roman" w:eastAsia="Times New Roman" w:hAnsi="Times New Roman" w:cs="Times New Roman"/>
          <w:color w:val="595959" w:themeColor="text1" w:themeTint="A6"/>
        </w:rPr>
        <w:t>20</w:t>
      </w:r>
      <w:r w:rsidR="009F2E98" w:rsidRPr="00951611">
        <w:rPr>
          <w:rFonts w:ascii="Times New Roman" w:eastAsia="Times New Roman" w:hAnsi="Times New Roman" w:cs="Times New Roman"/>
          <w:color w:val="595959" w:themeColor="text1" w:themeTint="A6"/>
        </w:rPr>
        <w:t xml:space="preserve"> kultūros infrastruktūros objektų. kurie planuojama, padidins kultūros vartojimą (scenos meno renginių, muziejų, galerijų parodų lankymą) ir kultūros paslaugų prieinamumą, skatins papildomus lankytojų srautus, kurs palankią aplinką vietos verslams bei did</w:t>
      </w:r>
      <w:r w:rsidR="00773471">
        <w:rPr>
          <w:rFonts w:ascii="Times New Roman" w:eastAsia="Times New Roman" w:hAnsi="Times New Roman" w:cs="Times New Roman"/>
          <w:color w:val="595959" w:themeColor="text1" w:themeTint="A6"/>
        </w:rPr>
        <w:t>inas patrauklumą investicijoms.</w:t>
      </w:r>
    </w:p>
    <w:p w:rsidR="001A0CCC" w:rsidRPr="001A0CCC" w:rsidRDefault="00773471" w:rsidP="001A0CCC">
      <w:pPr>
        <w:ind w:firstLine="426"/>
        <w:jc w:val="both"/>
        <w:rPr>
          <w:color w:val="595959" w:themeColor="text1" w:themeTint="A6"/>
          <w:szCs w:val="24"/>
          <w:lang w:eastAsia="lt-LT"/>
        </w:rPr>
      </w:pPr>
      <w:r>
        <w:rPr>
          <w:color w:val="595959" w:themeColor="text1" w:themeTint="A6"/>
          <w:szCs w:val="24"/>
          <w:lang w:eastAsia="lt-LT"/>
        </w:rPr>
        <w:t>Įgyvendinant prioriteto veiklas, i</w:t>
      </w:r>
      <w:r w:rsidR="001A0CCC" w:rsidRPr="001A0CCC">
        <w:rPr>
          <w:color w:val="595959" w:themeColor="text1" w:themeTint="A6"/>
          <w:szCs w:val="24"/>
          <w:lang w:eastAsia="lt-LT"/>
        </w:rPr>
        <w:t xml:space="preserve">šmokėjimų rodikliui įtakos turėjo </w:t>
      </w:r>
      <w:r w:rsidR="009F2E98" w:rsidRPr="00951611">
        <w:rPr>
          <w:color w:val="595959" w:themeColor="text1" w:themeTint="A6"/>
          <w:szCs w:val="24"/>
          <w:lang w:eastAsia="lt-LT"/>
        </w:rPr>
        <w:t>užsi</w:t>
      </w:r>
      <w:r>
        <w:rPr>
          <w:color w:val="595959" w:themeColor="text1" w:themeTint="A6"/>
          <w:szCs w:val="24"/>
          <w:lang w:eastAsia="lt-LT"/>
        </w:rPr>
        <w:t xml:space="preserve">tęsęs projektavimas, </w:t>
      </w:r>
      <w:r w:rsidR="009F2E98" w:rsidRPr="00951611">
        <w:rPr>
          <w:color w:val="595959" w:themeColor="text1" w:themeTint="A6"/>
          <w:szCs w:val="24"/>
          <w:lang w:eastAsia="lt-LT"/>
        </w:rPr>
        <w:t xml:space="preserve">projektų pirkimai, teisminiai ginčai taip pat ir </w:t>
      </w:r>
      <w:r w:rsidR="001A0CCC" w:rsidRPr="001A0CCC">
        <w:rPr>
          <w:color w:val="595959" w:themeColor="text1" w:themeTint="A6"/>
          <w:szCs w:val="24"/>
          <w:lang w:eastAsia="lt-LT"/>
        </w:rPr>
        <w:t xml:space="preserve">paskelbtas karantinas dėl </w:t>
      </w:r>
      <w:proofErr w:type="spellStart"/>
      <w:r w:rsidR="001A0CCC" w:rsidRPr="001A0CCC">
        <w:rPr>
          <w:color w:val="595959" w:themeColor="text1" w:themeTint="A6"/>
          <w:szCs w:val="24"/>
          <w:lang w:eastAsia="lt-LT"/>
        </w:rPr>
        <w:t>C</w:t>
      </w:r>
      <w:r w:rsidR="001A0CCC">
        <w:rPr>
          <w:color w:val="595959" w:themeColor="text1" w:themeTint="A6"/>
          <w:szCs w:val="24"/>
          <w:lang w:eastAsia="lt-LT"/>
        </w:rPr>
        <w:t>ovid</w:t>
      </w:r>
      <w:r w:rsidR="001A0CCC" w:rsidRPr="001A0CCC">
        <w:rPr>
          <w:color w:val="595959" w:themeColor="text1" w:themeTint="A6"/>
          <w:szCs w:val="24"/>
          <w:lang w:eastAsia="lt-LT"/>
        </w:rPr>
        <w:t>-19,</w:t>
      </w:r>
      <w:proofErr w:type="spellEnd"/>
      <w:r w:rsidR="001A0CCC" w:rsidRPr="001A0CCC">
        <w:rPr>
          <w:color w:val="595959" w:themeColor="text1" w:themeTint="A6"/>
          <w:szCs w:val="24"/>
          <w:lang w:eastAsia="lt-LT"/>
        </w:rPr>
        <w:t xml:space="preserve"> kadangi dalies veiklų vykdymas buvo sustabdytas ar apribotas. Įgyvendinamuose projektuose dėl poreikio atlikti nenumatytus darbus ar darbų pabrangimo atlikus projektavimo darbus, dažnai nustatomas papildomų lėšų poreikis. Kultūros ministerija kreipėsi į Finansų min</w:t>
      </w:r>
      <w:r w:rsidR="001A0CCC">
        <w:rPr>
          <w:color w:val="595959" w:themeColor="text1" w:themeTint="A6"/>
          <w:szCs w:val="24"/>
          <w:lang w:eastAsia="lt-LT"/>
        </w:rPr>
        <w:t xml:space="preserve">isteriją su prašymu papildomai </w:t>
      </w:r>
      <w:proofErr w:type="spellStart"/>
      <w:r w:rsidR="001A0CCC" w:rsidRPr="001A0CCC">
        <w:rPr>
          <w:color w:val="595959" w:themeColor="text1" w:themeTint="A6"/>
          <w:szCs w:val="24"/>
          <w:lang w:eastAsia="lt-LT"/>
        </w:rPr>
        <w:t>virškontraktuoti</w:t>
      </w:r>
      <w:proofErr w:type="spellEnd"/>
      <w:r w:rsidR="001A0CCC">
        <w:rPr>
          <w:color w:val="595959" w:themeColor="text1" w:themeTint="A6"/>
          <w:szCs w:val="24"/>
          <w:lang w:eastAsia="lt-LT"/>
        </w:rPr>
        <w:t xml:space="preserve"> ERPF lėšas</w:t>
      </w:r>
      <w:r w:rsidR="001A0CCC" w:rsidRPr="001A0CCC">
        <w:rPr>
          <w:color w:val="595959" w:themeColor="text1" w:themeTint="A6"/>
          <w:szCs w:val="24"/>
          <w:lang w:eastAsia="lt-LT"/>
        </w:rPr>
        <w:t xml:space="preserve">, tačiau įvertinus visas rizikas ir jau dabar numatytą </w:t>
      </w:r>
      <w:proofErr w:type="spellStart"/>
      <w:r w:rsidR="001A0CCC" w:rsidRPr="001A0CCC">
        <w:rPr>
          <w:color w:val="595959" w:themeColor="text1" w:themeTint="A6"/>
          <w:szCs w:val="24"/>
          <w:lang w:eastAsia="lt-LT"/>
        </w:rPr>
        <w:t>virškontraktavimą</w:t>
      </w:r>
      <w:proofErr w:type="spellEnd"/>
      <w:r w:rsidR="001A0CCC" w:rsidRPr="001A0CCC">
        <w:rPr>
          <w:color w:val="595959" w:themeColor="text1" w:themeTint="A6"/>
          <w:szCs w:val="24"/>
          <w:lang w:eastAsia="lt-LT"/>
        </w:rPr>
        <w:t xml:space="preserve"> Veiksmų programos lygiu, buvo priimtas sprendimas, kad šiuo metu didinti </w:t>
      </w:r>
      <w:proofErr w:type="spellStart"/>
      <w:r w:rsidR="001A0CCC" w:rsidRPr="001A0CCC">
        <w:rPr>
          <w:color w:val="595959" w:themeColor="text1" w:themeTint="A6"/>
          <w:szCs w:val="24"/>
          <w:lang w:eastAsia="lt-LT"/>
        </w:rPr>
        <w:t>vir</w:t>
      </w:r>
      <w:r w:rsidR="001A0CCC">
        <w:rPr>
          <w:color w:val="595959" w:themeColor="text1" w:themeTint="A6"/>
          <w:szCs w:val="24"/>
          <w:lang w:eastAsia="lt-LT"/>
        </w:rPr>
        <w:t>škontraktavimo</w:t>
      </w:r>
      <w:proofErr w:type="spellEnd"/>
      <w:r w:rsidR="001A0CCC">
        <w:rPr>
          <w:color w:val="595959" w:themeColor="text1" w:themeTint="A6"/>
          <w:szCs w:val="24"/>
          <w:lang w:eastAsia="lt-LT"/>
        </w:rPr>
        <w:t xml:space="preserve"> galimybių nėra.</w:t>
      </w:r>
    </w:p>
    <w:p w:rsidR="00867A20" w:rsidRDefault="001A0CCC" w:rsidP="001A0CCC">
      <w:pPr>
        <w:ind w:firstLine="426"/>
        <w:jc w:val="both"/>
        <w:rPr>
          <w:color w:val="595959" w:themeColor="text1" w:themeTint="A6"/>
          <w:szCs w:val="24"/>
          <w:lang w:eastAsia="lt-LT"/>
        </w:rPr>
      </w:pPr>
      <w:r w:rsidRPr="001A0CCC">
        <w:rPr>
          <w:color w:val="595959" w:themeColor="text1" w:themeTint="A6"/>
          <w:szCs w:val="24"/>
          <w:lang w:eastAsia="lt-LT"/>
        </w:rPr>
        <w:t>Kultūros ministerija naujoje 2021–2027 m. finansinėje perspektyvoje yra įvertinusi didelį finansavimo poreikį nacionaliniams kultūros infrastruktūros objektams, kurių dauguma yra sostinės regione. Atsižvelgiant į tai, kad naujoje finansinėje perspektyvoje yra skiriamos labai ribotos ES lėšos sostinės regionui bei reikalaujamas didelis bendrojo finansavimo prisidėjimas (50 proc.), Kultūros ministerijai siūloma teikti prioritetą tokiems kultūros infrastruktūros objektams, kurių aktualizavimas būtų reikšmingiausias kultūriniu, socialiniu ir ekonominiu aspektais bei geriau pritaikyti kultūros infrastruktūrą specialiųjų poreikių turintiems asmenims.</w:t>
      </w:r>
    </w:p>
    <w:p w:rsidR="00B43899" w:rsidRDefault="00B43899" w:rsidP="004610C5">
      <w:pPr>
        <w:jc w:val="both"/>
        <w:rPr>
          <w:color w:val="595959" w:themeColor="text1" w:themeTint="A6"/>
          <w:szCs w:val="24"/>
          <w:lang w:eastAsia="lt-LT"/>
        </w:rPr>
      </w:pPr>
    </w:p>
    <w:p w:rsidR="00C92FA0" w:rsidRDefault="00D35F1B" w:rsidP="004610C5">
      <w:pPr>
        <w:jc w:val="both"/>
        <w:rPr>
          <w:color w:val="595959" w:themeColor="text1" w:themeTint="A6"/>
          <w:szCs w:val="24"/>
          <w:lang w:eastAsia="lt-LT"/>
        </w:rPr>
      </w:pPr>
      <w:r>
        <w:rPr>
          <w:noProof/>
          <w:lang w:eastAsia="lt-LT"/>
        </w:rPr>
        <w:lastRenderedPageBreak/>
        <w:drawing>
          <wp:inline distT="0" distB="0" distL="0" distR="0" wp14:anchorId="14C77DF3" wp14:editId="44379E6E">
            <wp:extent cx="6120130" cy="1231605"/>
            <wp:effectExtent l="0" t="0" r="13970" b="26035"/>
            <wp:docPr id="407" name="Diagrama 40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91BD6" w:rsidRPr="005D3468" w:rsidRDefault="00291BD6" w:rsidP="00291BD6">
      <w:pPr>
        <w:autoSpaceDE w:val="0"/>
        <w:autoSpaceDN w:val="0"/>
        <w:adjustRightInd w:val="0"/>
        <w:ind w:firstLine="567"/>
        <w:jc w:val="both"/>
        <w:rPr>
          <w:color w:val="595959" w:themeColor="text1" w:themeTint="A6"/>
          <w:szCs w:val="24"/>
          <w:lang w:eastAsia="lt-LT"/>
        </w:rPr>
      </w:pPr>
    </w:p>
    <w:p w:rsidR="00470B85" w:rsidRDefault="00470B85" w:rsidP="002F324B">
      <w:pPr>
        <w:autoSpaceDE w:val="0"/>
        <w:autoSpaceDN w:val="0"/>
        <w:adjustRightInd w:val="0"/>
        <w:ind w:firstLine="426"/>
        <w:jc w:val="both"/>
        <w:rPr>
          <w:color w:val="595959" w:themeColor="text1" w:themeTint="A6"/>
          <w:szCs w:val="24"/>
          <w:lang w:eastAsia="lt-LT"/>
        </w:rPr>
      </w:pPr>
      <w:r>
        <w:rPr>
          <w:color w:val="595959" w:themeColor="text1" w:themeTint="A6"/>
          <w:szCs w:val="24"/>
          <w:lang w:eastAsia="lt-LT"/>
        </w:rPr>
        <w:t xml:space="preserve">Socialinės apsaugos ir darbo ministerijos 7 prioriteto administruojamose priemonėse </w:t>
      </w:r>
      <w:r w:rsidR="00867A20">
        <w:rPr>
          <w:color w:val="595959" w:themeColor="text1" w:themeTint="A6"/>
          <w:szCs w:val="24"/>
          <w:lang w:eastAsia="lt-LT"/>
        </w:rPr>
        <w:t xml:space="preserve">sutarčių </w:t>
      </w:r>
      <w:r w:rsidR="00BF5F68">
        <w:rPr>
          <w:color w:val="595959" w:themeColor="text1" w:themeTint="A6"/>
          <w:szCs w:val="24"/>
          <w:lang w:eastAsia="lt-LT"/>
        </w:rPr>
        <w:t xml:space="preserve">pasirašyta </w:t>
      </w:r>
      <w:r w:rsidR="00867A20">
        <w:rPr>
          <w:color w:val="595959" w:themeColor="text1" w:themeTint="A6"/>
          <w:szCs w:val="24"/>
          <w:lang w:eastAsia="lt-LT"/>
        </w:rPr>
        <w:t>iš esmės visai</w:t>
      </w:r>
      <w:r w:rsidR="00BF5F68">
        <w:rPr>
          <w:color w:val="595959" w:themeColor="text1" w:themeTint="A6"/>
          <w:szCs w:val="24"/>
          <w:lang w:eastAsia="lt-LT"/>
        </w:rPr>
        <w:t xml:space="preserve"> </w:t>
      </w:r>
      <w:r w:rsidR="0034618A">
        <w:rPr>
          <w:color w:val="595959" w:themeColor="text1" w:themeTint="A6"/>
          <w:szCs w:val="24"/>
          <w:lang w:eastAsia="lt-LT"/>
        </w:rPr>
        <w:t>skirtų</w:t>
      </w:r>
      <w:r w:rsidR="00BF5F68">
        <w:rPr>
          <w:color w:val="595959" w:themeColor="text1" w:themeTint="A6"/>
          <w:szCs w:val="24"/>
          <w:lang w:eastAsia="lt-LT"/>
        </w:rPr>
        <w:t xml:space="preserve"> lėšų</w:t>
      </w:r>
      <w:r w:rsidR="00867A20">
        <w:rPr>
          <w:color w:val="595959" w:themeColor="text1" w:themeTint="A6"/>
          <w:szCs w:val="24"/>
          <w:lang w:eastAsia="lt-LT"/>
        </w:rPr>
        <w:t xml:space="preserve"> sumai</w:t>
      </w:r>
      <w:r w:rsidR="00BF5F68">
        <w:rPr>
          <w:color w:val="595959" w:themeColor="text1" w:themeTint="A6"/>
          <w:szCs w:val="24"/>
          <w:lang w:eastAsia="lt-LT"/>
        </w:rPr>
        <w:t xml:space="preserve">. Taip pat, </w:t>
      </w:r>
      <w:r w:rsidR="00BF5F68" w:rsidRPr="00BF5F68">
        <w:rPr>
          <w:color w:val="595959" w:themeColor="text1" w:themeTint="A6"/>
          <w:szCs w:val="24"/>
          <w:lang w:eastAsia="lt-LT"/>
        </w:rPr>
        <w:t xml:space="preserve">šiame prioritete ministerijai yra numatyta </w:t>
      </w:r>
      <w:r w:rsidR="00867A20">
        <w:rPr>
          <w:color w:val="595959" w:themeColor="text1" w:themeTint="A6"/>
          <w:szCs w:val="24"/>
          <w:lang w:eastAsia="lt-LT"/>
        </w:rPr>
        <w:t>5 </w:t>
      </w:r>
      <w:r w:rsidR="00BF5F68" w:rsidRPr="00BF5F68">
        <w:rPr>
          <w:color w:val="595959" w:themeColor="text1" w:themeTint="A6"/>
          <w:szCs w:val="24"/>
          <w:lang w:eastAsia="lt-LT"/>
        </w:rPr>
        <w:t>mln. eurų ES</w:t>
      </w:r>
      <w:r w:rsidR="00BF5F68">
        <w:rPr>
          <w:color w:val="595959" w:themeColor="text1" w:themeTint="A6"/>
          <w:szCs w:val="24"/>
          <w:lang w:eastAsia="lt-LT"/>
        </w:rPr>
        <w:t>F</w:t>
      </w:r>
      <w:r w:rsidR="00BF5F68" w:rsidRPr="00BF5F68">
        <w:rPr>
          <w:color w:val="595959" w:themeColor="text1" w:themeTint="A6"/>
          <w:szCs w:val="24"/>
          <w:lang w:eastAsia="lt-LT"/>
        </w:rPr>
        <w:t xml:space="preserve"> lėšų </w:t>
      </w:r>
      <w:proofErr w:type="spellStart"/>
      <w:r w:rsidR="00BF5F68" w:rsidRPr="00BF5F68">
        <w:rPr>
          <w:color w:val="595959" w:themeColor="text1" w:themeTint="A6"/>
          <w:szCs w:val="24"/>
          <w:lang w:eastAsia="lt-LT"/>
        </w:rPr>
        <w:t>virškontraktavimo</w:t>
      </w:r>
      <w:proofErr w:type="spellEnd"/>
      <w:r w:rsidR="00BF5F68" w:rsidRPr="00BF5F68">
        <w:rPr>
          <w:color w:val="595959" w:themeColor="text1" w:themeTint="A6"/>
          <w:szCs w:val="24"/>
          <w:lang w:eastAsia="lt-LT"/>
        </w:rPr>
        <w:t xml:space="preserve"> galimybė.</w:t>
      </w:r>
    </w:p>
    <w:p w:rsidR="00BF5F68" w:rsidRDefault="00BF5F68" w:rsidP="002F324B">
      <w:pPr>
        <w:autoSpaceDE w:val="0"/>
        <w:autoSpaceDN w:val="0"/>
        <w:adjustRightInd w:val="0"/>
        <w:ind w:firstLine="426"/>
        <w:jc w:val="both"/>
        <w:rPr>
          <w:color w:val="595959" w:themeColor="text1" w:themeTint="A6"/>
          <w:szCs w:val="24"/>
          <w:lang w:eastAsia="lt-LT"/>
        </w:rPr>
      </w:pPr>
      <w:r>
        <w:rPr>
          <w:color w:val="595959" w:themeColor="text1" w:themeTint="A6"/>
          <w:szCs w:val="24"/>
          <w:lang w:eastAsia="lt-LT"/>
        </w:rPr>
        <w:t xml:space="preserve">ESF lėšomis finansuojamų projektų investicijos jau siekia </w:t>
      </w:r>
      <w:r w:rsidR="00F41DFD">
        <w:rPr>
          <w:color w:val="595959" w:themeColor="text1" w:themeTint="A6"/>
          <w:szCs w:val="24"/>
          <w:lang w:eastAsia="lt-LT"/>
        </w:rPr>
        <w:t>92</w:t>
      </w:r>
      <w:r>
        <w:rPr>
          <w:color w:val="595959" w:themeColor="text1" w:themeTint="A6"/>
          <w:szCs w:val="24"/>
          <w:lang w:eastAsia="lt-LT"/>
        </w:rPr>
        <w:t xml:space="preserve"> proc., tačiau ERPF lėšomis finansuojamų</w:t>
      </w:r>
      <w:r w:rsidR="00A13861">
        <w:rPr>
          <w:color w:val="595959" w:themeColor="text1" w:themeTint="A6"/>
          <w:szCs w:val="24"/>
          <w:lang w:eastAsia="lt-LT"/>
        </w:rPr>
        <w:t xml:space="preserve"> mokėjimų dar nėra.</w:t>
      </w:r>
    </w:p>
    <w:p w:rsidR="001A0CCC" w:rsidRDefault="001A0CCC" w:rsidP="001A0CCC">
      <w:pPr>
        <w:ind w:firstLine="426"/>
        <w:jc w:val="both"/>
        <w:rPr>
          <w:color w:val="595959" w:themeColor="text1" w:themeTint="A6"/>
          <w:szCs w:val="24"/>
          <w:lang w:eastAsia="lt-LT"/>
        </w:rPr>
      </w:pPr>
      <w:r w:rsidRPr="001A0CCC">
        <w:rPr>
          <w:color w:val="595959" w:themeColor="text1" w:themeTint="A6"/>
          <w:szCs w:val="24"/>
          <w:lang w:eastAsia="lt-LT"/>
        </w:rPr>
        <w:t xml:space="preserve">Socialinės apsaugos ir darbo ministerija kuruoja kokybiško užimtumo ir dalyvavimo darbo rinkoje skatinimo sritis. Finansuojamas Užimtumo tarnybos infrastruktūros gerinimas Vilniaus mieste, siekiant pagerinti teikiamų paslaugų kokybę ir prieinamumą bei darbuotojų darbo sąlygas, įvairios aktyvios darbo rinkos politikos (ADRP) priemonės, profesinės reabilitacijos paslaugų teikimas neįgaliesiems, jaunimo užimtumas, darbo rinkos institucijų paslaugų kokybės ir prieinamumo gerinimas, parama verslo pradžiai. </w:t>
      </w:r>
    </w:p>
    <w:p w:rsidR="00D04093" w:rsidRDefault="00D04093" w:rsidP="00D04093">
      <w:pPr>
        <w:ind w:firstLine="426"/>
        <w:jc w:val="both"/>
        <w:rPr>
          <w:color w:val="595959" w:themeColor="text1" w:themeTint="A6"/>
          <w:szCs w:val="24"/>
          <w:lang w:eastAsia="lt-LT"/>
        </w:rPr>
      </w:pPr>
      <w:r>
        <w:rPr>
          <w:color w:val="595959" w:themeColor="text1" w:themeTint="A6"/>
          <w:szCs w:val="24"/>
          <w:lang w:eastAsia="lt-LT"/>
        </w:rPr>
        <w:t>Atkreiptinas dėmesys, kad s</w:t>
      </w:r>
      <w:r w:rsidRPr="001A0CCC">
        <w:rPr>
          <w:color w:val="595959" w:themeColor="text1" w:themeTint="A6"/>
          <w:szCs w:val="24"/>
          <w:lang w:eastAsia="lt-LT"/>
        </w:rPr>
        <w:t xml:space="preserve">varbu </w:t>
      </w:r>
      <w:r>
        <w:rPr>
          <w:color w:val="595959" w:themeColor="text1" w:themeTint="A6"/>
          <w:szCs w:val="24"/>
          <w:lang w:eastAsia="lt-LT"/>
        </w:rPr>
        <w:t>būtų</w:t>
      </w:r>
      <w:r w:rsidRPr="001A0CCC">
        <w:rPr>
          <w:color w:val="595959" w:themeColor="text1" w:themeTint="A6"/>
          <w:szCs w:val="24"/>
          <w:lang w:eastAsia="lt-LT"/>
        </w:rPr>
        <w:t xml:space="preserve"> turėti vieną bendrą perkvalifikavimo ir kvalifikacijos sistemą, pagrįstą vieno langelio principu,</w:t>
      </w:r>
      <w:r>
        <w:rPr>
          <w:color w:val="595959" w:themeColor="text1" w:themeTint="A6"/>
          <w:szCs w:val="24"/>
          <w:lang w:eastAsia="lt-LT"/>
        </w:rPr>
        <w:t xml:space="preserve"> suteikiant </w:t>
      </w:r>
      <w:r w:rsidRPr="000277FF">
        <w:rPr>
          <w:color w:val="595959" w:themeColor="text1" w:themeTint="A6"/>
          <w:szCs w:val="24"/>
          <w:lang w:eastAsia="lt-LT"/>
        </w:rPr>
        <w:t xml:space="preserve">galimybes persikvalifikuoti ne tik žemos ir vidutinės kvalifikacijos žmonėms, tačiau ir turintiems aukštą, tačiau darbo rinkoje nepaklausią kvalifikaciją. Kuriant šią sistemą </w:t>
      </w:r>
      <w:r w:rsidRPr="001A0CCC">
        <w:rPr>
          <w:color w:val="595959" w:themeColor="text1" w:themeTint="A6"/>
          <w:szCs w:val="24"/>
          <w:lang w:eastAsia="lt-LT"/>
        </w:rPr>
        <w:t xml:space="preserve">svarbus </w:t>
      </w:r>
      <w:r>
        <w:rPr>
          <w:color w:val="595959" w:themeColor="text1" w:themeTint="A6"/>
          <w:szCs w:val="24"/>
          <w:lang w:eastAsia="lt-LT"/>
        </w:rPr>
        <w:t>ir kitų ministerijų įsitraukimas.</w:t>
      </w:r>
    </w:p>
    <w:p w:rsidR="00D04093" w:rsidRPr="007736B6" w:rsidRDefault="00F86DC9" w:rsidP="00D04093">
      <w:pPr>
        <w:ind w:firstLine="426"/>
        <w:jc w:val="both"/>
        <w:rPr>
          <w:color w:val="595959" w:themeColor="text1" w:themeTint="A6"/>
          <w:szCs w:val="24"/>
          <w:lang w:eastAsia="lt-LT"/>
        </w:rPr>
      </w:pPr>
      <w:r w:rsidRPr="000277FF">
        <w:rPr>
          <w:color w:val="595959" w:themeColor="text1" w:themeTint="A6"/>
          <w:szCs w:val="24"/>
          <w:lang w:eastAsia="lt-LT"/>
        </w:rPr>
        <w:t>2020 m. Tarybos rekomendacijose Lietuvai akcentuojama svarba švelninti krizės poveikį užimtumui, didinti aktyvios darbo rinkos politikos (ADRP) priemonių finansavimą bei aprėptį ir skatinti gerinti įgūdžius, užtikrinti minimalios socialinės apsaugos sistemos aprėptį bei adekvatumą ir padidinti mokesčių ir socialinių išmokų sistemos veiksmingumą apsaugant nuo skurdo.</w:t>
      </w:r>
      <w:r w:rsidR="00255EC9">
        <w:rPr>
          <w:color w:val="595959" w:themeColor="text1" w:themeTint="A6"/>
          <w:szCs w:val="24"/>
          <w:lang w:eastAsia="lt-LT"/>
        </w:rPr>
        <w:t xml:space="preserve"> </w:t>
      </w:r>
      <w:r w:rsidR="00880BA2" w:rsidRPr="000277FF">
        <w:rPr>
          <w:color w:val="595959" w:themeColor="text1" w:themeTint="A6"/>
          <w:szCs w:val="24"/>
          <w:lang w:eastAsia="lt-LT"/>
        </w:rPr>
        <w:t xml:space="preserve">Investuojant į ADRP šiuo finansavimo periodu, buvo suplanuota įtraukti ne mažiau kaip 91 tūkst. bedarbių, kuriems organizuojamas platus spektras LR Užimtumo įstatyme numatytų priemonių, prioritetas teikiamas ilgalaikiams ir vyresniems kaip 54 metų bedarbiams. Projektuose jau sudalyvavo </w:t>
      </w:r>
      <w:r w:rsidR="00FA2F92">
        <w:rPr>
          <w:color w:val="595959" w:themeColor="text1" w:themeTint="A6"/>
          <w:szCs w:val="24"/>
          <w:lang w:eastAsia="lt-LT"/>
        </w:rPr>
        <w:t xml:space="preserve">beveik </w:t>
      </w:r>
      <w:r w:rsidR="00FA2F92" w:rsidRPr="00F41DFD">
        <w:rPr>
          <w:color w:val="595959" w:themeColor="text1" w:themeTint="A6"/>
          <w:szCs w:val="24"/>
          <w:lang w:eastAsia="lt-LT"/>
        </w:rPr>
        <w:t>87</w:t>
      </w:r>
      <w:r w:rsidR="00FA2F92" w:rsidRPr="000277FF">
        <w:rPr>
          <w:color w:val="595959" w:themeColor="text1" w:themeTint="A6"/>
          <w:szCs w:val="24"/>
          <w:lang w:eastAsia="lt-LT"/>
        </w:rPr>
        <w:t xml:space="preserve"> </w:t>
      </w:r>
      <w:r w:rsidR="00880BA2" w:rsidRPr="000277FF">
        <w:rPr>
          <w:color w:val="595959" w:themeColor="text1" w:themeTint="A6"/>
          <w:szCs w:val="24"/>
          <w:lang w:eastAsia="lt-LT"/>
        </w:rPr>
        <w:t>tūkst. bedarbių (</w:t>
      </w:r>
      <w:r w:rsidR="00FA2F92" w:rsidRPr="000277FF">
        <w:rPr>
          <w:color w:val="595959" w:themeColor="text1" w:themeTint="A6"/>
          <w:szCs w:val="24"/>
          <w:lang w:eastAsia="lt-LT"/>
        </w:rPr>
        <w:t>9</w:t>
      </w:r>
      <w:r w:rsidR="00FA2F92">
        <w:rPr>
          <w:color w:val="595959" w:themeColor="text1" w:themeTint="A6"/>
          <w:szCs w:val="24"/>
          <w:lang w:eastAsia="lt-LT"/>
        </w:rPr>
        <w:t>6</w:t>
      </w:r>
      <w:r w:rsidR="00FA2F92" w:rsidRPr="000277FF">
        <w:rPr>
          <w:color w:val="595959" w:themeColor="text1" w:themeTint="A6"/>
          <w:szCs w:val="24"/>
          <w:lang w:eastAsia="lt-LT"/>
        </w:rPr>
        <w:t xml:space="preserve"> </w:t>
      </w:r>
      <w:r w:rsidR="00880BA2" w:rsidRPr="000277FF">
        <w:rPr>
          <w:color w:val="595959" w:themeColor="text1" w:themeTint="A6"/>
          <w:szCs w:val="24"/>
          <w:lang w:eastAsia="lt-LT"/>
        </w:rPr>
        <w:t>proc. nuo suplanuoto skaičiaus), iš jų kas antras baigė profesinį mokymą ir įgijo darbo rinkoje paklausią profesinę kvalifikaciją</w:t>
      </w:r>
      <w:r w:rsidR="00AC52C9" w:rsidRPr="00AC52C9">
        <w:rPr>
          <w:color w:val="595959" w:themeColor="text1" w:themeTint="A6"/>
          <w:szCs w:val="24"/>
          <w:lang w:eastAsia="lt-LT"/>
        </w:rPr>
        <w:t xml:space="preserve">, </w:t>
      </w:r>
      <w:r w:rsidR="00AC52C9" w:rsidRPr="00F41DFD">
        <w:rPr>
          <w:color w:val="595959" w:themeColor="text1" w:themeTint="A6"/>
          <w:szCs w:val="24"/>
          <w:lang w:eastAsia="lt-LT"/>
        </w:rPr>
        <w:t xml:space="preserve">daugiau kaip 60 proc. dalyvių po dalyvavimo projektuose įsidarbino per 28 dienas. </w:t>
      </w:r>
      <w:r w:rsidR="00D04093" w:rsidRPr="001A0CCC">
        <w:rPr>
          <w:color w:val="595959" w:themeColor="text1" w:themeTint="A6"/>
          <w:szCs w:val="24"/>
          <w:lang w:eastAsia="lt-LT"/>
        </w:rPr>
        <w:t xml:space="preserve">Pažymėtina, kad iš </w:t>
      </w:r>
      <w:proofErr w:type="spellStart"/>
      <w:r w:rsidR="00D04093" w:rsidRPr="001A0CCC">
        <w:rPr>
          <w:color w:val="595959" w:themeColor="text1" w:themeTint="A6"/>
          <w:szCs w:val="24"/>
          <w:lang w:eastAsia="lt-LT"/>
        </w:rPr>
        <w:t>React-EU</w:t>
      </w:r>
      <w:proofErr w:type="spellEnd"/>
      <w:r w:rsidR="00D04093" w:rsidRPr="001A0CCC">
        <w:rPr>
          <w:color w:val="595959" w:themeColor="text1" w:themeTint="A6"/>
          <w:szCs w:val="24"/>
          <w:lang w:eastAsia="lt-LT"/>
        </w:rPr>
        <w:t xml:space="preserve"> instrumento papildomai skirta 46 mln. eurų 2021 metams ADRP priemonėms įgyvendinti, bet viso poreikio tai nepadengia. Trūksta nacionalinio ilgalaikio susitarimo, kokia aprėptimi turi būti finansuojamos ADRP priemonės. Pandemijos laikotarpiu 169,6 mln. eurų skirta darbuotojų prastovų kompensavimui </w:t>
      </w:r>
      <w:r w:rsidR="00D04093" w:rsidRPr="007736B6">
        <w:rPr>
          <w:color w:val="595959" w:themeColor="text1" w:themeTint="A6"/>
          <w:szCs w:val="24"/>
          <w:lang w:eastAsia="lt-LT"/>
        </w:rPr>
        <w:t>(</w:t>
      </w:r>
      <w:r w:rsidR="007736B6" w:rsidRPr="007736B6">
        <w:rPr>
          <w:color w:val="595959" w:themeColor="text1" w:themeTint="A6"/>
          <w:szCs w:val="24"/>
          <w:lang w:eastAsia="lt-LT"/>
        </w:rPr>
        <w:t>visos lėšos investuotos 2020 m)</w:t>
      </w:r>
      <w:r w:rsidR="007736B6" w:rsidRPr="00880BA2">
        <w:rPr>
          <w:color w:val="595959" w:themeColor="text1" w:themeTint="A6"/>
          <w:szCs w:val="24"/>
          <w:lang w:eastAsia="lt-LT"/>
        </w:rPr>
        <w:t xml:space="preserve">, buvo išsaugota </w:t>
      </w:r>
      <w:r w:rsidR="007736B6" w:rsidRPr="000277FF">
        <w:rPr>
          <w:color w:val="595959" w:themeColor="text1" w:themeTint="A6"/>
          <w:szCs w:val="24"/>
          <w:lang w:eastAsia="lt-LT"/>
        </w:rPr>
        <w:t>daugiau kaip 200 tūkst. darbuotojų darbo vietų.</w:t>
      </w:r>
    </w:p>
    <w:p w:rsidR="00C92FA0" w:rsidRDefault="00D04093" w:rsidP="001B7DD2">
      <w:pPr>
        <w:ind w:firstLine="426"/>
        <w:jc w:val="both"/>
        <w:rPr>
          <w:color w:val="595959" w:themeColor="text1" w:themeTint="A6"/>
          <w:szCs w:val="24"/>
          <w:lang w:eastAsia="lt-LT"/>
        </w:rPr>
      </w:pPr>
      <w:r w:rsidRPr="008A51CD">
        <w:rPr>
          <w:color w:val="595959" w:themeColor="text1" w:themeTint="A6"/>
          <w:szCs w:val="24"/>
          <w:lang w:eastAsia="lt-LT"/>
        </w:rPr>
        <w:t>ADRP priemonės įgyvendinamos ir per Uži</w:t>
      </w:r>
      <w:r w:rsidRPr="00AC41BE">
        <w:rPr>
          <w:color w:val="595959" w:themeColor="text1" w:themeTint="A6"/>
          <w:szCs w:val="24"/>
          <w:lang w:eastAsia="lt-LT"/>
        </w:rPr>
        <w:t>mtumo skatinimo ir motyvavimo paslaugų nedirbantiems ir socialinę paramą gaunantiem</w:t>
      </w:r>
      <w:r w:rsidRPr="008A51CD">
        <w:rPr>
          <w:color w:val="595959" w:themeColor="text1" w:themeTint="A6"/>
          <w:szCs w:val="24"/>
          <w:lang w:eastAsia="lt-LT"/>
        </w:rPr>
        <w:t>s asmenims modelį (</w:t>
      </w:r>
      <w:r w:rsidRPr="000277FF">
        <w:rPr>
          <w:color w:val="595959" w:themeColor="text1" w:themeTint="A6"/>
          <w:szCs w:val="24"/>
          <w:lang w:eastAsia="lt-LT"/>
        </w:rPr>
        <w:t>4 mln. eur</w:t>
      </w:r>
      <w:r w:rsidRPr="008A51CD">
        <w:rPr>
          <w:color w:val="595959" w:themeColor="text1" w:themeTint="A6"/>
          <w:szCs w:val="24"/>
          <w:lang w:eastAsia="lt-LT"/>
        </w:rPr>
        <w:t xml:space="preserve">ų). Tai yra </w:t>
      </w:r>
      <w:proofErr w:type="spellStart"/>
      <w:r w:rsidRPr="008A51CD">
        <w:rPr>
          <w:color w:val="595959" w:themeColor="text1" w:themeTint="A6"/>
          <w:szCs w:val="24"/>
          <w:lang w:eastAsia="lt-LT"/>
        </w:rPr>
        <w:t>inovatyvus</w:t>
      </w:r>
      <w:proofErr w:type="spellEnd"/>
      <w:r w:rsidRPr="008A51CD">
        <w:rPr>
          <w:color w:val="595959" w:themeColor="text1" w:themeTint="A6"/>
          <w:szCs w:val="24"/>
          <w:lang w:eastAsia="lt-LT"/>
        </w:rPr>
        <w:t xml:space="preserve"> pilotinis projektas</w:t>
      </w:r>
      <w:r w:rsidR="00800946" w:rsidRPr="008A51CD">
        <w:rPr>
          <w:color w:val="595959" w:themeColor="text1" w:themeTint="A6"/>
          <w:szCs w:val="24"/>
          <w:lang w:eastAsia="lt-LT"/>
        </w:rPr>
        <w:t>, nuo 2020 m.</w:t>
      </w:r>
      <w:r w:rsidRPr="008A51CD">
        <w:rPr>
          <w:color w:val="595959" w:themeColor="text1" w:themeTint="A6"/>
          <w:szCs w:val="24"/>
          <w:lang w:eastAsia="lt-LT"/>
        </w:rPr>
        <w:t xml:space="preserve"> įgyvendinamas </w:t>
      </w:r>
      <w:r w:rsidRPr="000277FF">
        <w:rPr>
          <w:color w:val="595959" w:themeColor="text1" w:themeTint="A6"/>
          <w:szCs w:val="24"/>
          <w:lang w:eastAsia="lt-LT"/>
        </w:rPr>
        <w:t xml:space="preserve">6 </w:t>
      </w:r>
      <w:r w:rsidRPr="008A51CD">
        <w:rPr>
          <w:color w:val="595959" w:themeColor="text1" w:themeTint="A6"/>
          <w:szCs w:val="24"/>
          <w:lang w:eastAsia="lt-LT"/>
        </w:rPr>
        <w:t xml:space="preserve">Lietuvos savivaldybėse, kurio tikslas </w:t>
      </w:r>
      <w:r w:rsidRPr="000277FF">
        <w:rPr>
          <w:color w:val="595959" w:themeColor="text1" w:themeTint="A6"/>
          <w:szCs w:val="24"/>
          <w:lang w:eastAsia="lt-LT"/>
        </w:rPr>
        <w:t>– užtikrinti ADRP ir socialinės paramos suderinamumą, padidinti institucijų bendradarbiavimo veiksmingumą, palengvinti asmenų, turinčių daugybines problemas ir esančių nepalankioje padėtyje perėjimą nuo nedarbo prie užimtumo darbo rinkoje</w:t>
      </w:r>
      <w:r w:rsidR="00800946" w:rsidRPr="000277FF">
        <w:rPr>
          <w:color w:val="595959" w:themeColor="text1" w:themeTint="A6"/>
          <w:szCs w:val="24"/>
          <w:lang w:eastAsia="lt-LT"/>
        </w:rPr>
        <w:t>. Planuojama, kad ne mažiau kaip 30 proc. projekte dalyvavusių asmenų sėkmingai integruosis į darbo rinką</w:t>
      </w:r>
      <w:r w:rsidR="00B80B25" w:rsidRPr="000277FF">
        <w:rPr>
          <w:color w:val="595959" w:themeColor="text1" w:themeTint="A6"/>
          <w:szCs w:val="24"/>
          <w:lang w:eastAsia="lt-LT"/>
        </w:rPr>
        <w:t>, 5 proc. įgis kvalifikaciją</w:t>
      </w:r>
      <w:r w:rsidR="00800946" w:rsidRPr="000277FF">
        <w:rPr>
          <w:color w:val="595959" w:themeColor="text1" w:themeTint="A6"/>
          <w:szCs w:val="24"/>
          <w:lang w:eastAsia="lt-LT"/>
        </w:rPr>
        <w:t xml:space="preserve">. </w:t>
      </w:r>
      <w:proofErr w:type="spellStart"/>
      <w:r w:rsidR="00AB03C5" w:rsidRPr="00B80B25">
        <w:rPr>
          <w:color w:val="595959" w:themeColor="text1" w:themeTint="A6"/>
          <w:szCs w:val="24"/>
          <w:lang w:eastAsia="lt-LT"/>
        </w:rPr>
        <w:t>C</w:t>
      </w:r>
      <w:r w:rsidR="001B7DD2">
        <w:rPr>
          <w:color w:val="595959" w:themeColor="text1" w:themeTint="A6"/>
          <w:szCs w:val="24"/>
          <w:lang w:eastAsia="lt-LT"/>
        </w:rPr>
        <w:t>ovid</w:t>
      </w:r>
      <w:r w:rsidR="00AB03C5" w:rsidRPr="00B80B25">
        <w:rPr>
          <w:color w:val="595959" w:themeColor="text1" w:themeTint="A6"/>
          <w:szCs w:val="24"/>
          <w:lang w:eastAsia="lt-LT"/>
        </w:rPr>
        <w:t>-19</w:t>
      </w:r>
      <w:proofErr w:type="spellEnd"/>
      <w:r w:rsidR="00AB03C5" w:rsidRPr="00B80B25">
        <w:rPr>
          <w:color w:val="595959" w:themeColor="text1" w:themeTint="A6"/>
          <w:szCs w:val="24"/>
          <w:lang w:eastAsia="lt-LT"/>
        </w:rPr>
        <w:t xml:space="preserve"> </w:t>
      </w:r>
      <w:r w:rsidR="00800946" w:rsidRPr="000277FF">
        <w:rPr>
          <w:color w:val="595959" w:themeColor="text1" w:themeTint="A6"/>
          <w:szCs w:val="24"/>
          <w:lang w:eastAsia="lt-LT"/>
        </w:rPr>
        <w:t>komplikavo projekto įgyvendinimą, tiek komplektuojant darbuotojų komandą, tiek įtraukiant tikslinę grupę, tačiau nepaisant kilusių iššūkių į projekto veiklas įtraukt</w:t>
      </w:r>
      <w:r w:rsidR="00AB03C5" w:rsidRPr="000277FF">
        <w:rPr>
          <w:color w:val="595959" w:themeColor="text1" w:themeTint="A6"/>
          <w:szCs w:val="24"/>
          <w:lang w:eastAsia="lt-LT"/>
        </w:rPr>
        <w:t>a 219 asmenų</w:t>
      </w:r>
      <w:r w:rsidR="00FA2F92">
        <w:rPr>
          <w:color w:val="595959" w:themeColor="text1" w:themeTint="A6"/>
          <w:szCs w:val="24"/>
          <w:lang w:eastAsia="lt-LT"/>
        </w:rPr>
        <w:t xml:space="preserve">, iš kurių </w:t>
      </w:r>
      <w:r w:rsidR="00FA2F92">
        <w:rPr>
          <w:color w:val="595959" w:themeColor="text1" w:themeTint="A6"/>
          <w:szCs w:val="24"/>
          <w:lang w:val="en-GB" w:eastAsia="lt-LT"/>
        </w:rPr>
        <w:t>6</w:t>
      </w:r>
      <w:r w:rsidR="00FA2F92">
        <w:rPr>
          <w:color w:val="595959" w:themeColor="text1" w:themeTint="A6"/>
          <w:szCs w:val="24"/>
          <w:lang w:eastAsia="lt-LT"/>
        </w:rPr>
        <w:t xml:space="preserve"> baigė dalyvavimą projekte ir įsidarbino</w:t>
      </w:r>
      <w:r w:rsidR="00AB03C5" w:rsidRPr="000277FF">
        <w:rPr>
          <w:color w:val="595959" w:themeColor="text1" w:themeTint="A6"/>
          <w:szCs w:val="24"/>
          <w:lang w:eastAsia="lt-LT"/>
        </w:rPr>
        <w:t xml:space="preserve"> (iš viso projekte numatoma </w:t>
      </w:r>
      <w:r w:rsidR="00800946" w:rsidRPr="000277FF">
        <w:rPr>
          <w:color w:val="595959" w:themeColor="text1" w:themeTint="A6"/>
          <w:szCs w:val="24"/>
          <w:lang w:eastAsia="lt-LT"/>
        </w:rPr>
        <w:t>900</w:t>
      </w:r>
      <w:r w:rsidR="00AB03C5" w:rsidRPr="000277FF">
        <w:rPr>
          <w:color w:val="595959" w:themeColor="text1" w:themeTint="A6"/>
          <w:szCs w:val="24"/>
          <w:lang w:eastAsia="lt-LT"/>
        </w:rPr>
        <w:t xml:space="preserve"> </w:t>
      </w:r>
      <w:r w:rsidR="00AC41BE" w:rsidRPr="000277FF">
        <w:rPr>
          <w:color w:val="595959" w:themeColor="text1" w:themeTint="A6"/>
          <w:szCs w:val="24"/>
          <w:lang w:eastAsia="lt-LT"/>
        </w:rPr>
        <w:t>dalyvių</w:t>
      </w:r>
      <w:r w:rsidR="000277FF">
        <w:rPr>
          <w:color w:val="595959" w:themeColor="text1" w:themeTint="A6"/>
          <w:szCs w:val="24"/>
          <w:lang w:eastAsia="lt-LT"/>
        </w:rPr>
        <w:t>).</w:t>
      </w:r>
    </w:p>
    <w:p w:rsidR="000277FF" w:rsidRPr="00800946" w:rsidRDefault="000277FF" w:rsidP="00D04093">
      <w:pPr>
        <w:jc w:val="both"/>
        <w:rPr>
          <w:color w:val="595959" w:themeColor="text1" w:themeTint="A6"/>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1A0CCC" w:rsidRPr="00384670" w:rsidTr="00574E3F">
        <w:tc>
          <w:tcPr>
            <w:tcW w:w="9638" w:type="dxa"/>
            <w:tcBorders>
              <w:top w:val="nil"/>
              <w:left w:val="nil"/>
              <w:bottom w:val="nil"/>
              <w:right w:val="nil"/>
            </w:tcBorders>
            <w:shd w:val="clear" w:color="auto" w:fill="D9D9D9" w:themeFill="background1" w:themeFillShade="D9"/>
          </w:tcPr>
          <w:p w:rsidR="001A0CCC" w:rsidRPr="00384670" w:rsidRDefault="001A0CCC" w:rsidP="00574E3F">
            <w:pPr>
              <w:jc w:val="both"/>
              <w:rPr>
                <w:b/>
                <w:color w:val="365F91" w:themeColor="accent1" w:themeShade="BF"/>
                <w:szCs w:val="24"/>
              </w:rPr>
            </w:pPr>
            <w:r w:rsidRPr="00384670">
              <w:rPr>
                <w:b/>
                <w:color w:val="365F91" w:themeColor="accent1" w:themeShade="BF"/>
                <w:szCs w:val="24"/>
              </w:rPr>
              <w:t>Siūlymai Socialinės apsaugos ir darbo ministerijai:</w:t>
            </w:r>
          </w:p>
          <w:p w:rsidR="009F1171" w:rsidRPr="00251F86" w:rsidRDefault="001A0CCC" w:rsidP="001A0CCC">
            <w:pPr>
              <w:pStyle w:val="Default"/>
              <w:tabs>
                <w:tab w:val="left" w:pos="567"/>
              </w:tabs>
              <w:jc w:val="both"/>
              <w:rPr>
                <w:rFonts w:eastAsiaTheme="minorHAnsi"/>
                <w:bCs/>
                <w:iCs/>
                <w:color w:val="365F91" w:themeColor="accent1" w:themeShade="BF"/>
                <w:lang w:eastAsia="en-US"/>
              </w:rPr>
            </w:pPr>
            <w:r w:rsidRPr="00251F86">
              <w:rPr>
                <w:rFonts w:eastAsiaTheme="minorHAnsi"/>
                <w:bCs/>
                <w:iCs/>
                <w:color w:val="365F91" w:themeColor="accent1" w:themeShade="BF"/>
                <w:lang w:eastAsia="en-US"/>
              </w:rPr>
              <w:t xml:space="preserve">- </w:t>
            </w:r>
            <w:r w:rsidR="009F1171" w:rsidRPr="00251F86">
              <w:rPr>
                <w:rFonts w:eastAsiaTheme="minorHAnsi"/>
                <w:bCs/>
                <w:iCs/>
                <w:color w:val="365F91" w:themeColor="accent1" w:themeShade="BF"/>
                <w:lang w:eastAsia="en-US"/>
              </w:rPr>
              <w:t xml:space="preserve">aktyviai bendradarbiauti, Švietimo, mokslo ir sporto ministerijai kuriant perkvalifikavimo ir </w:t>
            </w:r>
            <w:r w:rsidR="009F1171" w:rsidRPr="00251F86">
              <w:rPr>
                <w:rFonts w:eastAsiaTheme="minorHAnsi"/>
                <w:bCs/>
                <w:iCs/>
                <w:color w:val="365F91" w:themeColor="accent1" w:themeShade="BF"/>
                <w:lang w:eastAsia="en-US"/>
              </w:rPr>
              <w:lastRenderedPageBreak/>
              <w:t xml:space="preserve">kvalifikacijos kėlimo sistemą vieno langelio principu, siekiant investuoti į vienos bendros perkvalifikavimo sistemos, pagrįstos bendru </w:t>
            </w:r>
            <w:proofErr w:type="spellStart"/>
            <w:r w:rsidR="009F1171" w:rsidRPr="00251F86">
              <w:rPr>
                <w:rFonts w:eastAsiaTheme="minorHAnsi"/>
                <w:bCs/>
                <w:iCs/>
                <w:color w:val="365F91" w:themeColor="accent1" w:themeShade="BF"/>
                <w:lang w:eastAsia="en-US"/>
              </w:rPr>
              <w:t>tarpministeriniu</w:t>
            </w:r>
            <w:proofErr w:type="spellEnd"/>
            <w:r w:rsidR="009F1171" w:rsidRPr="00251F86">
              <w:rPr>
                <w:rFonts w:eastAsiaTheme="minorHAnsi"/>
                <w:bCs/>
                <w:iCs/>
                <w:color w:val="365F91" w:themeColor="accent1" w:themeShade="BF"/>
                <w:lang w:eastAsia="en-US"/>
              </w:rPr>
              <w:t xml:space="preserve"> susitarimu, kūrimą;</w:t>
            </w:r>
          </w:p>
          <w:p w:rsidR="001A0CCC" w:rsidRPr="00384670" w:rsidRDefault="001A0CCC" w:rsidP="001A0CCC">
            <w:pPr>
              <w:pStyle w:val="Sraopastraipa"/>
              <w:tabs>
                <w:tab w:val="left" w:pos="567"/>
              </w:tabs>
              <w:spacing w:line="240" w:lineRule="auto"/>
              <w:ind w:left="0"/>
              <w:jc w:val="both"/>
              <w:rPr>
                <w:rFonts w:ascii="Times New Roman" w:hAnsi="Times New Roman"/>
                <w:color w:val="365F91" w:themeColor="accent1" w:themeShade="BF"/>
                <w:sz w:val="24"/>
                <w:szCs w:val="24"/>
              </w:rPr>
            </w:pPr>
            <w:r w:rsidRPr="00251F86">
              <w:rPr>
                <w:rFonts w:ascii="Times New Roman" w:eastAsiaTheme="minorHAnsi" w:hAnsi="Times New Roman"/>
                <w:bCs/>
                <w:iCs/>
                <w:color w:val="365F91" w:themeColor="accent1" w:themeShade="BF"/>
                <w:sz w:val="24"/>
                <w:szCs w:val="24"/>
              </w:rPr>
              <w:t xml:space="preserve">- didinti </w:t>
            </w:r>
            <w:r>
              <w:rPr>
                <w:rFonts w:ascii="Times New Roman" w:eastAsiaTheme="minorHAnsi" w:hAnsi="Times New Roman"/>
                <w:bCs/>
                <w:iCs/>
                <w:color w:val="365F91" w:themeColor="accent1" w:themeShade="BF"/>
                <w:sz w:val="24"/>
                <w:szCs w:val="24"/>
              </w:rPr>
              <w:t>aktyvios darbo rinkos politikos</w:t>
            </w:r>
            <w:r w:rsidRPr="00384670">
              <w:rPr>
                <w:rFonts w:ascii="Times New Roman" w:eastAsiaTheme="minorHAnsi" w:hAnsi="Times New Roman"/>
                <w:bCs/>
                <w:iCs/>
                <w:color w:val="365F91" w:themeColor="accent1" w:themeShade="BF"/>
                <w:sz w:val="24"/>
                <w:szCs w:val="24"/>
              </w:rPr>
              <w:t xml:space="preserve"> priemonių veiksmingumą ir aprėptį, investuojant valstybės biudžeto ir </w:t>
            </w:r>
            <w:r w:rsidRPr="00251F86">
              <w:rPr>
                <w:rFonts w:ascii="Times New Roman" w:eastAsiaTheme="minorHAnsi" w:hAnsi="Times New Roman"/>
                <w:bCs/>
                <w:iCs/>
                <w:color w:val="365F91" w:themeColor="accent1" w:themeShade="BF"/>
                <w:sz w:val="24"/>
                <w:szCs w:val="24"/>
              </w:rPr>
              <w:t>ES fondų lėšas bei siekti</w:t>
            </w:r>
            <w:r w:rsidRPr="00384670">
              <w:rPr>
                <w:rFonts w:ascii="Times New Roman" w:eastAsiaTheme="minorHAnsi" w:hAnsi="Times New Roman"/>
                <w:bCs/>
                <w:iCs/>
                <w:color w:val="365F91" w:themeColor="accent1" w:themeShade="BF"/>
                <w:sz w:val="24"/>
                <w:szCs w:val="24"/>
              </w:rPr>
              <w:t xml:space="preserve"> nacionalinio ilgalaikio susitarimo, kokia aprėptimi jos turi būti finansuojamos.</w:t>
            </w:r>
          </w:p>
        </w:tc>
      </w:tr>
    </w:tbl>
    <w:p w:rsidR="001A0CCC" w:rsidRPr="005D3468" w:rsidRDefault="001A0CCC" w:rsidP="004610C5">
      <w:pPr>
        <w:jc w:val="both"/>
        <w:rPr>
          <w:color w:val="595959" w:themeColor="text1" w:themeTint="A6"/>
          <w:szCs w:val="24"/>
          <w:lang w:eastAsia="lt-LT"/>
        </w:rPr>
      </w:pPr>
    </w:p>
    <w:p w:rsidR="00C92FA0" w:rsidRDefault="00F41DFD" w:rsidP="004610C5">
      <w:pPr>
        <w:jc w:val="both"/>
        <w:rPr>
          <w:color w:val="595959" w:themeColor="text1" w:themeTint="A6"/>
          <w:szCs w:val="24"/>
          <w:lang w:eastAsia="lt-LT"/>
        </w:rPr>
      </w:pPr>
      <w:r>
        <w:rPr>
          <w:noProof/>
          <w:lang w:eastAsia="lt-LT"/>
        </w:rPr>
        <w:drawing>
          <wp:inline distT="0" distB="0" distL="0" distR="0" wp14:anchorId="24C5C2EC" wp14:editId="51D38CDC">
            <wp:extent cx="6120130" cy="871597"/>
            <wp:effectExtent l="0" t="0" r="13970" b="24130"/>
            <wp:docPr id="408" name="Diagrama 40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B532A1" w:rsidRDefault="00B532A1" w:rsidP="004610C5">
      <w:pPr>
        <w:jc w:val="both"/>
        <w:rPr>
          <w:color w:val="595959" w:themeColor="text1" w:themeTint="A6"/>
          <w:szCs w:val="24"/>
          <w:lang w:eastAsia="lt-LT"/>
        </w:rPr>
      </w:pPr>
    </w:p>
    <w:p w:rsidR="00AA39EC" w:rsidRDefault="00127C9A" w:rsidP="00251F86">
      <w:pPr>
        <w:ind w:firstLine="426"/>
        <w:jc w:val="both"/>
        <w:rPr>
          <w:color w:val="595959" w:themeColor="text1" w:themeTint="A6"/>
          <w:szCs w:val="24"/>
          <w:lang w:eastAsia="lt-LT"/>
        </w:rPr>
      </w:pPr>
      <w:r w:rsidRPr="000E7866">
        <w:rPr>
          <w:color w:val="595959" w:themeColor="text1" w:themeTint="A6"/>
          <w:szCs w:val="24"/>
          <w:lang w:eastAsia="lt-LT"/>
        </w:rPr>
        <w:t xml:space="preserve">Vidaus reikalų ministerijos 7 prioriteto ERPF lėšomis finansuojamų priemonių </w:t>
      </w:r>
      <w:r w:rsidR="00F41DFD">
        <w:rPr>
          <w:color w:val="595959" w:themeColor="text1" w:themeTint="A6"/>
          <w:szCs w:val="24"/>
          <w:lang w:eastAsia="lt-LT"/>
        </w:rPr>
        <w:t>pasirašytos visos sutartys, tačiau lėšų investavimas (62</w:t>
      </w:r>
      <w:r w:rsidRPr="000E7866">
        <w:rPr>
          <w:color w:val="595959" w:themeColor="text1" w:themeTint="A6"/>
          <w:szCs w:val="24"/>
          <w:lang w:eastAsia="lt-LT"/>
        </w:rPr>
        <w:t xml:space="preserve"> proc.) </w:t>
      </w:r>
      <w:r w:rsidR="00F41DFD">
        <w:rPr>
          <w:color w:val="595959" w:themeColor="text1" w:themeTint="A6"/>
          <w:szCs w:val="24"/>
          <w:lang w:eastAsia="lt-LT"/>
        </w:rPr>
        <w:t xml:space="preserve">šiek tiek </w:t>
      </w:r>
      <w:r w:rsidRPr="000E7866">
        <w:rPr>
          <w:color w:val="595959" w:themeColor="text1" w:themeTint="A6"/>
          <w:szCs w:val="24"/>
          <w:lang w:eastAsia="lt-LT"/>
        </w:rPr>
        <w:t>atsilieka nuo Veiksmų programos vidurkio.</w:t>
      </w:r>
      <w:r>
        <w:rPr>
          <w:color w:val="595959" w:themeColor="text1" w:themeTint="A6"/>
          <w:szCs w:val="24"/>
          <w:lang w:eastAsia="lt-LT"/>
        </w:rPr>
        <w:t xml:space="preserve"> </w:t>
      </w:r>
      <w:r w:rsidRPr="00867A20">
        <w:rPr>
          <w:color w:val="595959" w:themeColor="text1" w:themeTint="A6"/>
          <w:szCs w:val="24"/>
          <w:lang w:eastAsia="lt-LT"/>
        </w:rPr>
        <w:t xml:space="preserve">Taip pat, šiame prioritete ministerijai yra numatyta </w:t>
      </w:r>
      <w:r>
        <w:rPr>
          <w:color w:val="595959" w:themeColor="text1" w:themeTint="A6"/>
          <w:szCs w:val="24"/>
          <w:lang w:eastAsia="lt-LT"/>
        </w:rPr>
        <w:t>13</w:t>
      </w:r>
      <w:r w:rsidRPr="00867A20">
        <w:rPr>
          <w:color w:val="595959" w:themeColor="text1" w:themeTint="A6"/>
          <w:szCs w:val="24"/>
          <w:lang w:eastAsia="lt-LT"/>
        </w:rPr>
        <w:t xml:space="preserve"> mln. eurų </w:t>
      </w:r>
      <w:proofErr w:type="spellStart"/>
      <w:r w:rsidRPr="00867A20">
        <w:rPr>
          <w:color w:val="595959" w:themeColor="text1" w:themeTint="A6"/>
          <w:szCs w:val="24"/>
          <w:lang w:eastAsia="lt-LT"/>
        </w:rPr>
        <w:t>virškontraktavimo</w:t>
      </w:r>
      <w:proofErr w:type="spellEnd"/>
      <w:r w:rsidRPr="00867A20">
        <w:rPr>
          <w:color w:val="595959" w:themeColor="text1" w:themeTint="A6"/>
          <w:szCs w:val="24"/>
          <w:lang w:eastAsia="lt-LT"/>
        </w:rPr>
        <w:t xml:space="preserve"> galimybė.</w:t>
      </w:r>
    </w:p>
    <w:p w:rsidR="00C92FA0" w:rsidRDefault="0013146C" w:rsidP="00251F86">
      <w:pPr>
        <w:ind w:firstLine="426"/>
        <w:jc w:val="both"/>
        <w:rPr>
          <w:color w:val="595959" w:themeColor="text1" w:themeTint="A6"/>
          <w:szCs w:val="24"/>
          <w:lang w:eastAsia="lt-LT"/>
        </w:rPr>
      </w:pPr>
      <w:r w:rsidRPr="0013146C">
        <w:rPr>
          <w:color w:val="595959" w:themeColor="text1" w:themeTint="A6"/>
          <w:szCs w:val="24"/>
          <w:lang w:eastAsia="lt-LT"/>
        </w:rPr>
        <w:t>Svarbiausi iššūkiai regionų plėtros srityje – investicijų nukreipimas į tas prioritetines sritis ir tas teritorijas, kuriose yra daugiausia iššūkių ir kuriuos išsprendus turėtume didžiausią poveikį regioninių skirtumų sumažinimui, t. y. aiškių prioritetų identifikavimas, remiantis duomenimis ir įrodymais, orientuojantis į pokytį ir nesistengiant finansavimu „padengti“ visos teritorijos.</w:t>
      </w:r>
      <w:r>
        <w:rPr>
          <w:color w:val="595959" w:themeColor="text1" w:themeTint="A6"/>
          <w:szCs w:val="24"/>
          <w:lang w:eastAsia="lt-LT"/>
        </w:rPr>
        <w:t xml:space="preserve"> Pagrindinės spręstinos problemos:</w:t>
      </w:r>
    </w:p>
    <w:p w:rsidR="0013146C" w:rsidRPr="0072573B" w:rsidRDefault="0013146C" w:rsidP="0013146C">
      <w:pPr>
        <w:pStyle w:val="tekstas"/>
        <w:numPr>
          <w:ilvl w:val="1"/>
          <w:numId w:val="29"/>
        </w:numPr>
        <w:tabs>
          <w:tab w:val="left" w:pos="426"/>
        </w:tabs>
        <w:ind w:left="0" w:firstLine="0"/>
        <w:rPr>
          <w:rFonts w:ascii="Times New Roman" w:hAnsi="Times New Roman"/>
          <w:color w:val="595959" w:themeColor="text1" w:themeTint="A6"/>
          <w:lang w:eastAsia="lt-LT"/>
        </w:rPr>
      </w:pPr>
      <w:r w:rsidRPr="0072573B">
        <w:rPr>
          <w:rFonts w:ascii="Times New Roman" w:hAnsi="Times New Roman"/>
          <w:color w:val="595959" w:themeColor="text1" w:themeTint="A6"/>
          <w:lang w:eastAsia="lt-LT"/>
        </w:rPr>
        <w:t>Netolygus skirtingų regionų augimas. Gyventojų produktyvumas trijuose didžiausiuose Lietuvos miestuose yra bene dvigubai didesnis nei likusiuose regionuose. Svarbu didžiąją dalį investicijų planuoti ,,iš apačios“ derinant skirtingas veiklas ir intervencijas per bendros veiklos (funkcinių zonų) strategijose suplanuotas kompleksines priemones, susietas su atitinkamo regiono specializacija, taikant kompleksinės plėtros finansavimo modelį.</w:t>
      </w:r>
    </w:p>
    <w:p w:rsidR="0013146C" w:rsidRPr="0072573B" w:rsidRDefault="0013146C" w:rsidP="0013146C">
      <w:pPr>
        <w:pStyle w:val="tekstas"/>
        <w:numPr>
          <w:ilvl w:val="1"/>
          <w:numId w:val="29"/>
        </w:numPr>
        <w:tabs>
          <w:tab w:val="left" w:pos="426"/>
        </w:tabs>
        <w:ind w:left="0" w:firstLine="0"/>
        <w:rPr>
          <w:rFonts w:ascii="Times New Roman" w:hAnsi="Times New Roman"/>
          <w:color w:val="595959" w:themeColor="text1" w:themeTint="A6"/>
          <w:lang w:eastAsia="lt-LT"/>
        </w:rPr>
      </w:pPr>
      <w:r w:rsidRPr="0072573B">
        <w:rPr>
          <w:rFonts w:ascii="Times New Roman" w:hAnsi="Times New Roman"/>
          <w:color w:val="595959" w:themeColor="text1" w:themeTint="A6"/>
          <w:lang w:eastAsia="lt-LT"/>
        </w:rPr>
        <w:t xml:space="preserve">Viešųjų paslaugų netolygumas. Spartus regionų gyventojų skaičiaus mažėjimas ir jų senėjimas, didesnė koncentracija miestuose didina spaudimą darniam </w:t>
      </w:r>
      <w:proofErr w:type="spellStart"/>
      <w:r w:rsidRPr="0072573B">
        <w:rPr>
          <w:rFonts w:ascii="Times New Roman" w:hAnsi="Times New Roman"/>
          <w:color w:val="595959" w:themeColor="text1" w:themeTint="A6"/>
          <w:lang w:eastAsia="lt-LT"/>
        </w:rPr>
        <w:t>judumui</w:t>
      </w:r>
      <w:proofErr w:type="spellEnd"/>
      <w:r w:rsidRPr="0072573B">
        <w:rPr>
          <w:rFonts w:ascii="Times New Roman" w:hAnsi="Times New Roman"/>
          <w:color w:val="595959" w:themeColor="text1" w:themeTint="A6"/>
          <w:lang w:eastAsia="lt-LT"/>
        </w:rPr>
        <w:t xml:space="preserve"> mieste ir socialinei infrastruktūrai, tuo pačiu ir viešųjų paslaugų efektyvumui ir kokybei. Šią problemą padėtų išspręsti kokybiškų ir pakankamų viešųjų paslaugų prieinamumo užtikrinimas (ypač pasienio, atokiausiuose regionuose), derinant investicijas su planuojamais pokyčiais.</w:t>
      </w:r>
    </w:p>
    <w:p w:rsidR="0013146C" w:rsidRPr="00A66B78" w:rsidRDefault="0013146C" w:rsidP="0013146C">
      <w:pPr>
        <w:pStyle w:val="tekstas"/>
        <w:numPr>
          <w:ilvl w:val="1"/>
          <w:numId w:val="29"/>
        </w:numPr>
        <w:tabs>
          <w:tab w:val="left" w:pos="426"/>
        </w:tabs>
        <w:ind w:left="0" w:firstLine="0"/>
        <w:rPr>
          <w:rFonts w:ascii="Times New Roman" w:eastAsiaTheme="minorHAnsi" w:hAnsi="Times New Roman" w:cstheme="minorBidi"/>
          <w:szCs w:val="22"/>
        </w:rPr>
      </w:pPr>
      <w:r w:rsidRPr="0072573B">
        <w:rPr>
          <w:rFonts w:ascii="Times New Roman" w:hAnsi="Times New Roman"/>
          <w:color w:val="595959" w:themeColor="text1" w:themeTint="A6"/>
          <w:lang w:eastAsia="lt-LT"/>
        </w:rPr>
        <w:t>Regionų įgalinimas. Dėl priemonių planavimo ir įgyvendinimo neatsižvelgiant į vietos potencialą (teritorinį kapitalą) bei regioninio požiūrio trūkumo nukenčia investicijų veiksmingumas. Dažnai teritorinio vystymosi strategijos nėra susietos su regionine specializacij</w:t>
      </w:r>
      <w:r>
        <w:rPr>
          <w:rFonts w:ascii="Times New Roman" w:hAnsi="Times New Roman"/>
          <w:color w:val="595959" w:themeColor="text1" w:themeTint="A6"/>
          <w:lang w:eastAsia="lt-LT"/>
        </w:rPr>
        <w:t>a</w:t>
      </w:r>
      <w:r w:rsidRPr="0072573B">
        <w:rPr>
          <w:rFonts w:ascii="Times New Roman" w:hAnsi="Times New Roman"/>
          <w:color w:val="595959" w:themeColor="text1" w:themeTint="A6"/>
          <w:lang w:eastAsia="lt-LT"/>
        </w:rPr>
        <w:t xml:space="preserve"> ar galimu ekonominiu vystymusi, neperžengia administracinių ribų ir nenumato, kaip funkciškai plėtoti ryšius. Svarbu tęsti pradėtą įgyvendinti naują strateginio planavimo reformą, apimančią strateginio, regioninio ir teritorinio planavimo procesus. Naujasis Strateginio valdymo įstatymas, rengiama Strateginio planavimo metodika ir pakankamas finansavimas (30 % ES lėšų) turėtų įgalinti regionus tinkamai planuoti regionų plėtrą ir spręsti svarbiausias regionų problemas, tačiau išlieka svarbi savivaldybių pajėgumo </w:t>
      </w:r>
      <w:proofErr w:type="spellStart"/>
      <w:r w:rsidRPr="0072573B">
        <w:rPr>
          <w:rFonts w:ascii="Times New Roman" w:hAnsi="Times New Roman"/>
          <w:color w:val="595959" w:themeColor="text1" w:themeTint="A6"/>
          <w:lang w:eastAsia="lt-LT"/>
        </w:rPr>
        <w:t>bendrafinansuoti</w:t>
      </w:r>
      <w:proofErr w:type="spellEnd"/>
      <w:r w:rsidRPr="0072573B">
        <w:rPr>
          <w:rFonts w:ascii="Times New Roman" w:hAnsi="Times New Roman"/>
          <w:color w:val="595959" w:themeColor="text1" w:themeTint="A6"/>
          <w:lang w:eastAsia="lt-LT"/>
        </w:rPr>
        <w:t xml:space="preserve"> projektus problema, kurią tikimasi išspręsti viešųjų finansų tobulinimo srities RRF investicijų ribose.</w:t>
      </w:r>
    </w:p>
    <w:p w:rsidR="002F324B" w:rsidRDefault="00127C9A" w:rsidP="000E7866">
      <w:pPr>
        <w:ind w:firstLine="426"/>
        <w:jc w:val="both"/>
        <w:rPr>
          <w:color w:val="595959" w:themeColor="text1" w:themeTint="A6"/>
          <w:szCs w:val="24"/>
          <w:lang w:eastAsia="lt-LT"/>
        </w:rPr>
      </w:pPr>
      <w:r>
        <w:rPr>
          <w:color w:val="595959" w:themeColor="text1" w:themeTint="A6"/>
          <w:szCs w:val="24"/>
          <w:lang w:eastAsia="lt-LT"/>
        </w:rPr>
        <w:t>Įgyvendinant šio prioriteto veiklas, d</w:t>
      </w:r>
      <w:r w:rsidR="005F2210">
        <w:rPr>
          <w:color w:val="595959" w:themeColor="text1" w:themeTint="A6"/>
          <w:szCs w:val="24"/>
          <w:lang w:eastAsia="lt-LT"/>
        </w:rPr>
        <w:t>idžiausią įtaką sutarčių procentui turi m</w:t>
      </w:r>
      <w:r w:rsidR="005F2210" w:rsidRPr="005F2210">
        <w:rPr>
          <w:color w:val="595959" w:themeColor="text1" w:themeTint="A6"/>
          <w:szCs w:val="24"/>
          <w:lang w:eastAsia="lt-LT"/>
        </w:rPr>
        <w:t>iesto inžinerinės infrastruktūros</w:t>
      </w:r>
      <w:r w:rsidR="005F2210">
        <w:rPr>
          <w:color w:val="595959" w:themeColor="text1" w:themeTint="A6"/>
          <w:szCs w:val="24"/>
          <w:lang w:eastAsia="lt-LT"/>
        </w:rPr>
        <w:t>, svarbios verslui, atnaujinimo</w:t>
      </w:r>
      <w:r w:rsidR="005F2210" w:rsidRPr="005F2210">
        <w:rPr>
          <w:color w:val="595959" w:themeColor="text1" w:themeTint="A6"/>
          <w:szCs w:val="24"/>
          <w:lang w:eastAsia="lt-LT"/>
        </w:rPr>
        <w:t xml:space="preserve"> ir plėtr</w:t>
      </w:r>
      <w:r w:rsidR="005F2210">
        <w:rPr>
          <w:color w:val="595959" w:themeColor="text1" w:themeTint="A6"/>
          <w:szCs w:val="24"/>
          <w:lang w:eastAsia="lt-LT"/>
        </w:rPr>
        <w:t>os</w:t>
      </w:r>
      <w:r w:rsidR="00DD00F8">
        <w:rPr>
          <w:color w:val="595959" w:themeColor="text1" w:themeTint="A6"/>
          <w:szCs w:val="24"/>
          <w:lang w:eastAsia="lt-LT"/>
        </w:rPr>
        <w:t xml:space="preserve"> </w:t>
      </w:r>
      <w:r w:rsidR="005F2210">
        <w:rPr>
          <w:color w:val="595959" w:themeColor="text1" w:themeTint="A6"/>
          <w:szCs w:val="24"/>
          <w:lang w:eastAsia="lt-LT"/>
        </w:rPr>
        <w:t>priemon</w:t>
      </w:r>
      <w:r w:rsidR="001F08CC">
        <w:rPr>
          <w:color w:val="595959" w:themeColor="text1" w:themeTint="A6"/>
          <w:szCs w:val="24"/>
          <w:lang w:eastAsia="lt-LT"/>
        </w:rPr>
        <w:t>ės</w:t>
      </w:r>
      <w:r w:rsidR="005F2210">
        <w:rPr>
          <w:color w:val="595959" w:themeColor="text1" w:themeTint="A6"/>
          <w:szCs w:val="24"/>
          <w:lang w:eastAsia="lt-LT"/>
        </w:rPr>
        <w:t xml:space="preserve"> </w:t>
      </w:r>
      <w:r w:rsidR="005A1317">
        <w:rPr>
          <w:color w:val="595959" w:themeColor="text1" w:themeTint="A6"/>
          <w:szCs w:val="24"/>
          <w:lang w:eastAsia="lt-LT"/>
        </w:rPr>
        <w:t xml:space="preserve">suderintas </w:t>
      </w:r>
      <w:r w:rsidR="00147189">
        <w:rPr>
          <w:color w:val="595959" w:themeColor="text1" w:themeTint="A6"/>
          <w:szCs w:val="24"/>
          <w:lang w:eastAsia="lt-LT"/>
        </w:rPr>
        <w:t xml:space="preserve">dviejų </w:t>
      </w:r>
      <w:r w:rsidR="005F2210">
        <w:rPr>
          <w:color w:val="595959" w:themeColor="text1" w:themeTint="A6"/>
          <w:szCs w:val="24"/>
          <w:lang w:eastAsia="lt-LT"/>
        </w:rPr>
        <w:t>projektų sutar</w:t>
      </w:r>
      <w:r w:rsidR="005A1317">
        <w:rPr>
          <w:color w:val="595959" w:themeColor="text1" w:themeTint="A6"/>
          <w:szCs w:val="24"/>
          <w:lang w:eastAsia="lt-LT"/>
        </w:rPr>
        <w:t>čių (</w:t>
      </w:r>
      <w:r w:rsidR="00147189">
        <w:rPr>
          <w:color w:val="595959" w:themeColor="text1" w:themeTint="A6"/>
          <w:szCs w:val="24"/>
          <w:lang w:eastAsia="lt-LT"/>
        </w:rPr>
        <w:t>5,2</w:t>
      </w:r>
      <w:r w:rsidR="001F08CC">
        <w:rPr>
          <w:color w:val="595959" w:themeColor="text1" w:themeTint="A6"/>
          <w:szCs w:val="24"/>
          <w:lang w:eastAsia="lt-LT"/>
        </w:rPr>
        <w:t xml:space="preserve"> </w:t>
      </w:r>
      <w:r w:rsidR="005A1317">
        <w:rPr>
          <w:color w:val="595959" w:themeColor="text1" w:themeTint="A6"/>
          <w:szCs w:val="24"/>
          <w:lang w:eastAsia="lt-LT"/>
        </w:rPr>
        <w:t>mln. eurų) pasirašymo atidėjimas</w:t>
      </w:r>
      <w:r w:rsidR="005F2210">
        <w:rPr>
          <w:color w:val="595959" w:themeColor="text1" w:themeTint="A6"/>
          <w:szCs w:val="24"/>
          <w:lang w:eastAsia="lt-LT"/>
        </w:rPr>
        <w:t>.</w:t>
      </w:r>
    </w:p>
    <w:p w:rsidR="000E7866" w:rsidRPr="000E7866" w:rsidRDefault="000E7866" w:rsidP="000E7866">
      <w:pPr>
        <w:ind w:firstLine="426"/>
        <w:jc w:val="both"/>
        <w:rPr>
          <w:color w:val="595959" w:themeColor="text1" w:themeTint="A6"/>
          <w:szCs w:val="24"/>
          <w:lang w:eastAsia="lt-LT"/>
        </w:rPr>
      </w:pPr>
      <w:r w:rsidRPr="000E7866">
        <w:rPr>
          <w:color w:val="595959" w:themeColor="text1" w:themeTint="A6"/>
          <w:szCs w:val="24"/>
          <w:lang w:eastAsia="lt-LT"/>
        </w:rPr>
        <w:t>Vidaus reikalų ministerija, siekdama padidinti ūkinės veiklos įvairovę ir pagerinti sąlygas investicijų pritraukimui bei kurti naujas darbo vietas tikslinėse teritorijose (miestuose), 7 prioriteto ERPF fondo lėšas investuoja į pereinamojo laikotarpio tikslinių teritorijų vystymą, didžiųjų miestų kompleksinę plėtrą bei verslui svarbios miestų inžinerinės infrastruktūros, susijusios su sąlygų investicijų pritraukimui pagerinimu, atnaujinimą. Šiam tikslui 7 prioritete VRM skirto ERPF finansavimo dalis siekia beveik 74 proc. prioriteto ERPF lėšų ir sudaro 295 mln. eurų.</w:t>
      </w:r>
    </w:p>
    <w:p w:rsidR="000E7866" w:rsidRPr="000E7866" w:rsidRDefault="000E7866" w:rsidP="000E7866">
      <w:pPr>
        <w:ind w:firstLine="426"/>
        <w:jc w:val="both"/>
        <w:rPr>
          <w:color w:val="595959" w:themeColor="text1" w:themeTint="A6"/>
          <w:szCs w:val="24"/>
          <w:lang w:eastAsia="lt-LT"/>
        </w:rPr>
      </w:pPr>
      <w:r w:rsidRPr="000E7866">
        <w:rPr>
          <w:color w:val="595959" w:themeColor="text1" w:themeTint="A6"/>
          <w:szCs w:val="24"/>
          <w:lang w:eastAsia="lt-LT"/>
        </w:rPr>
        <w:lastRenderedPageBreak/>
        <w:t xml:space="preserve">Nors priemonėje „Didžiųjų miestų kompleksinė plėtra“ visų suplanuotų projektų sutartys sudarytos, o priemonei numatytos lėšos suplanuotos integruotose teritorijų vystymo programose, vis tik šios priemonės įgyvendinimas išlieka probleminiu. Tarp lėčiausiai įgyvendinamų projektų šiuo metu yra net </w:t>
      </w:r>
      <w:r w:rsidR="007D2B00">
        <w:rPr>
          <w:color w:val="595959" w:themeColor="text1" w:themeTint="A6"/>
          <w:szCs w:val="24"/>
          <w:lang w:eastAsia="lt-LT"/>
        </w:rPr>
        <w:t>7</w:t>
      </w:r>
      <w:r w:rsidR="007D2B00" w:rsidRPr="000E7866">
        <w:rPr>
          <w:color w:val="595959" w:themeColor="text1" w:themeTint="A6"/>
          <w:szCs w:val="24"/>
          <w:lang w:eastAsia="lt-LT"/>
        </w:rPr>
        <w:t xml:space="preserve"> </w:t>
      </w:r>
      <w:r w:rsidRPr="000E7866">
        <w:rPr>
          <w:color w:val="595959" w:themeColor="text1" w:themeTint="A6"/>
          <w:szCs w:val="24"/>
          <w:lang w:eastAsia="lt-LT"/>
        </w:rPr>
        <w:t xml:space="preserve">projektai, kurių finansavimui pagal 2017–2019 m. pasirašytas sutartis skirta </w:t>
      </w:r>
      <w:r w:rsidR="007D2B00">
        <w:rPr>
          <w:color w:val="595959" w:themeColor="text1" w:themeTint="A6"/>
          <w:szCs w:val="24"/>
          <w:lang w:eastAsia="lt-LT"/>
        </w:rPr>
        <w:t>3</w:t>
      </w:r>
      <w:r w:rsidR="00D41395">
        <w:rPr>
          <w:color w:val="595959" w:themeColor="text1" w:themeTint="A6"/>
          <w:szCs w:val="24"/>
          <w:lang w:eastAsia="lt-LT"/>
        </w:rPr>
        <w:t>4</w:t>
      </w:r>
      <w:r w:rsidR="007D2B00">
        <w:rPr>
          <w:color w:val="595959" w:themeColor="text1" w:themeTint="A6"/>
          <w:szCs w:val="24"/>
          <w:lang w:eastAsia="lt-LT"/>
        </w:rPr>
        <w:t>,9</w:t>
      </w:r>
      <w:r w:rsidR="00A82EC5" w:rsidRPr="000E7866">
        <w:rPr>
          <w:color w:val="595959" w:themeColor="text1" w:themeTint="A6"/>
          <w:szCs w:val="24"/>
          <w:lang w:eastAsia="lt-LT"/>
        </w:rPr>
        <w:t xml:space="preserve"> </w:t>
      </w:r>
      <w:r w:rsidRPr="000E7866">
        <w:rPr>
          <w:color w:val="595959" w:themeColor="text1" w:themeTint="A6"/>
          <w:szCs w:val="24"/>
          <w:lang w:eastAsia="lt-LT"/>
        </w:rPr>
        <w:t>mln. eurų lėšų, tačiau išmokėt</w:t>
      </w:r>
      <w:r>
        <w:rPr>
          <w:color w:val="595959" w:themeColor="text1" w:themeTint="A6"/>
          <w:szCs w:val="24"/>
          <w:lang w:eastAsia="lt-LT"/>
        </w:rPr>
        <w:t xml:space="preserve">a tik </w:t>
      </w:r>
      <w:r w:rsidR="00D41395">
        <w:rPr>
          <w:color w:val="595959" w:themeColor="text1" w:themeTint="A6"/>
          <w:szCs w:val="24"/>
          <w:lang w:eastAsia="lt-LT"/>
        </w:rPr>
        <w:t xml:space="preserve">2,7 </w:t>
      </w:r>
      <w:r>
        <w:rPr>
          <w:color w:val="595959" w:themeColor="text1" w:themeTint="A6"/>
          <w:szCs w:val="24"/>
          <w:lang w:eastAsia="lt-LT"/>
        </w:rPr>
        <w:t>mln. eurų, t. y. per daugiau</w:t>
      </w:r>
      <w:r w:rsidRPr="000E7866">
        <w:rPr>
          <w:color w:val="595959" w:themeColor="text1" w:themeTint="A6"/>
          <w:szCs w:val="24"/>
          <w:lang w:eastAsia="lt-LT"/>
        </w:rPr>
        <w:t xml:space="preserve"> nei dvejus metus </w:t>
      </w:r>
      <w:r>
        <w:rPr>
          <w:color w:val="595959" w:themeColor="text1" w:themeTint="A6"/>
          <w:szCs w:val="24"/>
          <w:lang w:eastAsia="lt-LT"/>
        </w:rPr>
        <w:t>išmokėta</w:t>
      </w:r>
      <w:r w:rsidRPr="000E7866">
        <w:rPr>
          <w:color w:val="595959" w:themeColor="text1" w:themeTint="A6"/>
          <w:szCs w:val="24"/>
          <w:lang w:eastAsia="lt-LT"/>
        </w:rPr>
        <w:t xml:space="preserve"> tik</w:t>
      </w:r>
      <w:r w:rsidR="00D41395">
        <w:rPr>
          <w:color w:val="595959" w:themeColor="text1" w:themeTint="A6"/>
          <w:szCs w:val="24"/>
          <w:lang w:val="en-US" w:eastAsia="lt-LT"/>
        </w:rPr>
        <w:t>7,7</w:t>
      </w:r>
      <w:r w:rsidR="00A82EC5" w:rsidRPr="000E7866" w:rsidDel="00A56425">
        <w:rPr>
          <w:color w:val="595959" w:themeColor="text1" w:themeTint="A6"/>
          <w:szCs w:val="24"/>
          <w:lang w:eastAsia="lt-LT"/>
        </w:rPr>
        <w:t xml:space="preserve"> </w:t>
      </w:r>
      <w:r w:rsidRPr="000E7866">
        <w:rPr>
          <w:color w:val="595959" w:themeColor="text1" w:themeTint="A6"/>
          <w:szCs w:val="24"/>
          <w:lang w:eastAsia="lt-LT"/>
        </w:rPr>
        <w:t xml:space="preserve">proc. skirtų lėšų. </w:t>
      </w:r>
    </w:p>
    <w:p w:rsidR="00B6728B" w:rsidRDefault="000E7866" w:rsidP="000E7866">
      <w:pPr>
        <w:ind w:firstLine="426"/>
        <w:jc w:val="both"/>
        <w:rPr>
          <w:color w:val="595959" w:themeColor="text1" w:themeTint="A6"/>
          <w:szCs w:val="24"/>
          <w:lang w:eastAsia="lt-LT"/>
        </w:rPr>
      </w:pPr>
      <w:r w:rsidRPr="000E7866">
        <w:rPr>
          <w:color w:val="595959" w:themeColor="text1" w:themeTint="A6"/>
          <w:szCs w:val="24"/>
          <w:lang w:eastAsia="lt-LT"/>
        </w:rPr>
        <w:t xml:space="preserve">Lėšų investavimo atsilikimą sąlygoja savivaldybių finansinis nepajėgumas ir gebėjimų tinkamai ir laiku atlikti viešųjų pirkimų procedūras trūkumas bei nepakankamas projektų </w:t>
      </w:r>
      <w:proofErr w:type="spellStart"/>
      <w:r w:rsidRPr="000E7866">
        <w:rPr>
          <w:color w:val="595959" w:themeColor="text1" w:themeTint="A6"/>
          <w:szCs w:val="24"/>
          <w:lang w:eastAsia="lt-LT"/>
        </w:rPr>
        <w:t>parengtumas</w:t>
      </w:r>
      <w:proofErr w:type="spellEnd"/>
      <w:r w:rsidRPr="000E7866">
        <w:rPr>
          <w:color w:val="595959" w:themeColor="text1" w:themeTint="A6"/>
          <w:szCs w:val="24"/>
          <w:lang w:eastAsia="lt-LT"/>
        </w:rPr>
        <w:t xml:space="preserve"> ir viešas jų aptarimas su bendruomene, dėl ko kyla prieštaravimai savivaldybėse ir investavimo sprendimai keičiami. Kadangi š</w:t>
      </w:r>
      <w:r w:rsidR="00EA5790">
        <w:rPr>
          <w:color w:val="595959" w:themeColor="text1" w:themeTint="A6"/>
          <w:szCs w:val="24"/>
          <w:lang w:eastAsia="lt-LT"/>
        </w:rPr>
        <w:t>io prioriteto priemonėse nemažoje dalyje sutarčių deklaruota</w:t>
      </w:r>
      <w:r w:rsidRPr="000E7866">
        <w:rPr>
          <w:color w:val="595959" w:themeColor="text1" w:themeTint="A6"/>
          <w:szCs w:val="24"/>
          <w:lang w:eastAsia="lt-LT"/>
        </w:rPr>
        <w:t xml:space="preserve"> ypač mažai lėšų ar</w:t>
      </w:r>
      <w:r w:rsidR="00EA5790">
        <w:rPr>
          <w:color w:val="595959" w:themeColor="text1" w:themeTint="A6"/>
          <w:szCs w:val="24"/>
          <w:lang w:eastAsia="lt-LT"/>
        </w:rPr>
        <w:t>ba projekto veiklos nepradėtos</w:t>
      </w:r>
      <w:r w:rsidRPr="000E7866">
        <w:rPr>
          <w:color w:val="595959" w:themeColor="text1" w:themeTint="A6"/>
          <w:szCs w:val="24"/>
          <w:lang w:eastAsia="lt-LT"/>
        </w:rPr>
        <w:t xml:space="preserve"> metus ar net du po sutarties pasirašymo, Vidaus reikalų ministerija, siekdama valdyti lėšų panaudojimo nustatytu laiku riziką turėtų dar aktyviau bendradarbiauti su projektus įgyvendinančiomis savivaldybėmis ir kartu su </w:t>
      </w:r>
      <w:r w:rsidR="00EA5790">
        <w:rPr>
          <w:color w:val="595959" w:themeColor="text1" w:themeTint="A6"/>
          <w:szCs w:val="24"/>
          <w:lang w:eastAsia="lt-LT"/>
        </w:rPr>
        <w:t>CPVA</w:t>
      </w:r>
      <w:r w:rsidRPr="000E7866">
        <w:rPr>
          <w:color w:val="595959" w:themeColor="text1" w:themeTint="A6"/>
          <w:szCs w:val="24"/>
          <w:lang w:eastAsia="lt-LT"/>
        </w:rPr>
        <w:t xml:space="preserve"> ieškoti priežasčių, kodėl sutartyse numatyti darbai vėluoja bei imtis konkrečių veiksmų ir inicijuoti lėšų perskirstymą tarp priemonių arba pateikti konkretų šių priemonių įgyvendinimo planą, užtikrinantį, kad visos skirtos lėšos bus panaudotos nustatytu laiku.</w:t>
      </w:r>
    </w:p>
    <w:p w:rsidR="000E7866" w:rsidRPr="000E7866" w:rsidRDefault="000E7866" w:rsidP="000E7866">
      <w:pPr>
        <w:ind w:firstLine="426"/>
        <w:jc w:val="both"/>
        <w:rPr>
          <w:color w:val="595959" w:themeColor="text1" w:themeTint="A6"/>
          <w:szCs w:val="24"/>
          <w:lang w:eastAsia="lt-LT"/>
        </w:rPr>
      </w:pPr>
      <w:r w:rsidRPr="000E7866">
        <w:rPr>
          <w:color w:val="595959" w:themeColor="text1" w:themeTint="A6"/>
          <w:szCs w:val="24"/>
          <w:lang w:eastAsia="lt-LT"/>
        </w:rPr>
        <w:t xml:space="preserve">Ataskaitiniu laikotarpiu įgyvendinant bandomąją iniciatyvą, skirtą naujo regionų kompleksinės plėtros finansavimo modelio sukūrimui, pasirašytos pilotinių projektų „Šalčininkai+ funkcinės zonos plėtros strategijos įgyvendinimas“ ir „Funkcinės zonos Tauragė+ plėtros strategijos pirmaeilių veiksmų įgyvendinimas“ sutartys. Šių projektų veikloms, kuriomis siekiama spręsti funkcinėms zonoms būdingas problemas bei paskatinti savivaldybių bendradarbiavimu grįstą kompleksinį funkcinių zonų vystymą, skirta 16,9 mln. eurų. Tai visiškai nauja jungtinė priemonė, jungianti ne tik skirtingų fondų (ERPF ir ESF) lėšas, bet ir 4 skirtingų prioritetų veiklas: darnaus </w:t>
      </w:r>
      <w:proofErr w:type="spellStart"/>
      <w:r w:rsidRPr="000E7866">
        <w:rPr>
          <w:color w:val="595959" w:themeColor="text1" w:themeTint="A6"/>
          <w:szCs w:val="24"/>
          <w:lang w:eastAsia="lt-LT"/>
        </w:rPr>
        <w:t>judumo</w:t>
      </w:r>
      <w:proofErr w:type="spellEnd"/>
      <w:r w:rsidRPr="000E7866">
        <w:rPr>
          <w:color w:val="595959" w:themeColor="text1" w:themeTint="A6"/>
          <w:szCs w:val="24"/>
          <w:lang w:eastAsia="lt-LT"/>
        </w:rPr>
        <w:t xml:space="preserve">, infrastruktūros </w:t>
      </w:r>
      <w:r w:rsidR="00113957" w:rsidRPr="000E7866">
        <w:rPr>
          <w:color w:val="595959" w:themeColor="text1" w:themeTint="A6"/>
          <w:szCs w:val="24"/>
          <w:lang w:eastAsia="lt-LT"/>
        </w:rPr>
        <w:t>konversij</w:t>
      </w:r>
      <w:r w:rsidR="00113957">
        <w:rPr>
          <w:color w:val="595959" w:themeColor="text1" w:themeTint="A6"/>
          <w:szCs w:val="24"/>
          <w:lang w:eastAsia="lt-LT"/>
        </w:rPr>
        <w:t>os</w:t>
      </w:r>
      <w:r w:rsidR="00113957" w:rsidRPr="000E7866">
        <w:rPr>
          <w:color w:val="595959" w:themeColor="text1" w:themeTint="A6"/>
          <w:szCs w:val="24"/>
          <w:lang w:eastAsia="lt-LT"/>
        </w:rPr>
        <w:t xml:space="preserve"> </w:t>
      </w:r>
      <w:r w:rsidRPr="000E7866">
        <w:rPr>
          <w:color w:val="595959" w:themeColor="text1" w:themeTint="A6"/>
          <w:szCs w:val="24"/>
          <w:lang w:eastAsia="lt-LT"/>
        </w:rPr>
        <w:t>ir viešųjų erdvių pritaikym</w:t>
      </w:r>
      <w:r w:rsidR="00113957">
        <w:rPr>
          <w:color w:val="595959" w:themeColor="text1" w:themeTint="A6"/>
          <w:szCs w:val="24"/>
          <w:lang w:eastAsia="lt-LT"/>
        </w:rPr>
        <w:t>o</w:t>
      </w:r>
      <w:r w:rsidRPr="000E7866">
        <w:rPr>
          <w:color w:val="595959" w:themeColor="text1" w:themeTint="A6"/>
          <w:szCs w:val="24"/>
          <w:lang w:eastAsia="lt-LT"/>
        </w:rPr>
        <w:t xml:space="preserve">, bendruomenėje teikiamų paslaugų prieinamumo ir kokybės </w:t>
      </w:r>
      <w:r w:rsidR="00113957" w:rsidRPr="000E7866">
        <w:rPr>
          <w:color w:val="595959" w:themeColor="text1" w:themeTint="A6"/>
          <w:szCs w:val="24"/>
          <w:lang w:eastAsia="lt-LT"/>
        </w:rPr>
        <w:t>gerinim</w:t>
      </w:r>
      <w:r w:rsidR="00113957">
        <w:rPr>
          <w:color w:val="595959" w:themeColor="text1" w:themeTint="A6"/>
          <w:szCs w:val="24"/>
          <w:lang w:eastAsia="lt-LT"/>
        </w:rPr>
        <w:t>o</w:t>
      </w:r>
      <w:r w:rsidRPr="000E7866">
        <w:rPr>
          <w:color w:val="595959" w:themeColor="text1" w:themeTint="A6"/>
          <w:szCs w:val="24"/>
          <w:lang w:eastAsia="lt-LT"/>
        </w:rPr>
        <w:t xml:space="preserve">, </w:t>
      </w:r>
      <w:r w:rsidR="00113957">
        <w:rPr>
          <w:color w:val="595959" w:themeColor="text1" w:themeTint="A6"/>
          <w:szCs w:val="24"/>
          <w:lang w:eastAsia="lt-LT"/>
        </w:rPr>
        <w:t>bei</w:t>
      </w:r>
      <w:r w:rsidRPr="000E7866">
        <w:rPr>
          <w:color w:val="595959" w:themeColor="text1" w:themeTint="A6"/>
          <w:szCs w:val="24"/>
          <w:lang w:eastAsia="lt-LT"/>
        </w:rPr>
        <w:t xml:space="preserve"> visuomenei teikiamų paslaugų </w:t>
      </w:r>
      <w:r w:rsidR="00113957" w:rsidRPr="000E7866">
        <w:rPr>
          <w:color w:val="595959" w:themeColor="text1" w:themeTint="A6"/>
          <w:szCs w:val="24"/>
          <w:lang w:eastAsia="lt-LT"/>
        </w:rPr>
        <w:t>atitikim</w:t>
      </w:r>
      <w:r w:rsidR="00113957">
        <w:rPr>
          <w:color w:val="595959" w:themeColor="text1" w:themeTint="A6"/>
          <w:szCs w:val="24"/>
          <w:lang w:eastAsia="lt-LT"/>
        </w:rPr>
        <w:t>o</w:t>
      </w:r>
      <w:r w:rsidR="00113957" w:rsidRPr="000E7866">
        <w:rPr>
          <w:color w:val="595959" w:themeColor="text1" w:themeTint="A6"/>
          <w:szCs w:val="24"/>
          <w:lang w:eastAsia="lt-LT"/>
        </w:rPr>
        <w:t xml:space="preserve"> </w:t>
      </w:r>
      <w:r w:rsidRPr="000E7866">
        <w:rPr>
          <w:color w:val="595959" w:themeColor="text1" w:themeTint="A6"/>
          <w:szCs w:val="24"/>
          <w:lang w:eastAsia="lt-LT"/>
        </w:rPr>
        <w:t>visuomenės poreikiams.</w:t>
      </w:r>
    </w:p>
    <w:p w:rsidR="00B34E12" w:rsidRDefault="00B34E12" w:rsidP="00867A20">
      <w:pPr>
        <w:jc w:val="both"/>
        <w:rPr>
          <w:color w:val="595959" w:themeColor="text1" w:themeTint="A6"/>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0E7866" w:rsidRPr="00000D65" w:rsidTr="00574E3F">
        <w:tc>
          <w:tcPr>
            <w:tcW w:w="9638" w:type="dxa"/>
            <w:tcBorders>
              <w:top w:val="nil"/>
              <w:left w:val="nil"/>
              <w:bottom w:val="nil"/>
              <w:right w:val="nil"/>
            </w:tcBorders>
            <w:shd w:val="clear" w:color="auto" w:fill="D9D9D9" w:themeFill="background1" w:themeFillShade="D9"/>
          </w:tcPr>
          <w:p w:rsidR="000E7866" w:rsidRPr="00000D65" w:rsidRDefault="000E7866" w:rsidP="00574E3F">
            <w:pPr>
              <w:jc w:val="both"/>
              <w:rPr>
                <w:b/>
                <w:color w:val="365F91" w:themeColor="accent1" w:themeShade="BF"/>
              </w:rPr>
            </w:pPr>
            <w:r w:rsidRPr="00000D65">
              <w:rPr>
                <w:b/>
                <w:color w:val="365F91" w:themeColor="accent1" w:themeShade="BF"/>
              </w:rPr>
              <w:t>Siūlymas</w:t>
            </w:r>
            <w:r w:rsidRPr="000E7866">
              <w:rPr>
                <w:b/>
                <w:color w:val="365F91" w:themeColor="accent1" w:themeShade="BF"/>
              </w:rPr>
              <w:t xml:space="preserve"> Vidaus reikalų</w:t>
            </w:r>
            <w:r w:rsidRPr="00000D65">
              <w:rPr>
                <w:b/>
              </w:rPr>
              <w:t xml:space="preserve"> </w:t>
            </w:r>
            <w:r w:rsidRPr="00000D65">
              <w:rPr>
                <w:b/>
                <w:color w:val="365F91" w:themeColor="accent1" w:themeShade="BF"/>
              </w:rPr>
              <w:t>ministerijai:</w:t>
            </w:r>
          </w:p>
          <w:p w:rsidR="000E7866" w:rsidRPr="00000D65" w:rsidRDefault="000E7866" w:rsidP="00574E3F">
            <w:pPr>
              <w:jc w:val="both"/>
              <w:rPr>
                <w:b/>
                <w:color w:val="365F91" w:themeColor="accent1" w:themeShade="BF"/>
              </w:rPr>
            </w:pPr>
            <w:r w:rsidRPr="00000D65">
              <w:rPr>
                <w:b/>
                <w:color w:val="365F91" w:themeColor="accent1" w:themeShade="BF"/>
              </w:rPr>
              <w:t>-</w:t>
            </w:r>
            <w:r>
              <w:t xml:space="preserve"> </w:t>
            </w:r>
            <w:r w:rsidRPr="000426F7">
              <w:rPr>
                <w:color w:val="365F91" w:themeColor="accent1" w:themeShade="BF"/>
              </w:rPr>
              <w:t>Kas ketvirtį kartu su CPVA organizuoti susitikimus su projektų, kurių vykdymas yra probleminis ir mokėjimai atsilieka nuo grafiko, vykdytojais bei aptarti galimybes paspartinti investicijas. Identifikavus lėšų praradimo rizikas, imtis veiksmų jas sumažinti arba teikti siūlymus dėl lėšų perskirstymo.</w:t>
            </w:r>
          </w:p>
        </w:tc>
      </w:tr>
    </w:tbl>
    <w:p w:rsidR="001147B5" w:rsidRDefault="001147B5" w:rsidP="00C96392">
      <w:pPr>
        <w:pStyle w:val="tekstas"/>
        <w:rPr>
          <w:rFonts w:ascii="Times New Roman" w:hAnsi="Times New Roman"/>
          <w:color w:val="595959" w:themeColor="text1" w:themeTint="A6"/>
          <w:lang w:eastAsia="lt-LT"/>
        </w:rPr>
      </w:pPr>
    </w:p>
    <w:p w:rsidR="00C96392" w:rsidRDefault="00144C97" w:rsidP="00C96392">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Ministerijoms įgyvendinant 7 prioriteto veiklas iki 2020 m. pabaigos b</w:t>
      </w:r>
      <w:r w:rsidR="00C96392">
        <w:rPr>
          <w:rFonts w:ascii="Times New Roman" w:hAnsi="Times New Roman"/>
          <w:color w:val="595959" w:themeColor="text1" w:themeTint="A6"/>
          <w:lang w:eastAsia="lt-LT"/>
        </w:rPr>
        <w:t>endrai prioriteto lygmeniu reikšmingi šių rodiklių pasiekimai:</w:t>
      </w:r>
    </w:p>
    <w:p w:rsidR="00D057A1" w:rsidRPr="00D057A1" w:rsidRDefault="00D057A1" w:rsidP="00D057A1">
      <w:pPr>
        <w:pStyle w:val="tekstas"/>
        <w:ind w:firstLine="0"/>
        <w:rPr>
          <w:rFonts w:ascii="Times New Roman" w:hAnsi="Times New Roman"/>
          <w:color w:val="595959" w:themeColor="text1" w:themeTint="A6"/>
          <w:lang w:eastAsia="lt-LT"/>
        </w:rPr>
      </w:pPr>
      <w:r>
        <w:rPr>
          <w:rFonts w:ascii="Times New Roman" w:hAnsi="Times New Roman"/>
          <w:color w:val="595959" w:themeColor="text1" w:themeTint="A6"/>
          <w:lang w:eastAsia="lt-LT"/>
        </w:rPr>
        <w:t>- daugiau nei</w:t>
      </w:r>
      <w:r w:rsidRPr="00D057A1">
        <w:rPr>
          <w:rFonts w:ascii="Times New Roman" w:hAnsi="Times New Roman"/>
          <w:color w:val="595959" w:themeColor="text1" w:themeTint="A6"/>
          <w:lang w:eastAsia="lt-LT"/>
        </w:rPr>
        <w:t xml:space="preserve"> 59 tūkst. bedarbių, įskaitant ilgalaikius bedarbius, dalyvavo ESF veiklose (</w:t>
      </w:r>
      <w:r>
        <w:rPr>
          <w:rFonts w:ascii="Times New Roman" w:hAnsi="Times New Roman"/>
          <w:color w:val="595959" w:themeColor="text1" w:themeTint="A6"/>
          <w:lang w:eastAsia="lt-LT"/>
        </w:rPr>
        <w:t>planuota</w:t>
      </w:r>
      <w:r w:rsidRPr="00D057A1">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57,9 tūkst.). Iš jų beveik 56 proc. įgijo kvalifikaciją</w:t>
      </w:r>
      <w:r w:rsidRPr="00D057A1">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planuota</w:t>
      </w:r>
      <w:r w:rsidRPr="00D057A1">
        <w:rPr>
          <w:rFonts w:ascii="Times New Roman" w:hAnsi="Times New Roman"/>
          <w:color w:val="595959" w:themeColor="text1" w:themeTint="A6"/>
          <w:lang w:eastAsia="lt-LT"/>
        </w:rPr>
        <w:t xml:space="preserve"> 42 proc.), beveik 57 proc. pradėjo dirbti, įskaitant savarankišką darbą (</w:t>
      </w:r>
      <w:r>
        <w:rPr>
          <w:rFonts w:ascii="Times New Roman" w:hAnsi="Times New Roman"/>
          <w:color w:val="595959" w:themeColor="text1" w:themeTint="A6"/>
          <w:lang w:eastAsia="lt-LT"/>
        </w:rPr>
        <w:t>planuota</w:t>
      </w:r>
      <w:r w:rsidRPr="00D057A1">
        <w:rPr>
          <w:rFonts w:ascii="Times New Roman" w:hAnsi="Times New Roman"/>
          <w:color w:val="595959" w:themeColor="text1" w:themeTint="A6"/>
          <w:lang w:eastAsia="lt-LT"/>
        </w:rPr>
        <w:t xml:space="preserve"> 35 proc.).</w:t>
      </w:r>
    </w:p>
    <w:p w:rsidR="00D057A1" w:rsidRDefault="00D057A1" w:rsidP="00D057A1">
      <w:pPr>
        <w:pStyle w:val="tekstas"/>
        <w:ind w:firstLine="0"/>
        <w:rPr>
          <w:rFonts w:ascii="Times New Roman" w:hAnsi="Times New Roman"/>
          <w:color w:val="595959" w:themeColor="text1" w:themeTint="A6"/>
          <w:lang w:eastAsia="lt-LT"/>
        </w:rPr>
      </w:pPr>
      <w:r>
        <w:rPr>
          <w:rFonts w:ascii="Times New Roman" w:hAnsi="Times New Roman"/>
          <w:color w:val="595959" w:themeColor="text1" w:themeTint="A6"/>
          <w:lang w:eastAsia="lt-LT"/>
        </w:rPr>
        <w:t>- 25,6 tūkst. vyresnių nei 54 metų asmenų</w:t>
      </w:r>
      <w:r w:rsidRPr="00D057A1">
        <w:rPr>
          <w:rFonts w:ascii="Times New Roman" w:hAnsi="Times New Roman"/>
          <w:color w:val="595959" w:themeColor="text1" w:themeTint="A6"/>
          <w:lang w:eastAsia="lt-LT"/>
        </w:rPr>
        <w:t>, kurie yra bedarbiai, įskaitant ilgalaikius bedarbius, arba neaktyvūs nesimokantys asmenys, dalyvavo ESF veiklose (</w:t>
      </w:r>
      <w:r>
        <w:rPr>
          <w:rFonts w:ascii="Times New Roman" w:hAnsi="Times New Roman"/>
          <w:color w:val="595959" w:themeColor="text1" w:themeTint="A6"/>
          <w:lang w:eastAsia="lt-LT"/>
        </w:rPr>
        <w:t>planuojama</w:t>
      </w:r>
      <w:r w:rsidRPr="00D057A1">
        <w:rPr>
          <w:rFonts w:ascii="Times New Roman" w:hAnsi="Times New Roman"/>
          <w:color w:val="595959" w:themeColor="text1" w:themeTint="A6"/>
          <w:lang w:eastAsia="lt-LT"/>
        </w:rPr>
        <w:t xml:space="preserve"> 30 t</w:t>
      </w:r>
      <w:r>
        <w:rPr>
          <w:rFonts w:ascii="Times New Roman" w:hAnsi="Times New Roman"/>
          <w:color w:val="595959" w:themeColor="text1" w:themeTint="A6"/>
          <w:lang w:eastAsia="lt-LT"/>
        </w:rPr>
        <w:t>ū</w:t>
      </w:r>
      <w:r w:rsidRPr="00D057A1">
        <w:rPr>
          <w:rFonts w:ascii="Times New Roman" w:hAnsi="Times New Roman"/>
          <w:color w:val="595959" w:themeColor="text1" w:themeTint="A6"/>
          <w:lang w:eastAsia="lt-LT"/>
        </w:rPr>
        <w:t>kst.)</w:t>
      </w:r>
      <w:r>
        <w:rPr>
          <w:rFonts w:ascii="Times New Roman" w:hAnsi="Times New Roman"/>
          <w:color w:val="595959" w:themeColor="text1" w:themeTint="A6"/>
          <w:lang w:eastAsia="lt-LT"/>
        </w:rPr>
        <w:t>. Iš jų beveik 38 proc. įgijo kvalifikaciją</w:t>
      </w:r>
      <w:r w:rsidRPr="00D057A1">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planuojama</w:t>
      </w:r>
      <w:r w:rsidRPr="00D057A1">
        <w:rPr>
          <w:rFonts w:ascii="Times New Roman" w:hAnsi="Times New Roman"/>
          <w:color w:val="595959" w:themeColor="text1" w:themeTint="A6"/>
          <w:lang w:eastAsia="lt-LT"/>
        </w:rPr>
        <w:t xml:space="preserve"> 42 proc.), beveik 61 proc. pradėjo dirbti, įskaitant savarankišką darbą (</w:t>
      </w:r>
      <w:r>
        <w:rPr>
          <w:rFonts w:ascii="Times New Roman" w:hAnsi="Times New Roman"/>
          <w:color w:val="595959" w:themeColor="text1" w:themeTint="A6"/>
          <w:lang w:eastAsia="lt-LT"/>
        </w:rPr>
        <w:t>planuota</w:t>
      </w:r>
      <w:r w:rsidRPr="00D057A1">
        <w:rPr>
          <w:rFonts w:ascii="Times New Roman" w:hAnsi="Times New Roman"/>
          <w:color w:val="595959" w:themeColor="text1" w:themeTint="A6"/>
          <w:lang w:eastAsia="lt-LT"/>
        </w:rPr>
        <w:t xml:space="preserve"> 35 proc.)</w:t>
      </w:r>
      <w:r>
        <w:rPr>
          <w:rFonts w:ascii="Times New Roman" w:hAnsi="Times New Roman"/>
          <w:color w:val="595959" w:themeColor="text1" w:themeTint="A6"/>
          <w:lang w:eastAsia="lt-LT"/>
        </w:rPr>
        <w:t>.</w:t>
      </w:r>
    </w:p>
    <w:p w:rsidR="00144C97" w:rsidRDefault="00144C97" w:rsidP="00144C97">
      <w:pPr>
        <w:jc w:val="both"/>
        <w:rPr>
          <w:color w:val="595959" w:themeColor="text1" w:themeTint="A6"/>
          <w:lang w:eastAsia="lt-LT"/>
        </w:rPr>
      </w:pPr>
      <w:r>
        <w:rPr>
          <w:color w:val="595959" w:themeColor="text1" w:themeTint="A6"/>
          <w:lang w:eastAsia="lt-LT"/>
        </w:rPr>
        <w:t xml:space="preserve">- </w:t>
      </w:r>
      <w:r w:rsidR="00C96392" w:rsidRPr="00144C97">
        <w:rPr>
          <w:color w:val="595959" w:themeColor="text1" w:themeTint="A6"/>
          <w:lang w:eastAsia="lt-LT"/>
        </w:rPr>
        <w:t>3,2 mln. m2 sukurtos arba atnaujintos atviros erdvės miestų vietovėse</w:t>
      </w:r>
      <w:r>
        <w:rPr>
          <w:color w:val="595959" w:themeColor="text1" w:themeTint="A6"/>
          <w:lang w:eastAsia="lt-LT"/>
        </w:rPr>
        <w:t xml:space="preserve"> (</w:t>
      </w:r>
      <w:proofErr w:type="spellStart"/>
      <w:r>
        <w:rPr>
          <w:color w:val="595959" w:themeColor="text1" w:themeTint="A6"/>
          <w:lang w:val="en-GB" w:eastAsia="lt-LT"/>
        </w:rPr>
        <w:t>planuojama</w:t>
      </w:r>
      <w:proofErr w:type="spellEnd"/>
      <w:r w:rsidR="00C96392" w:rsidRPr="00144C97">
        <w:rPr>
          <w:color w:val="595959" w:themeColor="text1" w:themeTint="A6"/>
          <w:lang w:val="en-GB" w:eastAsia="lt-LT"/>
        </w:rPr>
        <w:t xml:space="preserve"> 6 </w:t>
      </w:r>
      <w:proofErr w:type="spellStart"/>
      <w:r w:rsidR="00C96392" w:rsidRPr="00144C97">
        <w:rPr>
          <w:color w:val="595959" w:themeColor="text1" w:themeTint="A6"/>
          <w:lang w:val="en-GB" w:eastAsia="lt-LT"/>
        </w:rPr>
        <w:t>mln</w:t>
      </w:r>
      <w:proofErr w:type="spellEnd"/>
      <w:r w:rsidR="00C96392" w:rsidRPr="00144C97">
        <w:rPr>
          <w:color w:val="595959" w:themeColor="text1" w:themeTint="A6"/>
          <w:lang w:val="en-GB" w:eastAsia="lt-LT"/>
        </w:rPr>
        <w:t xml:space="preserve">. </w:t>
      </w:r>
      <w:r w:rsidR="00C96392" w:rsidRPr="00144C97">
        <w:rPr>
          <w:color w:val="595959" w:themeColor="text1" w:themeTint="A6"/>
          <w:lang w:eastAsia="lt-LT"/>
        </w:rPr>
        <w:t>m2).</w:t>
      </w:r>
    </w:p>
    <w:p w:rsidR="000E7866" w:rsidRPr="00144C97" w:rsidRDefault="00144C97" w:rsidP="00144C97">
      <w:pPr>
        <w:jc w:val="both"/>
        <w:rPr>
          <w:color w:val="595959" w:themeColor="text1" w:themeTint="A6"/>
          <w:lang w:eastAsia="lt-LT"/>
        </w:rPr>
      </w:pPr>
      <w:r>
        <w:rPr>
          <w:color w:val="595959" w:themeColor="text1" w:themeTint="A6"/>
          <w:lang w:eastAsia="lt-LT"/>
        </w:rPr>
        <w:t xml:space="preserve">- </w:t>
      </w:r>
      <w:r w:rsidR="00C96392" w:rsidRPr="00144C97">
        <w:rPr>
          <w:color w:val="595959" w:themeColor="text1" w:themeTint="A6"/>
          <w:lang w:eastAsia="lt-LT"/>
        </w:rPr>
        <w:t>pastatyta arba atnaujinta 14,8 mln. m2 viešųjų arba komercinių pastatų miestų vietovėse (</w:t>
      </w:r>
      <w:proofErr w:type="spellStart"/>
      <w:r>
        <w:rPr>
          <w:color w:val="595959" w:themeColor="text1" w:themeTint="A6"/>
          <w:lang w:val="en-GB" w:eastAsia="lt-LT"/>
        </w:rPr>
        <w:t>planuojama</w:t>
      </w:r>
      <w:proofErr w:type="spellEnd"/>
      <w:r w:rsidR="00C96392" w:rsidRPr="00144C97">
        <w:rPr>
          <w:color w:val="595959" w:themeColor="text1" w:themeTint="A6"/>
          <w:lang w:val="en-GB" w:eastAsia="lt-LT"/>
        </w:rPr>
        <w:t xml:space="preserve"> 25 </w:t>
      </w:r>
      <w:proofErr w:type="spellStart"/>
      <w:r w:rsidR="00C96392" w:rsidRPr="00144C97">
        <w:rPr>
          <w:color w:val="595959" w:themeColor="text1" w:themeTint="A6"/>
          <w:lang w:val="en-GB" w:eastAsia="lt-LT"/>
        </w:rPr>
        <w:t>mln</w:t>
      </w:r>
      <w:proofErr w:type="spellEnd"/>
      <w:r w:rsidR="00C96392" w:rsidRPr="00144C97">
        <w:rPr>
          <w:color w:val="595959" w:themeColor="text1" w:themeTint="A6"/>
          <w:lang w:val="en-GB" w:eastAsia="lt-LT"/>
        </w:rPr>
        <w:t xml:space="preserve">. </w:t>
      </w:r>
      <w:r w:rsidR="00C96392" w:rsidRPr="00144C97">
        <w:rPr>
          <w:color w:val="595959" w:themeColor="text1" w:themeTint="A6"/>
          <w:lang w:eastAsia="lt-LT"/>
        </w:rPr>
        <w:t>m2).</w:t>
      </w:r>
    </w:p>
    <w:p w:rsidR="00C96392" w:rsidRDefault="00C96392" w:rsidP="00C96392">
      <w:pPr>
        <w:jc w:val="both"/>
        <w:rPr>
          <w:color w:val="595959" w:themeColor="text1" w:themeTint="A6"/>
          <w:szCs w:val="24"/>
          <w:lang w:eastAsia="lt-LT"/>
        </w:rPr>
      </w:pPr>
    </w:p>
    <w:p w:rsidR="00F41DFD" w:rsidRDefault="00F41DFD" w:rsidP="00C96392">
      <w:pPr>
        <w:jc w:val="both"/>
        <w:rPr>
          <w:color w:val="595959" w:themeColor="text1" w:themeTint="A6"/>
          <w:szCs w:val="24"/>
          <w:lang w:eastAsia="lt-LT"/>
        </w:rPr>
      </w:pPr>
    </w:p>
    <w:p w:rsidR="00F41DFD" w:rsidRDefault="00F41DFD" w:rsidP="00C96392">
      <w:pPr>
        <w:jc w:val="both"/>
        <w:rPr>
          <w:color w:val="595959" w:themeColor="text1" w:themeTint="A6"/>
          <w:szCs w:val="24"/>
          <w:lang w:eastAsia="lt-LT"/>
        </w:rPr>
      </w:pPr>
    </w:p>
    <w:p w:rsidR="00F41DFD" w:rsidRDefault="00F41DFD" w:rsidP="00C96392">
      <w:pPr>
        <w:jc w:val="both"/>
        <w:rPr>
          <w:color w:val="595959" w:themeColor="text1" w:themeTint="A6"/>
          <w:szCs w:val="24"/>
          <w:lang w:eastAsia="lt-LT"/>
        </w:rPr>
      </w:pPr>
    </w:p>
    <w:p w:rsidR="00F41DFD" w:rsidRDefault="00F41DFD" w:rsidP="00C96392">
      <w:pPr>
        <w:jc w:val="both"/>
        <w:rPr>
          <w:color w:val="595959" w:themeColor="text1" w:themeTint="A6"/>
          <w:szCs w:val="24"/>
          <w:lang w:eastAsia="lt-LT"/>
        </w:rPr>
      </w:pPr>
    </w:p>
    <w:p w:rsidR="000305AE" w:rsidRPr="00943B0C" w:rsidRDefault="000305AE" w:rsidP="0052455B">
      <w:pPr>
        <w:pStyle w:val="antrat3zz"/>
        <w:spacing w:before="0" w:after="0"/>
        <w:rPr>
          <w:rFonts w:ascii="Times New Roman" w:hAnsi="Times New Roman" w:cs="Times New Roman"/>
        </w:rPr>
      </w:pPr>
      <w:bookmarkStart w:id="26" w:name="_Toc69114256"/>
      <w:r w:rsidRPr="00943B0C">
        <w:rPr>
          <w:rFonts w:ascii="Times New Roman" w:hAnsi="Times New Roman" w:cs="Times New Roman"/>
        </w:rPr>
        <w:lastRenderedPageBreak/>
        <w:t xml:space="preserve">8 prioritetas. Socialinės </w:t>
      </w:r>
      <w:proofErr w:type="spellStart"/>
      <w:r w:rsidRPr="00943B0C">
        <w:rPr>
          <w:rFonts w:ascii="Times New Roman" w:hAnsi="Times New Roman" w:cs="Times New Roman"/>
        </w:rPr>
        <w:t>įtraukties</w:t>
      </w:r>
      <w:proofErr w:type="spellEnd"/>
      <w:r w:rsidRPr="00943B0C">
        <w:rPr>
          <w:rFonts w:ascii="Times New Roman" w:hAnsi="Times New Roman" w:cs="Times New Roman"/>
        </w:rPr>
        <w:t xml:space="preserve"> didinimas ir kova su skurdu</w:t>
      </w:r>
      <w:bookmarkEnd w:id="24"/>
      <w:bookmarkEnd w:id="25"/>
      <w:bookmarkEnd w:id="26"/>
      <w:r w:rsidRPr="00943B0C">
        <w:rPr>
          <w:rFonts w:ascii="Times New Roman" w:hAnsi="Times New Roman" w:cs="Times New Roman"/>
        </w:rPr>
        <w:t xml:space="preserve"> </w:t>
      </w:r>
    </w:p>
    <w:p w:rsidR="00B3224A" w:rsidRDefault="00B3224A" w:rsidP="00B3224A">
      <w:pPr>
        <w:jc w:val="both"/>
        <w:rPr>
          <w:color w:val="595959" w:themeColor="text1" w:themeTint="A6"/>
          <w:szCs w:val="24"/>
          <w:lang w:eastAsia="lt-LT"/>
        </w:rPr>
      </w:pPr>
      <w:bookmarkStart w:id="27" w:name="_Toc10104960"/>
    </w:p>
    <w:p w:rsidR="00C92FA0" w:rsidRDefault="00F41DFD" w:rsidP="00B3224A">
      <w:pPr>
        <w:jc w:val="both"/>
        <w:rPr>
          <w:color w:val="595959" w:themeColor="text1" w:themeTint="A6"/>
          <w:szCs w:val="24"/>
          <w:lang w:eastAsia="lt-LT"/>
        </w:rPr>
      </w:pPr>
      <w:r>
        <w:rPr>
          <w:noProof/>
          <w:lang w:eastAsia="lt-LT"/>
        </w:rPr>
        <w:drawing>
          <wp:inline distT="0" distB="0" distL="0" distR="0" wp14:anchorId="0C991F26" wp14:editId="3BC6F081">
            <wp:extent cx="6120130" cy="862124"/>
            <wp:effectExtent l="0" t="0" r="13970" b="14605"/>
            <wp:docPr id="409" name="Diagrama 40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D663D" w:rsidRDefault="002D663D" w:rsidP="00B3224A">
      <w:pPr>
        <w:jc w:val="both"/>
        <w:rPr>
          <w:color w:val="595959" w:themeColor="text1" w:themeTint="A6"/>
          <w:szCs w:val="24"/>
          <w:lang w:eastAsia="lt-LT"/>
        </w:rPr>
      </w:pPr>
    </w:p>
    <w:p w:rsidR="002D663D" w:rsidRDefault="002D663D" w:rsidP="002D663D">
      <w:pPr>
        <w:autoSpaceDE w:val="0"/>
        <w:autoSpaceDN w:val="0"/>
        <w:adjustRightInd w:val="0"/>
        <w:ind w:firstLine="426"/>
        <w:jc w:val="both"/>
        <w:rPr>
          <w:color w:val="595959" w:themeColor="text1" w:themeTint="A6"/>
          <w:szCs w:val="24"/>
          <w:lang w:eastAsia="lt-LT"/>
        </w:rPr>
      </w:pPr>
      <w:r>
        <w:rPr>
          <w:color w:val="595959" w:themeColor="text1" w:themeTint="A6"/>
          <w:szCs w:val="24"/>
          <w:lang w:eastAsia="lt-LT"/>
        </w:rPr>
        <w:t xml:space="preserve">Socialinės apsaugos ir darbo ministerijos 8 prioriteto ESF lėšomis finansuojamų priemonių įgyvendinimo rodikliai </w:t>
      </w:r>
      <w:r w:rsidR="00C02E35">
        <w:rPr>
          <w:color w:val="595959" w:themeColor="text1" w:themeTint="A6"/>
          <w:szCs w:val="24"/>
          <w:lang w:eastAsia="lt-LT"/>
        </w:rPr>
        <w:t>yra geri</w:t>
      </w:r>
      <w:r>
        <w:rPr>
          <w:color w:val="595959" w:themeColor="text1" w:themeTint="A6"/>
          <w:szCs w:val="24"/>
          <w:lang w:eastAsia="lt-LT"/>
        </w:rPr>
        <w:t xml:space="preserve">: sudaryta </w:t>
      </w:r>
      <w:r w:rsidR="00F41DFD">
        <w:rPr>
          <w:color w:val="595959" w:themeColor="text1" w:themeTint="A6"/>
          <w:szCs w:val="24"/>
          <w:lang w:eastAsia="lt-LT"/>
        </w:rPr>
        <w:t>101</w:t>
      </w:r>
      <w:r w:rsidR="00C02E35">
        <w:rPr>
          <w:color w:val="595959" w:themeColor="text1" w:themeTint="A6"/>
          <w:szCs w:val="24"/>
          <w:lang w:eastAsia="lt-LT"/>
        </w:rPr>
        <w:t xml:space="preserve"> proc. </w:t>
      </w:r>
      <w:r>
        <w:rPr>
          <w:color w:val="595959" w:themeColor="text1" w:themeTint="A6"/>
          <w:szCs w:val="24"/>
          <w:lang w:eastAsia="lt-LT"/>
        </w:rPr>
        <w:t>sutarčių</w:t>
      </w:r>
      <w:r w:rsidR="00C02E35">
        <w:rPr>
          <w:color w:val="595959" w:themeColor="text1" w:themeTint="A6"/>
          <w:szCs w:val="24"/>
          <w:lang w:eastAsia="lt-LT"/>
        </w:rPr>
        <w:t>,</w:t>
      </w:r>
      <w:r>
        <w:rPr>
          <w:color w:val="595959" w:themeColor="text1" w:themeTint="A6"/>
          <w:szCs w:val="24"/>
          <w:lang w:eastAsia="lt-LT"/>
        </w:rPr>
        <w:t xml:space="preserve"> </w:t>
      </w:r>
      <w:r w:rsidR="00C02E35">
        <w:rPr>
          <w:color w:val="595959" w:themeColor="text1" w:themeTint="A6"/>
          <w:szCs w:val="24"/>
          <w:lang w:eastAsia="lt-LT"/>
        </w:rPr>
        <w:t xml:space="preserve">projektų vykdytojams </w:t>
      </w:r>
      <w:r>
        <w:rPr>
          <w:color w:val="595959" w:themeColor="text1" w:themeTint="A6"/>
          <w:szCs w:val="24"/>
          <w:lang w:eastAsia="lt-LT"/>
        </w:rPr>
        <w:t xml:space="preserve">išmokėta </w:t>
      </w:r>
      <w:r w:rsidR="00F41DFD">
        <w:rPr>
          <w:color w:val="595959" w:themeColor="text1" w:themeTint="A6"/>
          <w:szCs w:val="24"/>
          <w:lang w:eastAsia="lt-LT"/>
        </w:rPr>
        <w:t>77</w:t>
      </w:r>
      <w:r w:rsidR="00C02E35">
        <w:rPr>
          <w:color w:val="595959" w:themeColor="text1" w:themeTint="A6"/>
          <w:szCs w:val="24"/>
          <w:lang w:eastAsia="lt-LT"/>
        </w:rPr>
        <w:t> </w:t>
      </w:r>
      <w:r>
        <w:rPr>
          <w:color w:val="595959" w:themeColor="text1" w:themeTint="A6"/>
          <w:szCs w:val="24"/>
          <w:lang w:eastAsia="lt-LT"/>
        </w:rPr>
        <w:t xml:space="preserve">proc. skirtų lėšų. ERPF lėšomis finansuojamų priemonių įgyvendinimas </w:t>
      </w:r>
      <w:r w:rsidR="00C02E35">
        <w:rPr>
          <w:color w:val="595959" w:themeColor="text1" w:themeTint="A6"/>
          <w:szCs w:val="24"/>
          <w:lang w:eastAsia="lt-LT"/>
        </w:rPr>
        <w:t>atsilieka: sutarčių sudaryta 9</w:t>
      </w:r>
      <w:r w:rsidR="00F41DFD">
        <w:rPr>
          <w:color w:val="595959" w:themeColor="text1" w:themeTint="A6"/>
          <w:szCs w:val="24"/>
          <w:lang w:eastAsia="lt-LT"/>
        </w:rPr>
        <w:t>3</w:t>
      </w:r>
      <w:r>
        <w:rPr>
          <w:color w:val="595959" w:themeColor="text1" w:themeTint="A6"/>
          <w:szCs w:val="24"/>
          <w:lang w:eastAsia="lt-LT"/>
        </w:rPr>
        <w:t xml:space="preserve"> proc., išmokėta – </w:t>
      </w:r>
      <w:r w:rsidR="00F41DFD">
        <w:rPr>
          <w:color w:val="595959" w:themeColor="text1" w:themeTint="A6"/>
          <w:szCs w:val="24"/>
          <w:lang w:eastAsia="lt-LT"/>
        </w:rPr>
        <w:t>54</w:t>
      </w:r>
      <w:r>
        <w:rPr>
          <w:color w:val="595959" w:themeColor="text1" w:themeTint="A6"/>
          <w:szCs w:val="24"/>
          <w:lang w:eastAsia="lt-LT"/>
        </w:rPr>
        <w:t xml:space="preserve"> proc. skirtų lėšų.</w:t>
      </w:r>
      <w:r w:rsidR="00C02E35">
        <w:rPr>
          <w:color w:val="595959" w:themeColor="text1" w:themeTint="A6"/>
          <w:szCs w:val="24"/>
          <w:lang w:eastAsia="lt-LT"/>
        </w:rPr>
        <w:t xml:space="preserve"> </w:t>
      </w:r>
      <w:r w:rsidR="00C02E35">
        <w:rPr>
          <w:color w:val="595959" w:themeColor="text1" w:themeTint="A6"/>
          <w:lang w:eastAsia="lt-LT"/>
        </w:rPr>
        <w:t xml:space="preserve">Šiame prioritete ministerijai yra sudaryta 12 mln. eurų ERPF lėšų ir 5,3 mln. eurų ESF lėšų </w:t>
      </w:r>
      <w:proofErr w:type="spellStart"/>
      <w:r w:rsidR="00C02E35">
        <w:rPr>
          <w:color w:val="595959" w:themeColor="text1" w:themeTint="A6"/>
          <w:lang w:eastAsia="lt-LT"/>
        </w:rPr>
        <w:t>virškontraktavimo</w:t>
      </w:r>
      <w:proofErr w:type="spellEnd"/>
      <w:r w:rsidR="00C02E35">
        <w:rPr>
          <w:color w:val="595959" w:themeColor="text1" w:themeTint="A6"/>
          <w:lang w:eastAsia="lt-LT"/>
        </w:rPr>
        <w:t xml:space="preserve"> galimybė.</w:t>
      </w:r>
      <w:r w:rsidR="0045373B">
        <w:rPr>
          <w:color w:val="595959" w:themeColor="text1" w:themeTint="A6"/>
          <w:lang w:eastAsia="lt-LT"/>
        </w:rPr>
        <w:t xml:space="preserve"> </w:t>
      </w:r>
      <w:r w:rsidR="005A1317">
        <w:rPr>
          <w:color w:val="595959" w:themeColor="text1" w:themeTint="A6"/>
          <w:lang w:eastAsia="lt-LT"/>
        </w:rPr>
        <w:t>Didžiausia projektams nepaskirstytų lėšų dalis yra paslaugų centrų vaikams (12 mln. eurų) ir institucinės globos pertvarkos (10 mln. eurų) priemonėse, dėl kurių yra suderintas sutarčių atidėjimas.</w:t>
      </w:r>
    </w:p>
    <w:p w:rsidR="00EA5790" w:rsidRPr="00EA5790" w:rsidRDefault="00EA5790" w:rsidP="00EA5790">
      <w:pPr>
        <w:ind w:firstLine="426"/>
        <w:jc w:val="both"/>
        <w:rPr>
          <w:color w:val="595959" w:themeColor="text1" w:themeTint="A6"/>
          <w:szCs w:val="24"/>
          <w:lang w:eastAsia="lt-LT"/>
        </w:rPr>
      </w:pPr>
      <w:r w:rsidRPr="00EA5790">
        <w:rPr>
          <w:color w:val="595959" w:themeColor="text1" w:themeTint="A6"/>
          <w:szCs w:val="24"/>
          <w:lang w:eastAsia="lt-LT"/>
        </w:rPr>
        <w:t xml:space="preserve">Socialinės apsaugos ir darbo ministerija kuruoja socialinės </w:t>
      </w:r>
      <w:proofErr w:type="spellStart"/>
      <w:r w:rsidRPr="00EA5790">
        <w:rPr>
          <w:color w:val="595959" w:themeColor="text1" w:themeTint="A6"/>
          <w:szCs w:val="24"/>
          <w:lang w:eastAsia="lt-LT"/>
        </w:rPr>
        <w:t>įtraukties</w:t>
      </w:r>
      <w:proofErr w:type="spellEnd"/>
      <w:r w:rsidRPr="00EA5790">
        <w:rPr>
          <w:color w:val="595959" w:themeColor="text1" w:themeTint="A6"/>
          <w:szCs w:val="24"/>
          <w:lang w:eastAsia="lt-LT"/>
        </w:rPr>
        <w:t xml:space="preserve"> didinimo ir kovos su skurdu sritį, kurioje numatytos investicijos į socialinių paslaugų sistemos stiprinimą, socialinės integracijos paslaugų pažeidžiamiems asmenims gerinimą, paramą aktyvaus senėjimo sričiai, kompleksinių paslaugų šeimoms plėtojimą, bendruomenėje teikiamų socialinių paslaugų dalies didinimą, perėjimą nuo institucinės globos prie bendruomeninių paslaugų bei savivaldybių socialinio būsto fondo plėtrą.</w:t>
      </w:r>
    </w:p>
    <w:p w:rsidR="006572C4" w:rsidRDefault="00EA5790" w:rsidP="00C5213E">
      <w:pPr>
        <w:ind w:firstLine="426"/>
        <w:jc w:val="both"/>
        <w:rPr>
          <w:color w:val="595959" w:themeColor="text1" w:themeTint="A6"/>
          <w:szCs w:val="24"/>
          <w:lang w:eastAsia="lt-LT"/>
        </w:rPr>
      </w:pPr>
      <w:r w:rsidRPr="00EA5790">
        <w:rPr>
          <w:color w:val="595959" w:themeColor="text1" w:themeTint="A6"/>
          <w:szCs w:val="24"/>
          <w:lang w:eastAsia="lt-LT"/>
        </w:rPr>
        <w:t>Įgyvendinant institucinės globos pertvarką 2014–2020 m. ES lėšomis, prioritetas buvo skiriamas likusiems be tėvų globos vaikams, siekiant iki 2020 m. pabaigos pertvarkyti visas vaikų globos institucijas. Pasirašytos visos sutartys su savivaldybėmis dėl vaikų globos pertvarkai reikalingos infrastruktūros bendruomenėse (14 mln. eurų)</w:t>
      </w:r>
      <w:r w:rsidR="006572C4" w:rsidRPr="00EA5790">
        <w:rPr>
          <w:color w:val="595959" w:themeColor="text1" w:themeTint="A6"/>
          <w:szCs w:val="24"/>
          <w:lang w:eastAsia="lt-LT"/>
        </w:rPr>
        <w:t>.</w:t>
      </w:r>
      <w:r w:rsidR="006572C4">
        <w:rPr>
          <w:color w:val="595959" w:themeColor="text1" w:themeTint="A6"/>
          <w:szCs w:val="24"/>
          <w:lang w:eastAsia="lt-LT"/>
        </w:rPr>
        <w:t xml:space="preserve"> </w:t>
      </w:r>
      <w:r w:rsidR="00C5213E">
        <w:rPr>
          <w:color w:val="595959" w:themeColor="text1" w:themeTint="A6"/>
          <w:szCs w:val="24"/>
          <w:lang w:eastAsia="lt-LT"/>
        </w:rPr>
        <w:t xml:space="preserve">Pertvarkos procesai buvo įgyvendinami palaipsniui, plėtojant bendruomenines paslaugas ir joms reikalingą infrastruktūrą. </w:t>
      </w:r>
      <w:r w:rsidR="00C5213E" w:rsidRPr="0045373B">
        <w:rPr>
          <w:color w:val="595959" w:themeColor="text1" w:themeTint="A6"/>
          <w:szCs w:val="24"/>
          <w:lang w:eastAsia="lt-LT"/>
        </w:rPr>
        <w:t xml:space="preserve">2018 m. pradėtas plėtoti bendruomeninių vaikų globos namų (toliau </w:t>
      </w:r>
      <w:r w:rsidR="00C5213E" w:rsidRPr="00EA5790">
        <w:rPr>
          <w:color w:val="595959" w:themeColor="text1" w:themeTint="A6"/>
          <w:szCs w:val="24"/>
          <w:lang w:eastAsia="lt-LT"/>
        </w:rPr>
        <w:t>–</w:t>
      </w:r>
      <w:r w:rsidR="00C5213E" w:rsidRPr="0045373B">
        <w:rPr>
          <w:color w:val="595959" w:themeColor="text1" w:themeTint="A6"/>
          <w:szCs w:val="24"/>
          <w:lang w:eastAsia="lt-LT"/>
        </w:rPr>
        <w:t xml:space="preserve"> BVGN) ir vaikų dienos centrų (toliau </w:t>
      </w:r>
      <w:r w:rsidR="00C5213E" w:rsidRPr="00EA5790">
        <w:rPr>
          <w:color w:val="595959" w:themeColor="text1" w:themeTint="A6"/>
          <w:szCs w:val="24"/>
          <w:lang w:eastAsia="lt-LT"/>
        </w:rPr>
        <w:t>–</w:t>
      </w:r>
      <w:r w:rsidR="00C5213E" w:rsidRPr="0045373B">
        <w:rPr>
          <w:color w:val="595959" w:themeColor="text1" w:themeTint="A6"/>
          <w:szCs w:val="24"/>
          <w:lang w:eastAsia="lt-LT"/>
        </w:rPr>
        <w:t>VDC) tinklas. Siekiant alternatyviais būdais vaikams užtikrinti galimybę augti šeimyninio tipo aplinkoje, pereinamajam laikotarpiui, priimtas sprendimas vaikus iš institucinės globos įstaigos perkelti į BVGN. Kartu, kaip prevencinę priemonę tam, kad į globos namus nebepatektų „nauji“ vaikai, savivaldybėse plėtojamas VDC tinklas. Finansuoti 85 BVGN ir 105 VDC. 2019 m. pradėtos plėtoti globos centrų bei mobiliųjų komandų paslaugos, siekiant, kad nauji paslaugų gavėjai, šiuo metu negyvenantys vaikų globos įstaigose, nebepatektų į stacionarias įstaigas dėl išvystytų nestacionarių paslaugų bendruomenėje, dėl teikiamų kokybiškų paslaugų globos centruose, mažėtų globėjų nušalinimų, globos atsisakymų, o dėl mobiliosios komandos kokybiško, intensyvaus ir operatyvaus reagavimo, vaikai, kuriems nustatyta globa, greičiau iš globėjų šeimų būtų grąžinti į biologines šeimas.</w:t>
      </w:r>
    </w:p>
    <w:p w:rsidR="00EA5790" w:rsidRDefault="00EA5790" w:rsidP="00EA5790">
      <w:pPr>
        <w:ind w:firstLine="426"/>
        <w:jc w:val="both"/>
        <w:rPr>
          <w:color w:val="595959" w:themeColor="text1" w:themeTint="A6"/>
          <w:szCs w:val="24"/>
          <w:lang w:eastAsia="lt-LT"/>
        </w:rPr>
      </w:pPr>
      <w:r w:rsidRPr="00EA5790">
        <w:rPr>
          <w:color w:val="595959" w:themeColor="text1" w:themeTint="A6"/>
          <w:szCs w:val="24"/>
          <w:lang w:eastAsia="lt-LT"/>
        </w:rPr>
        <w:t>Tuo tarpu neįgaliųjų institucinės globos pertvarkos procesas vėlavo, iki 2020 m. pab. pasirašyta sutarčių už 25,49 mln. eurų, likusias sutartis, kurių vertė 10,94 mln. eurų planuojama pasirašyti iki 2021 m. balandžio 30 d. Šiame finansavimo periode investuojama į 6 regionuose esančių neįgaliųjų globos įstaigų pertvarką (plėtojama specializuota slauga-socialinė globa, grupinio gyvenimo namai, savarankiško gyvenimo namai, apsaugotas būstas, taip pat infrastruktūra, reikalinga neįgalių asmenų dienos užimtumui užtikrinti). Investicijos bus tęsiamos 2021–2027 m. Socialinė</w:t>
      </w:r>
      <w:r w:rsidR="0045373B">
        <w:rPr>
          <w:color w:val="595959" w:themeColor="text1" w:themeTint="A6"/>
          <w:szCs w:val="24"/>
          <w:lang w:eastAsia="lt-LT"/>
        </w:rPr>
        <w:t>s apsaugos ir darbo ministerija</w:t>
      </w:r>
      <w:r w:rsidR="00CE10E2">
        <w:rPr>
          <w:color w:val="595959" w:themeColor="text1" w:themeTint="A6"/>
          <w:szCs w:val="24"/>
          <w:lang w:eastAsia="lt-LT"/>
        </w:rPr>
        <w:t>i</w:t>
      </w:r>
      <w:r w:rsidRPr="00EA5790">
        <w:rPr>
          <w:color w:val="595959" w:themeColor="text1" w:themeTint="A6"/>
          <w:szCs w:val="24"/>
          <w:lang w:eastAsia="lt-LT"/>
        </w:rPr>
        <w:t xml:space="preserve"> parengus planuojamų paslaugų visoje Lietuvoje žemėlapį. Taip pat šiuo metu yra vertinami projektai, nukreipti į infrastruktūros plėtrą vaikams su negalia, vaikams, kurie dėl sveikatos būklės ar raidos sutrikimų turi specialiųjų poreikių ir jų šeimų nariams, siekiant sudaryti sąlygas kompleksinių paslaugų teikimui pagal individualius vaiko poreikius. Gautų paraiškų vertė kvietimui skirtą sumą (14,11 mln. eurų) viršijo 26,87 mln. eurų, užsitęsus paraiškų vertinimo procesui, </w:t>
      </w:r>
      <w:r w:rsidR="00B562CC">
        <w:rPr>
          <w:color w:val="595959" w:themeColor="text1" w:themeTint="A6"/>
          <w:szCs w:val="24"/>
          <w:lang w:eastAsia="lt-LT"/>
        </w:rPr>
        <w:t xml:space="preserve">projektų sutartis numatoma sudaryti iki </w:t>
      </w:r>
      <w:r w:rsidR="00B562CC" w:rsidRPr="00EA5790">
        <w:rPr>
          <w:color w:val="595959" w:themeColor="text1" w:themeTint="A6"/>
          <w:szCs w:val="24"/>
          <w:lang w:eastAsia="lt-LT"/>
        </w:rPr>
        <w:t xml:space="preserve">2021 m. </w:t>
      </w:r>
      <w:r w:rsidR="00B562CC">
        <w:rPr>
          <w:color w:val="595959" w:themeColor="text1" w:themeTint="A6"/>
          <w:szCs w:val="24"/>
          <w:lang w:eastAsia="lt-LT"/>
        </w:rPr>
        <w:t xml:space="preserve">balandžio </w:t>
      </w:r>
      <w:r w:rsidR="00B562CC">
        <w:rPr>
          <w:color w:val="595959" w:themeColor="text1" w:themeTint="A6"/>
          <w:szCs w:val="24"/>
          <w:lang w:val="en-GB" w:eastAsia="lt-LT"/>
        </w:rPr>
        <w:t xml:space="preserve">30 d. </w:t>
      </w:r>
    </w:p>
    <w:p w:rsidR="006572C4" w:rsidRPr="00C378E2" w:rsidRDefault="006572C4" w:rsidP="006572C4">
      <w:pPr>
        <w:ind w:firstLine="426"/>
        <w:jc w:val="both"/>
        <w:rPr>
          <w:color w:val="595959" w:themeColor="text1" w:themeTint="A6"/>
          <w:szCs w:val="24"/>
          <w:lang w:eastAsia="lt-LT"/>
        </w:rPr>
      </w:pPr>
      <w:r w:rsidRPr="000B3F17">
        <w:rPr>
          <w:color w:val="595959" w:themeColor="text1" w:themeTint="A6"/>
          <w:szCs w:val="24"/>
          <w:lang w:eastAsia="lt-LT"/>
        </w:rPr>
        <w:t xml:space="preserve">Pertvarkant socialinės globos sistemą, siekiant sudaryti sąlygas neįgaliesiems, jų šeimoms gauti individualias jų poreikius atitinkančias bendruomenines paslaugas ir siekiant užtikrinti šių asmenų </w:t>
      </w:r>
      <w:r w:rsidRPr="000B3F17">
        <w:rPr>
          <w:color w:val="595959" w:themeColor="text1" w:themeTint="A6"/>
          <w:szCs w:val="24"/>
          <w:lang w:eastAsia="lt-LT"/>
        </w:rPr>
        <w:lastRenderedPageBreak/>
        <w:t>savarankiškumą</w:t>
      </w:r>
      <w:r>
        <w:rPr>
          <w:color w:val="595959" w:themeColor="text1" w:themeTint="A6"/>
          <w:szCs w:val="24"/>
          <w:lang w:eastAsia="lt-LT"/>
        </w:rPr>
        <w:t>,</w:t>
      </w:r>
      <w:r w:rsidRPr="000B3F17">
        <w:rPr>
          <w:color w:val="595959" w:themeColor="text1" w:themeTint="A6"/>
          <w:szCs w:val="24"/>
          <w:lang w:eastAsia="lt-LT"/>
        </w:rPr>
        <w:t xml:space="preserve"> savivaldybėse </w:t>
      </w:r>
      <w:r>
        <w:rPr>
          <w:color w:val="595959" w:themeColor="text1" w:themeTint="A6"/>
          <w:szCs w:val="24"/>
          <w:lang w:eastAsia="lt-LT"/>
        </w:rPr>
        <w:t>teikiama</w:t>
      </w:r>
      <w:r w:rsidRPr="000B3F17">
        <w:rPr>
          <w:color w:val="595959" w:themeColor="text1" w:themeTint="A6"/>
          <w:szCs w:val="24"/>
          <w:lang w:eastAsia="lt-LT"/>
        </w:rPr>
        <w:t xml:space="preserve"> asmeninio asistento</w:t>
      </w:r>
      <w:r>
        <w:rPr>
          <w:color w:val="595959" w:themeColor="text1" w:themeTint="A6"/>
          <w:szCs w:val="24"/>
          <w:lang w:eastAsia="lt-LT"/>
        </w:rPr>
        <w:t xml:space="preserve"> </w:t>
      </w:r>
      <w:r w:rsidR="00C378E2">
        <w:rPr>
          <w:color w:val="595959" w:themeColor="text1" w:themeTint="A6"/>
          <w:szCs w:val="24"/>
          <w:lang w:eastAsia="lt-LT"/>
        </w:rPr>
        <w:t xml:space="preserve">(toliau </w:t>
      </w:r>
      <w:r w:rsidR="00C378E2" w:rsidRPr="00EA5790">
        <w:rPr>
          <w:color w:val="595959" w:themeColor="text1" w:themeTint="A6"/>
          <w:szCs w:val="24"/>
          <w:lang w:eastAsia="lt-LT"/>
        </w:rPr>
        <w:t>–</w:t>
      </w:r>
      <w:r w:rsidR="00C378E2">
        <w:rPr>
          <w:color w:val="595959" w:themeColor="text1" w:themeTint="A6"/>
          <w:szCs w:val="24"/>
          <w:lang w:eastAsia="lt-LT"/>
        </w:rPr>
        <w:t xml:space="preserve"> AA)</w:t>
      </w:r>
      <w:r w:rsidR="00C378E2" w:rsidRPr="000B3F17">
        <w:rPr>
          <w:color w:val="595959" w:themeColor="text1" w:themeTint="A6"/>
          <w:szCs w:val="24"/>
          <w:lang w:eastAsia="lt-LT"/>
        </w:rPr>
        <w:t xml:space="preserve"> </w:t>
      </w:r>
      <w:r w:rsidRPr="000B3F17">
        <w:rPr>
          <w:color w:val="595959" w:themeColor="text1" w:themeTint="A6"/>
          <w:szCs w:val="24"/>
          <w:lang w:eastAsia="lt-LT"/>
        </w:rPr>
        <w:t>paslauga</w:t>
      </w:r>
      <w:r w:rsidR="00C378E2">
        <w:rPr>
          <w:color w:val="595959" w:themeColor="text1" w:themeTint="A6"/>
          <w:szCs w:val="24"/>
          <w:lang w:eastAsia="lt-LT"/>
        </w:rPr>
        <w:t xml:space="preserve"> </w:t>
      </w:r>
      <w:r w:rsidRPr="000B3F17">
        <w:rPr>
          <w:color w:val="595959" w:themeColor="text1" w:themeTint="A6"/>
          <w:szCs w:val="24"/>
          <w:lang w:eastAsia="lt-LT"/>
        </w:rPr>
        <w:t>fizinę ir (ar) kompleksinę negalią turintiems asmenims (</w:t>
      </w:r>
      <w:r>
        <w:rPr>
          <w:color w:val="595959" w:themeColor="text1" w:themeTint="A6"/>
          <w:szCs w:val="24"/>
          <w:lang w:eastAsia="lt-LT"/>
        </w:rPr>
        <w:t xml:space="preserve">skirta </w:t>
      </w:r>
      <w:r w:rsidRPr="0045373B">
        <w:rPr>
          <w:color w:val="595959" w:themeColor="text1" w:themeTint="A6"/>
          <w:szCs w:val="24"/>
          <w:lang w:eastAsia="lt-LT"/>
        </w:rPr>
        <w:t xml:space="preserve">5 mln. eurų). </w:t>
      </w:r>
      <w:r w:rsidR="00C378E2" w:rsidRPr="0045373B">
        <w:rPr>
          <w:color w:val="595959" w:themeColor="text1" w:themeTint="A6"/>
          <w:szCs w:val="24"/>
          <w:lang w:eastAsia="lt-LT"/>
        </w:rPr>
        <w:t>Svarbiausias AA uždavinys – ne atlikti veiksmus už neįgalųjį, o atlikti kartu su juo.</w:t>
      </w:r>
      <w:r w:rsidR="0045373B">
        <w:rPr>
          <w:color w:val="595959" w:themeColor="text1" w:themeTint="A6"/>
          <w:szCs w:val="24"/>
          <w:lang w:eastAsia="lt-LT"/>
        </w:rPr>
        <w:t xml:space="preserve"> </w:t>
      </w:r>
      <w:r w:rsidR="00C378E2" w:rsidRPr="0045373B">
        <w:rPr>
          <w:color w:val="595959" w:themeColor="text1" w:themeTint="A6"/>
          <w:szCs w:val="24"/>
          <w:lang w:eastAsia="lt-LT"/>
        </w:rPr>
        <w:t>Prognozuojama, kad užtikrinus ilgalaikę asmeninę pagalbą į darbus galės grįžti 50-70 proc. neįgaliųjų šeimos narių, kurie iki šiol užsiimdavo namiškio su negalia priežiūra. Taip pat turėtų padidėti ir dirbančių neįgaliųjų skaičius.</w:t>
      </w:r>
    </w:p>
    <w:p w:rsidR="00EA5790" w:rsidRPr="00EA5790" w:rsidRDefault="00EA5790" w:rsidP="00EA5790">
      <w:pPr>
        <w:ind w:firstLine="426"/>
        <w:jc w:val="both"/>
        <w:rPr>
          <w:color w:val="595959" w:themeColor="text1" w:themeTint="A6"/>
          <w:szCs w:val="24"/>
          <w:lang w:eastAsia="lt-LT"/>
        </w:rPr>
      </w:pPr>
      <w:r w:rsidRPr="00EA5790">
        <w:rPr>
          <w:color w:val="595959" w:themeColor="text1" w:themeTint="A6"/>
          <w:szCs w:val="24"/>
          <w:lang w:eastAsia="lt-LT"/>
        </w:rPr>
        <w:t>ES lėšomis taip pat finansuojama integrali pagalba (socialinės globos ir slaugos paslaugos) į namus (skirta 30 mln. eurų). Atsižvelgiant į vis didėjantį tokių paslaugų poreikį, Socialinės apsaugos ir darbo ministerija kartu su Sveikatos apsaugos ministerija parengė Ilgalaikės priežiūros paslaugų koncepciją, kurioje numatyta socialinės globos ir slaugos paslaugų integravimas ir plėtra bei bendro finansavimo mechanizmo sukūrimas. Tam, kad planuojama reforma ilgalaikės priežiūros srityje būtų sėkmingai įgyvendinta, būtinas aktyvus Sveikatos apsaugos ministerijos ir Socialinės apsaugos ir darbo ministerijos bendradarbiavimas.</w:t>
      </w:r>
    </w:p>
    <w:p w:rsidR="009856C4" w:rsidRDefault="00EA5790" w:rsidP="00EA5790">
      <w:pPr>
        <w:ind w:firstLine="426"/>
        <w:jc w:val="both"/>
        <w:rPr>
          <w:color w:val="595959" w:themeColor="text1" w:themeTint="A6"/>
          <w:szCs w:val="24"/>
          <w:lang w:eastAsia="lt-LT"/>
        </w:rPr>
      </w:pPr>
      <w:r w:rsidRPr="00EA5790">
        <w:rPr>
          <w:color w:val="595959" w:themeColor="text1" w:themeTint="A6"/>
          <w:szCs w:val="24"/>
          <w:lang w:eastAsia="lt-LT"/>
        </w:rPr>
        <w:t>Sprendžiant socialinio būsto trūkumo problemą, skirtas finansavimas (49,93 mln. eurų) socialinio būsto fondo plėtrai, statant naujus arba rekonstruojant ir pritaikant būsto paskirčiai esamus pastatus bei perkant gyvenamuosius namus ar butus. 2021–2027 m. ES lėšomis planuojamos investicijos į socialinio būsto fondo plėtrą neįgaliesiems ir gausioms šeimoms, kadangi socialinio būsto rinka šioms tikslinėms grupėms daugelyje savivaldybių nėra pakankama.</w:t>
      </w:r>
    </w:p>
    <w:p w:rsidR="00162CFC" w:rsidRPr="00162CFC" w:rsidRDefault="00162CFC" w:rsidP="00EA5790">
      <w:pPr>
        <w:ind w:firstLine="426"/>
        <w:jc w:val="both"/>
        <w:rPr>
          <w:color w:val="595959" w:themeColor="text1" w:themeTint="A6"/>
          <w:szCs w:val="24"/>
          <w:lang w:eastAsia="lt-LT"/>
        </w:rPr>
      </w:pPr>
      <w:r>
        <w:rPr>
          <w:color w:val="595959" w:themeColor="text1" w:themeTint="A6"/>
          <w:szCs w:val="24"/>
          <w:lang w:eastAsia="lt-LT"/>
        </w:rPr>
        <w:t xml:space="preserve">Planuojant </w:t>
      </w:r>
      <w:r w:rsidR="00AB666C">
        <w:rPr>
          <w:color w:val="595959" w:themeColor="text1" w:themeTint="A6"/>
          <w:szCs w:val="24"/>
          <w:lang w:eastAsia="lt-LT"/>
        </w:rPr>
        <w:t>prieinamą būstą</w:t>
      </w:r>
      <w:r>
        <w:rPr>
          <w:color w:val="595959" w:themeColor="text1" w:themeTint="A6"/>
          <w:szCs w:val="24"/>
          <w:lang w:eastAsia="lt-LT"/>
        </w:rPr>
        <w:t xml:space="preserve"> socialiai pažeidžiamiems gyventojams ir ruošiantis naujam socialinio būsto formavimo modeliui po </w:t>
      </w:r>
      <w:r w:rsidRPr="0045373B">
        <w:rPr>
          <w:color w:val="595959" w:themeColor="text1" w:themeTint="A6"/>
          <w:szCs w:val="24"/>
          <w:lang w:eastAsia="lt-LT"/>
        </w:rPr>
        <w:t>2020 met</w:t>
      </w:r>
      <w:r>
        <w:rPr>
          <w:color w:val="595959" w:themeColor="text1" w:themeTint="A6"/>
          <w:szCs w:val="24"/>
          <w:lang w:eastAsia="lt-LT"/>
        </w:rPr>
        <w:t>ų, siūloma įvertinti galimybes taikyti finansines priemones, pritraukiant privačias lėšas (remtis Finansų ministerijos užsakymu</w:t>
      </w:r>
      <w:r w:rsidR="004C3B68">
        <w:rPr>
          <w:color w:val="595959" w:themeColor="text1" w:themeTint="A6"/>
          <w:szCs w:val="24"/>
          <w:lang w:eastAsia="lt-LT"/>
        </w:rPr>
        <w:t xml:space="preserve"> atliekamu</w:t>
      </w:r>
      <w:r>
        <w:rPr>
          <w:color w:val="595959" w:themeColor="text1" w:themeTint="A6"/>
          <w:szCs w:val="24"/>
          <w:lang w:eastAsia="lt-LT"/>
        </w:rPr>
        <w:t xml:space="preserve"> </w:t>
      </w:r>
      <w:proofErr w:type="spellStart"/>
      <w:r>
        <w:rPr>
          <w:color w:val="595959" w:themeColor="text1" w:themeTint="A6"/>
          <w:szCs w:val="24"/>
          <w:lang w:eastAsia="lt-LT"/>
        </w:rPr>
        <w:t>ex-ante</w:t>
      </w:r>
      <w:proofErr w:type="spellEnd"/>
      <w:r>
        <w:rPr>
          <w:color w:val="595959" w:themeColor="text1" w:themeTint="A6"/>
          <w:szCs w:val="24"/>
          <w:lang w:eastAsia="lt-LT"/>
        </w:rPr>
        <w:t xml:space="preserve"> vertinimu).</w:t>
      </w:r>
    </w:p>
    <w:p w:rsidR="005813A7" w:rsidRDefault="00432F33" w:rsidP="0045373B">
      <w:pPr>
        <w:pStyle w:val="tekstas"/>
        <w:rPr>
          <w:rFonts w:ascii="Times New Roman" w:hAnsi="Times New Roman"/>
          <w:color w:val="595959" w:themeColor="text1" w:themeTint="A6"/>
          <w:lang w:eastAsia="lt-LT"/>
        </w:rPr>
      </w:pPr>
      <w:r w:rsidRPr="0045373B">
        <w:rPr>
          <w:rFonts w:ascii="Times New Roman" w:hAnsi="Times New Roman"/>
          <w:color w:val="595959" w:themeColor="text1" w:themeTint="A6"/>
          <w:lang w:eastAsia="lt-LT"/>
        </w:rPr>
        <w:t>Skatinant socialinį verslumą ir socialinę atsakomybę didinančių iniciatyvų atsiradimą, investuota į socialinio dialogo ir socialinės atsakomybės skatinimą (skirta 3,5 mln. eurų). Siekiant įvertinti ES fondų investicijų į socialinį dialogą poveikį šiuo finansavimo periodu ir investicijų į socialinio dialogo plėtrą 2021–2027 m. finansavimo laikotarpiu kryptis, buvo atliktas Socialinio dialogo kokybės ir plėtros Lietuvoje vertinima</w:t>
      </w:r>
      <w:r w:rsidR="00994D72" w:rsidRPr="0045373B">
        <w:rPr>
          <w:rFonts w:ascii="Times New Roman" w:hAnsi="Times New Roman"/>
          <w:color w:val="595959" w:themeColor="text1" w:themeTint="A6"/>
          <w:lang w:eastAsia="lt-LT"/>
        </w:rPr>
        <w:t>s.</w:t>
      </w:r>
      <w:r w:rsidR="0045373B">
        <w:rPr>
          <w:rFonts w:ascii="Times New Roman" w:hAnsi="Times New Roman"/>
          <w:color w:val="595959" w:themeColor="text1" w:themeTint="A6"/>
          <w:lang w:eastAsia="lt-LT"/>
        </w:rPr>
        <w:t xml:space="preserve"> </w:t>
      </w:r>
    </w:p>
    <w:p w:rsidR="00B34E12" w:rsidRDefault="00994D72" w:rsidP="0045373B">
      <w:pPr>
        <w:pStyle w:val="tekstas"/>
        <w:rPr>
          <w:rFonts w:ascii="Times New Roman" w:hAnsi="Times New Roman"/>
          <w:color w:val="595959" w:themeColor="text1" w:themeTint="A6"/>
          <w:lang w:eastAsia="lt-LT"/>
        </w:rPr>
      </w:pPr>
      <w:r w:rsidRPr="0045373B">
        <w:rPr>
          <w:rFonts w:ascii="Times New Roman" w:hAnsi="Times New Roman"/>
          <w:color w:val="595959" w:themeColor="text1" w:themeTint="A6"/>
          <w:lang w:eastAsia="lt-LT"/>
        </w:rPr>
        <w:t>Atkreiptinas dėmesys, kad 2020-10-02 Finansų ministerija pasirašė sutartį su Europos investicijų banku (toliau – EIB) dėl galimybių studijos socialinio poveikio investicijoms Lietuvoje, šia sutartimi numatoma taip pat parengti socialinio poveikio modelį pirmam pilotiniam projektui įgyvendinti. Galimybių studiją atliks ir finansuos EIB. Finansų ministerija skatina ir kviečia institucijas naudoti socialines inovacijas bei įvertinti jų suteikiamas galimybes pritraukiant privačias investicijas bei orientuojantis ne į paslaugų ir prekių pirkimą, bet į rezultatais pagrįstą naudą.</w:t>
      </w:r>
    </w:p>
    <w:p w:rsidR="0045373B" w:rsidRPr="0045373B" w:rsidRDefault="0045373B" w:rsidP="00994D72">
      <w:pPr>
        <w:pStyle w:val="tekstas"/>
        <w:tabs>
          <w:tab w:val="left" w:pos="426"/>
        </w:tabs>
        <w:ind w:firstLine="0"/>
        <w:rPr>
          <w:rFonts w:ascii="Times New Roman" w:hAnsi="Times New Roman"/>
          <w:color w:val="595959" w:themeColor="text1" w:themeTint="A6"/>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EA5790" w:rsidRPr="00295337" w:rsidTr="00574E3F">
        <w:tc>
          <w:tcPr>
            <w:tcW w:w="9638" w:type="dxa"/>
            <w:tcBorders>
              <w:top w:val="nil"/>
              <w:left w:val="nil"/>
              <w:bottom w:val="nil"/>
              <w:right w:val="nil"/>
            </w:tcBorders>
            <w:shd w:val="clear" w:color="auto" w:fill="D9D9D9" w:themeFill="background1" w:themeFillShade="D9"/>
          </w:tcPr>
          <w:p w:rsidR="00EA5790" w:rsidRPr="00153842" w:rsidRDefault="00EA5790" w:rsidP="00574E3F">
            <w:pPr>
              <w:jc w:val="both"/>
              <w:rPr>
                <w:b/>
                <w:color w:val="365F91" w:themeColor="accent1" w:themeShade="BF"/>
                <w:szCs w:val="24"/>
              </w:rPr>
            </w:pPr>
            <w:r w:rsidRPr="00153842">
              <w:rPr>
                <w:b/>
                <w:color w:val="365F91" w:themeColor="accent1" w:themeShade="BF"/>
                <w:szCs w:val="24"/>
              </w:rPr>
              <w:t>Siūlyma</w:t>
            </w:r>
            <w:r>
              <w:rPr>
                <w:b/>
                <w:color w:val="365F91" w:themeColor="accent1" w:themeShade="BF"/>
                <w:szCs w:val="24"/>
              </w:rPr>
              <w:t>i</w:t>
            </w:r>
            <w:r w:rsidRPr="00153842">
              <w:rPr>
                <w:b/>
                <w:color w:val="365F91" w:themeColor="accent1" w:themeShade="BF"/>
                <w:szCs w:val="24"/>
              </w:rPr>
              <w:t xml:space="preserve"> Socialinės apsaugos ir darbo ministerijai:</w:t>
            </w:r>
          </w:p>
          <w:p w:rsidR="005E4776" w:rsidRPr="0045373B" w:rsidRDefault="00EA5790" w:rsidP="005E4776">
            <w:pPr>
              <w:pStyle w:val="Sraopastraipa"/>
              <w:tabs>
                <w:tab w:val="left" w:pos="567"/>
              </w:tabs>
              <w:spacing w:after="0" w:line="240" w:lineRule="auto"/>
              <w:ind w:left="0"/>
              <w:jc w:val="both"/>
              <w:rPr>
                <w:rFonts w:ascii="Times New Roman" w:eastAsia="Times New Roman" w:hAnsi="Times New Roman"/>
                <w:color w:val="365F91" w:themeColor="accent1" w:themeShade="BF"/>
                <w:sz w:val="24"/>
                <w:szCs w:val="20"/>
              </w:rPr>
            </w:pPr>
            <w:r w:rsidRPr="0045373B">
              <w:rPr>
                <w:rFonts w:ascii="Times New Roman" w:eastAsia="Times New Roman" w:hAnsi="Times New Roman"/>
                <w:color w:val="365F91" w:themeColor="accent1" w:themeShade="BF"/>
                <w:sz w:val="24"/>
                <w:szCs w:val="20"/>
              </w:rPr>
              <w:t xml:space="preserve">- </w:t>
            </w:r>
            <w:r w:rsidR="005E4776" w:rsidRPr="0045373B">
              <w:rPr>
                <w:rFonts w:ascii="Times New Roman" w:eastAsia="Times New Roman" w:hAnsi="Times New Roman"/>
                <w:color w:val="365F91" w:themeColor="accent1" w:themeShade="BF"/>
                <w:sz w:val="24"/>
                <w:szCs w:val="20"/>
              </w:rPr>
              <w:t>aktyviai bendradarbiauti</w:t>
            </w:r>
            <w:r w:rsidR="00CE10E2">
              <w:rPr>
                <w:rFonts w:ascii="Times New Roman" w:eastAsia="Times New Roman" w:hAnsi="Times New Roman"/>
                <w:color w:val="365F91" w:themeColor="accent1" w:themeShade="BF"/>
                <w:sz w:val="24"/>
                <w:szCs w:val="20"/>
              </w:rPr>
              <w:t xml:space="preserve"> Sveikatos apsaugos ministerija</w:t>
            </w:r>
            <w:r w:rsidR="00567B42">
              <w:rPr>
                <w:rFonts w:ascii="Times New Roman" w:eastAsia="Times New Roman" w:hAnsi="Times New Roman"/>
                <w:color w:val="365F91" w:themeColor="accent1" w:themeShade="BF"/>
                <w:sz w:val="24"/>
                <w:szCs w:val="20"/>
              </w:rPr>
              <w:t>i</w:t>
            </w:r>
            <w:r w:rsidR="005E4776" w:rsidRPr="0045373B">
              <w:rPr>
                <w:rFonts w:ascii="Times New Roman" w:eastAsia="Times New Roman" w:hAnsi="Times New Roman"/>
                <w:color w:val="365F91" w:themeColor="accent1" w:themeShade="BF"/>
                <w:sz w:val="24"/>
                <w:szCs w:val="20"/>
              </w:rPr>
              <w:t xml:space="preserve"> kuriant naują integruotų (slaugos ir globos) ilgalaikės priežiūros paslaugų teikimo mechanizmą, siekiant investuoti į sisteminius veiksmus, pagrįstus bendru susitarimu, įtvirtintu bendroje koncepcijoje;</w:t>
            </w:r>
          </w:p>
          <w:p w:rsidR="00EA5790" w:rsidRPr="00C378E2" w:rsidRDefault="005E4776" w:rsidP="00C378E2">
            <w:pPr>
              <w:pStyle w:val="Sraopastraipa"/>
              <w:tabs>
                <w:tab w:val="left" w:pos="567"/>
              </w:tabs>
              <w:spacing w:after="0" w:line="240" w:lineRule="auto"/>
              <w:ind w:left="0"/>
              <w:jc w:val="both"/>
              <w:rPr>
                <w:rFonts w:ascii="Times New Roman" w:eastAsiaTheme="minorHAnsi" w:hAnsi="Times New Roman"/>
                <w:iCs/>
                <w:color w:val="000000"/>
                <w:sz w:val="24"/>
                <w:szCs w:val="24"/>
              </w:rPr>
            </w:pPr>
            <w:r w:rsidRPr="0045373B">
              <w:rPr>
                <w:rFonts w:ascii="Times New Roman" w:eastAsia="Times New Roman" w:hAnsi="Times New Roman"/>
                <w:color w:val="365F91" w:themeColor="accent1" w:themeShade="BF"/>
                <w:sz w:val="24"/>
                <w:szCs w:val="20"/>
              </w:rPr>
              <w:t>- plečiant socialinio dialogo mastą ir kokybę</w:t>
            </w:r>
            <w:r w:rsidR="00567B42">
              <w:rPr>
                <w:rFonts w:ascii="Times New Roman" w:eastAsia="Times New Roman" w:hAnsi="Times New Roman"/>
                <w:color w:val="365F91" w:themeColor="accent1" w:themeShade="BF"/>
                <w:sz w:val="24"/>
                <w:szCs w:val="20"/>
              </w:rPr>
              <w:t>,</w:t>
            </w:r>
            <w:r w:rsidRPr="0045373B">
              <w:rPr>
                <w:rFonts w:ascii="Times New Roman" w:eastAsia="Times New Roman" w:hAnsi="Times New Roman"/>
                <w:color w:val="365F91" w:themeColor="accent1" w:themeShade="BF"/>
                <w:sz w:val="24"/>
                <w:szCs w:val="20"/>
              </w:rPr>
              <w:t xml:space="preserve"> investuojant 2021–2027 m. ES fondų lėšas, remtis 2020 m. atliktu Socialinio dialogo kokybės ir plėtros Lietuvoje vertinimu (2020 m.) ir jame pateiktomis rekomendacijomis.</w:t>
            </w:r>
          </w:p>
        </w:tc>
      </w:tr>
    </w:tbl>
    <w:p w:rsidR="00EA5790" w:rsidRDefault="00EA5790" w:rsidP="00EA5790">
      <w:pPr>
        <w:jc w:val="both"/>
        <w:rPr>
          <w:color w:val="595959" w:themeColor="text1" w:themeTint="A6"/>
          <w:szCs w:val="24"/>
          <w:lang w:eastAsia="lt-LT"/>
        </w:rPr>
      </w:pPr>
    </w:p>
    <w:p w:rsidR="00C92FA0" w:rsidRDefault="00F41DFD" w:rsidP="00B3224A">
      <w:pPr>
        <w:jc w:val="both"/>
        <w:rPr>
          <w:color w:val="595959" w:themeColor="text1" w:themeTint="A6"/>
          <w:szCs w:val="24"/>
          <w:lang w:eastAsia="lt-LT"/>
        </w:rPr>
      </w:pPr>
      <w:r>
        <w:rPr>
          <w:noProof/>
          <w:lang w:eastAsia="lt-LT"/>
        </w:rPr>
        <w:drawing>
          <wp:inline distT="0" distB="0" distL="0" distR="0" wp14:anchorId="23FA4366" wp14:editId="2043E50F">
            <wp:extent cx="6120130" cy="928441"/>
            <wp:effectExtent l="0" t="0" r="13970" b="24130"/>
            <wp:docPr id="410" name="Diagrama 4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C92FA0" w:rsidRDefault="00C92FA0" w:rsidP="00B3224A">
      <w:pPr>
        <w:jc w:val="both"/>
        <w:rPr>
          <w:color w:val="595959" w:themeColor="text1" w:themeTint="A6"/>
          <w:szCs w:val="24"/>
          <w:lang w:eastAsia="lt-LT"/>
        </w:rPr>
      </w:pPr>
    </w:p>
    <w:p w:rsidR="00280AA8" w:rsidRDefault="00280AA8" w:rsidP="00280AA8">
      <w:pPr>
        <w:ind w:firstLine="426"/>
        <w:jc w:val="both"/>
        <w:rPr>
          <w:color w:val="595959" w:themeColor="text1" w:themeTint="A6"/>
          <w:szCs w:val="24"/>
          <w:lang w:eastAsia="lt-LT"/>
        </w:rPr>
      </w:pPr>
      <w:r>
        <w:rPr>
          <w:color w:val="595959" w:themeColor="text1" w:themeTint="A6"/>
          <w:szCs w:val="24"/>
          <w:lang w:eastAsia="lt-LT"/>
        </w:rPr>
        <w:t>Sveikatos ap</w:t>
      </w:r>
      <w:r w:rsidR="00C02E35">
        <w:rPr>
          <w:color w:val="595959" w:themeColor="text1" w:themeTint="A6"/>
          <w:szCs w:val="24"/>
          <w:lang w:eastAsia="lt-LT"/>
        </w:rPr>
        <w:t xml:space="preserve">saugos ministerijos 8 prioriteto administruojamose priemonėse sutarčių pasirašyta visai skirtų lėšų sumai. </w:t>
      </w:r>
      <w:r>
        <w:rPr>
          <w:color w:val="595959" w:themeColor="text1" w:themeTint="A6"/>
          <w:szCs w:val="24"/>
          <w:lang w:eastAsia="lt-LT"/>
        </w:rPr>
        <w:t xml:space="preserve">Taip pat, ministerijai yra numatyta </w:t>
      </w:r>
      <w:r w:rsidR="00C02E35">
        <w:rPr>
          <w:color w:val="595959" w:themeColor="text1" w:themeTint="A6"/>
          <w:szCs w:val="24"/>
          <w:lang w:eastAsia="lt-LT"/>
        </w:rPr>
        <w:t>13</w:t>
      </w:r>
      <w:r w:rsidR="008071C0">
        <w:rPr>
          <w:color w:val="595959" w:themeColor="text1" w:themeTint="A6"/>
          <w:szCs w:val="24"/>
          <w:lang w:eastAsia="lt-LT"/>
        </w:rPr>
        <w:t>,</w:t>
      </w:r>
      <w:r w:rsidR="00C02E35">
        <w:rPr>
          <w:color w:val="595959" w:themeColor="text1" w:themeTint="A6"/>
          <w:szCs w:val="24"/>
          <w:lang w:eastAsia="lt-LT"/>
        </w:rPr>
        <w:t>9</w:t>
      </w:r>
      <w:r>
        <w:rPr>
          <w:color w:val="595959" w:themeColor="text1" w:themeTint="A6"/>
          <w:szCs w:val="24"/>
          <w:lang w:eastAsia="lt-LT"/>
        </w:rPr>
        <w:t xml:space="preserve"> mln. eurų ERPF lėšų ir 6,8 mln. eurų ESF lėšų </w:t>
      </w:r>
      <w:proofErr w:type="spellStart"/>
      <w:r>
        <w:rPr>
          <w:color w:val="595959" w:themeColor="text1" w:themeTint="A6"/>
          <w:szCs w:val="24"/>
          <w:lang w:eastAsia="lt-LT"/>
        </w:rPr>
        <w:t>virškontraktavimo</w:t>
      </w:r>
      <w:proofErr w:type="spellEnd"/>
      <w:r>
        <w:rPr>
          <w:color w:val="595959" w:themeColor="text1" w:themeTint="A6"/>
          <w:szCs w:val="24"/>
          <w:lang w:eastAsia="lt-LT"/>
        </w:rPr>
        <w:t xml:space="preserve"> galimybė. </w:t>
      </w:r>
      <w:r w:rsidR="00C02E35">
        <w:rPr>
          <w:color w:val="595959" w:themeColor="text1" w:themeTint="A6"/>
          <w:szCs w:val="24"/>
          <w:lang w:eastAsia="lt-LT"/>
        </w:rPr>
        <w:t>ERPF l</w:t>
      </w:r>
      <w:r w:rsidR="00144B35">
        <w:rPr>
          <w:color w:val="595959" w:themeColor="text1" w:themeTint="A6"/>
          <w:szCs w:val="24"/>
          <w:lang w:eastAsia="lt-LT"/>
        </w:rPr>
        <w:t xml:space="preserve">ėšų investavimo tempas </w:t>
      </w:r>
      <w:r w:rsidR="00C02E35">
        <w:rPr>
          <w:color w:val="595959" w:themeColor="text1" w:themeTint="A6"/>
          <w:szCs w:val="24"/>
          <w:lang w:eastAsia="lt-LT"/>
        </w:rPr>
        <w:t xml:space="preserve">atitinka Veiksmų programos vidurkį, tačiau </w:t>
      </w:r>
      <w:r w:rsidR="00027E8A">
        <w:rPr>
          <w:color w:val="595959" w:themeColor="text1" w:themeTint="A6"/>
          <w:szCs w:val="24"/>
          <w:lang w:eastAsia="lt-LT"/>
        </w:rPr>
        <w:t>atsilieka</w:t>
      </w:r>
      <w:r w:rsidR="00144B35">
        <w:rPr>
          <w:color w:val="595959" w:themeColor="text1" w:themeTint="A6"/>
          <w:szCs w:val="24"/>
          <w:lang w:eastAsia="lt-LT"/>
        </w:rPr>
        <w:t xml:space="preserve"> ESF </w:t>
      </w:r>
      <w:r w:rsidR="00027E8A">
        <w:rPr>
          <w:color w:val="595959" w:themeColor="text1" w:themeTint="A6"/>
          <w:szCs w:val="24"/>
          <w:lang w:eastAsia="lt-LT"/>
        </w:rPr>
        <w:t>lėšų investavimas</w:t>
      </w:r>
      <w:r w:rsidR="00144B35">
        <w:rPr>
          <w:color w:val="595959" w:themeColor="text1" w:themeTint="A6"/>
          <w:szCs w:val="24"/>
          <w:lang w:eastAsia="lt-LT"/>
        </w:rPr>
        <w:t xml:space="preserve">– </w:t>
      </w:r>
      <w:r w:rsidR="00F41DFD">
        <w:rPr>
          <w:color w:val="595959" w:themeColor="text1" w:themeTint="A6"/>
          <w:szCs w:val="24"/>
          <w:lang w:eastAsia="lt-LT"/>
        </w:rPr>
        <w:t>51</w:t>
      </w:r>
      <w:r w:rsidR="00144B35">
        <w:rPr>
          <w:color w:val="595959" w:themeColor="text1" w:themeTint="A6"/>
          <w:szCs w:val="24"/>
          <w:lang w:eastAsia="lt-LT"/>
        </w:rPr>
        <w:t xml:space="preserve"> proc.</w:t>
      </w:r>
      <w:r w:rsidR="008071C0">
        <w:rPr>
          <w:color w:val="595959" w:themeColor="text1" w:themeTint="A6"/>
          <w:szCs w:val="24"/>
          <w:lang w:eastAsia="lt-LT"/>
        </w:rPr>
        <w:t xml:space="preserve"> </w:t>
      </w:r>
      <w:r w:rsidR="008071C0" w:rsidRPr="006C7EE8">
        <w:rPr>
          <w:color w:val="595959" w:themeColor="text1" w:themeTint="A6"/>
          <w:szCs w:val="24"/>
          <w:lang w:eastAsia="lt-LT"/>
        </w:rPr>
        <w:t>ESF lėšomis f</w:t>
      </w:r>
      <w:r w:rsidR="008071C0">
        <w:rPr>
          <w:color w:val="595959" w:themeColor="text1" w:themeTint="A6"/>
          <w:szCs w:val="24"/>
          <w:lang w:eastAsia="lt-LT"/>
        </w:rPr>
        <w:t xml:space="preserve">inansuojamų </w:t>
      </w:r>
      <w:r w:rsidR="008071C0">
        <w:rPr>
          <w:color w:val="595959" w:themeColor="text1" w:themeTint="A6"/>
          <w:szCs w:val="24"/>
          <w:lang w:eastAsia="lt-LT"/>
        </w:rPr>
        <w:lastRenderedPageBreak/>
        <w:t xml:space="preserve">veiklų įgyvendinimo </w:t>
      </w:r>
      <w:r w:rsidR="008071C0" w:rsidRPr="006C7EE8">
        <w:rPr>
          <w:color w:val="595959" w:themeColor="text1" w:themeTint="A6"/>
          <w:szCs w:val="24"/>
          <w:lang w:eastAsia="lt-LT"/>
        </w:rPr>
        <w:t>ir lėšų išmokėjimo spartai įtakos turėjo 2020 m. paskel</w:t>
      </w:r>
      <w:r w:rsidR="008071C0">
        <w:rPr>
          <w:color w:val="595959" w:themeColor="text1" w:themeTint="A6"/>
          <w:szCs w:val="24"/>
          <w:lang w:eastAsia="lt-LT"/>
        </w:rPr>
        <w:t xml:space="preserve">btas karantinas dėl </w:t>
      </w:r>
      <w:proofErr w:type="spellStart"/>
      <w:r w:rsidR="008071C0">
        <w:rPr>
          <w:color w:val="595959" w:themeColor="text1" w:themeTint="A6"/>
          <w:szCs w:val="24"/>
          <w:lang w:eastAsia="lt-LT"/>
        </w:rPr>
        <w:t>Covid</w:t>
      </w:r>
      <w:r w:rsidR="008071C0" w:rsidRPr="006C7EE8">
        <w:rPr>
          <w:color w:val="595959" w:themeColor="text1" w:themeTint="A6"/>
          <w:szCs w:val="24"/>
          <w:lang w:eastAsia="lt-LT"/>
        </w:rPr>
        <w:t>-19,</w:t>
      </w:r>
      <w:proofErr w:type="spellEnd"/>
      <w:r w:rsidR="008071C0" w:rsidRPr="006C7EE8">
        <w:rPr>
          <w:color w:val="595959" w:themeColor="text1" w:themeTint="A6"/>
          <w:szCs w:val="24"/>
          <w:lang w:eastAsia="lt-LT"/>
        </w:rPr>
        <w:t xml:space="preserve"> </w:t>
      </w:r>
      <w:r w:rsidR="00CE10E2">
        <w:rPr>
          <w:color w:val="595959" w:themeColor="text1" w:themeTint="A6"/>
          <w:szCs w:val="24"/>
          <w:lang w:eastAsia="lt-LT"/>
        </w:rPr>
        <w:t>kurio metu</w:t>
      </w:r>
      <w:r w:rsidR="008071C0" w:rsidRPr="006C7EE8">
        <w:rPr>
          <w:color w:val="595959" w:themeColor="text1" w:themeTint="A6"/>
          <w:szCs w:val="24"/>
          <w:lang w:eastAsia="lt-LT"/>
        </w:rPr>
        <w:t xml:space="preserve"> dalies veiklų vykdymas buvo sustabdytas ar </w:t>
      </w:r>
      <w:r w:rsidR="008071C0">
        <w:rPr>
          <w:color w:val="595959" w:themeColor="text1" w:themeTint="A6"/>
          <w:szCs w:val="24"/>
          <w:lang w:eastAsia="lt-LT"/>
        </w:rPr>
        <w:t>apribotas (</w:t>
      </w:r>
      <w:r w:rsidR="008071C0" w:rsidRPr="006C7EE8">
        <w:rPr>
          <w:color w:val="595959" w:themeColor="text1" w:themeTint="A6"/>
          <w:szCs w:val="24"/>
          <w:lang w:eastAsia="lt-LT"/>
        </w:rPr>
        <w:t>tiesioginio kontakto mokymai, renginiai tikslinėms asmenų grupėms, specialistams ir pan.</w:t>
      </w:r>
      <w:r w:rsidR="008071C0">
        <w:rPr>
          <w:color w:val="595959" w:themeColor="text1" w:themeTint="A6"/>
          <w:szCs w:val="24"/>
          <w:lang w:eastAsia="lt-LT"/>
        </w:rPr>
        <w:t>).</w:t>
      </w:r>
    </w:p>
    <w:p w:rsidR="00D4475D" w:rsidRPr="00A454A9" w:rsidRDefault="00D4475D" w:rsidP="00D4475D">
      <w:pPr>
        <w:ind w:firstLine="426"/>
        <w:jc w:val="both"/>
        <w:rPr>
          <w:color w:val="595959" w:themeColor="text1" w:themeTint="A6"/>
          <w:szCs w:val="24"/>
          <w:lang w:eastAsia="lt-LT"/>
        </w:rPr>
      </w:pPr>
      <w:r w:rsidRPr="00D4475D">
        <w:rPr>
          <w:color w:val="595959" w:themeColor="text1" w:themeTint="A6"/>
          <w:szCs w:val="24"/>
          <w:lang w:eastAsia="lt-LT"/>
        </w:rPr>
        <w:t xml:space="preserve">Sveikatos apsaugos ministerijos administruojamos ES fondų lėšos skirtos pagrindinių lėtinių ligų (širdies ir kraujagyslių ligų, smegenų kraujotakos ligų, onkologinių susirgimų) prevencijai, diagnostikai ir gydymui, taip pat investuojama į tuberkuliozės, priklausomybės ligų, vaikų ligų, </w:t>
      </w:r>
      <w:proofErr w:type="spellStart"/>
      <w:r w:rsidRPr="00D4475D">
        <w:rPr>
          <w:color w:val="595959" w:themeColor="text1" w:themeTint="A6"/>
          <w:szCs w:val="24"/>
          <w:lang w:eastAsia="lt-LT"/>
        </w:rPr>
        <w:t>geriatrijos</w:t>
      </w:r>
      <w:proofErr w:type="spellEnd"/>
      <w:r w:rsidRPr="00D4475D">
        <w:rPr>
          <w:color w:val="595959" w:themeColor="text1" w:themeTint="A6"/>
          <w:szCs w:val="24"/>
          <w:lang w:eastAsia="lt-LT"/>
        </w:rPr>
        <w:t xml:space="preserve"> ir kt. infrastruktūros atnaujinimą ir plėtrą, infrastruktūros pritaikymą neįgaliesiems. Taip pat ES lėšos nukreiptos į sveikos gyvensenos ir sveiko senėjimo skatinimą, </w:t>
      </w:r>
      <w:proofErr w:type="spellStart"/>
      <w:r w:rsidRPr="00D4475D">
        <w:rPr>
          <w:color w:val="595959" w:themeColor="text1" w:themeTint="A6"/>
          <w:szCs w:val="24"/>
          <w:lang w:eastAsia="lt-LT"/>
        </w:rPr>
        <w:t>inovatyvių</w:t>
      </w:r>
      <w:proofErr w:type="spellEnd"/>
      <w:r w:rsidRPr="00D4475D">
        <w:rPr>
          <w:color w:val="595959" w:themeColor="text1" w:themeTint="A6"/>
          <w:szCs w:val="24"/>
          <w:lang w:eastAsia="lt-LT"/>
        </w:rPr>
        <w:t xml:space="preserve"> sveikatos </w:t>
      </w:r>
      <w:r w:rsidRPr="00A454A9">
        <w:rPr>
          <w:color w:val="595959" w:themeColor="text1" w:themeTint="A6"/>
          <w:szCs w:val="24"/>
          <w:lang w:eastAsia="lt-LT"/>
        </w:rPr>
        <w:t xml:space="preserve">priežiūros paslaugų teikimo modelių išbandymą ir diegimą, sveikatos priežiūros specialistų pritraukimą į regionus, specialistų kvalifikacijos kėlimą. Dalis lėšų skirta sveikatos apsaugos ir gydymo priemonių įsigijimui, siekiant efektyviai reaguoti į </w:t>
      </w:r>
      <w:proofErr w:type="spellStart"/>
      <w:r w:rsidRPr="00A454A9">
        <w:rPr>
          <w:color w:val="595959" w:themeColor="text1" w:themeTint="A6"/>
          <w:szCs w:val="24"/>
          <w:lang w:eastAsia="lt-LT"/>
        </w:rPr>
        <w:t>Covid</w:t>
      </w:r>
      <w:r w:rsidRPr="0087688A">
        <w:rPr>
          <w:color w:val="595959" w:themeColor="text1" w:themeTint="A6"/>
          <w:szCs w:val="24"/>
          <w:lang w:eastAsia="lt-LT"/>
        </w:rPr>
        <w:t>-19</w:t>
      </w:r>
      <w:proofErr w:type="spellEnd"/>
      <w:r w:rsidRPr="0087688A">
        <w:rPr>
          <w:color w:val="595959" w:themeColor="text1" w:themeTint="A6"/>
          <w:szCs w:val="24"/>
          <w:lang w:eastAsia="lt-LT"/>
        </w:rPr>
        <w:t xml:space="preserve"> keliamos ekstremalios situacijos padarinius.</w:t>
      </w:r>
    </w:p>
    <w:p w:rsidR="00A454A9" w:rsidRPr="00A454A9" w:rsidRDefault="00A454A9" w:rsidP="00D4475D">
      <w:pPr>
        <w:ind w:firstLine="426"/>
        <w:jc w:val="both"/>
        <w:rPr>
          <w:color w:val="595959" w:themeColor="text1" w:themeTint="A6"/>
          <w:szCs w:val="24"/>
          <w:lang w:eastAsia="lt-LT"/>
        </w:rPr>
      </w:pPr>
      <w:r w:rsidRPr="00A454A9">
        <w:rPr>
          <w:color w:val="595959" w:themeColor="text1" w:themeTint="A6"/>
          <w:szCs w:val="24"/>
          <w:lang w:eastAsia="lt-LT"/>
        </w:rPr>
        <w:t>Nuo periodo pradžios ES lėšomis finansuojamose sveikatos raštingumo didinimo veiklose sudalyvavo daugiau nei 13</w:t>
      </w:r>
      <w:r w:rsidR="00D4456B">
        <w:rPr>
          <w:color w:val="595959" w:themeColor="text1" w:themeTint="A6"/>
          <w:szCs w:val="24"/>
          <w:lang w:eastAsia="lt-LT"/>
        </w:rPr>
        <w:t>5</w:t>
      </w:r>
      <w:r w:rsidRPr="00A454A9">
        <w:rPr>
          <w:color w:val="595959" w:themeColor="text1" w:themeTint="A6"/>
          <w:szCs w:val="24"/>
          <w:lang w:eastAsia="lt-LT"/>
        </w:rPr>
        <w:t xml:space="preserve"> tūkst. asmenų esančių įvairiose socialinės rizikos grupėse. Taip pat ES lėšomis buvo modernizuota 224 įstaigų, teikiančių viešąsias sveikatos priežiūros paslaugas, infrastruktūra, beveik 612 tūkst. šalies gyventojams</w:t>
      </w:r>
      <w:r>
        <w:rPr>
          <w:color w:val="595959" w:themeColor="text1" w:themeTint="A6"/>
          <w:szCs w:val="24"/>
          <w:lang w:eastAsia="lt-LT"/>
        </w:rPr>
        <w:t xml:space="preserve"> sukurtos galimybės pasinaudoti</w:t>
      </w:r>
      <w:r w:rsidRPr="00A454A9">
        <w:rPr>
          <w:color w:val="595959" w:themeColor="text1" w:themeTint="A6"/>
          <w:szCs w:val="24"/>
          <w:lang w:eastAsia="lt-LT"/>
        </w:rPr>
        <w:t xml:space="preserve"> pagerintomis pirminėmis ambulatorinėmis asmens sveikatos priežiūros paslaugomis.</w:t>
      </w:r>
    </w:p>
    <w:p w:rsidR="00044A18" w:rsidRPr="00F41DFD" w:rsidRDefault="00D4475D" w:rsidP="000C2CB8">
      <w:pPr>
        <w:ind w:firstLine="426"/>
        <w:jc w:val="both"/>
        <w:rPr>
          <w:color w:val="595959" w:themeColor="text1" w:themeTint="A6"/>
          <w:szCs w:val="24"/>
          <w:lang w:eastAsia="lt-LT"/>
        </w:rPr>
      </w:pPr>
      <w:r w:rsidRPr="00D4475D">
        <w:rPr>
          <w:color w:val="595959" w:themeColor="text1" w:themeTint="A6"/>
          <w:szCs w:val="24"/>
          <w:lang w:eastAsia="lt-LT"/>
        </w:rPr>
        <w:t xml:space="preserve">Pažymėtina, kad per </w:t>
      </w:r>
      <w:r w:rsidR="00A454A9">
        <w:rPr>
          <w:color w:val="595959" w:themeColor="text1" w:themeTint="A6"/>
          <w:szCs w:val="24"/>
          <w:lang w:eastAsia="lt-LT"/>
        </w:rPr>
        <w:t xml:space="preserve">2020 m. IV </w:t>
      </w:r>
      <w:proofErr w:type="spellStart"/>
      <w:r w:rsidR="00A454A9">
        <w:rPr>
          <w:color w:val="595959" w:themeColor="text1" w:themeTint="A6"/>
          <w:szCs w:val="24"/>
          <w:lang w:eastAsia="lt-LT"/>
        </w:rPr>
        <w:t>ketv</w:t>
      </w:r>
      <w:proofErr w:type="spellEnd"/>
      <w:r w:rsidR="00A454A9">
        <w:rPr>
          <w:color w:val="595959" w:themeColor="text1" w:themeTint="A6"/>
          <w:szCs w:val="24"/>
          <w:lang w:eastAsia="lt-LT"/>
        </w:rPr>
        <w:t>.</w:t>
      </w:r>
      <w:r w:rsidRPr="00D4475D">
        <w:rPr>
          <w:color w:val="595959" w:themeColor="text1" w:themeTint="A6"/>
          <w:szCs w:val="24"/>
          <w:lang w:eastAsia="lt-LT"/>
        </w:rPr>
        <w:t xml:space="preserve"> baigtas projektų, </w:t>
      </w:r>
      <w:r w:rsidR="00CE10E2">
        <w:rPr>
          <w:color w:val="595959" w:themeColor="text1" w:themeTint="A6"/>
          <w:szCs w:val="24"/>
          <w:lang w:eastAsia="lt-LT"/>
        </w:rPr>
        <w:t xml:space="preserve">skirtų </w:t>
      </w:r>
      <w:proofErr w:type="spellStart"/>
      <w:r w:rsidR="00CE10E2">
        <w:rPr>
          <w:color w:val="595959" w:themeColor="text1" w:themeTint="A6"/>
          <w:szCs w:val="24"/>
          <w:lang w:eastAsia="lt-LT"/>
        </w:rPr>
        <w:t>geriatrijos</w:t>
      </w:r>
      <w:proofErr w:type="spellEnd"/>
      <w:r w:rsidR="00CE10E2">
        <w:rPr>
          <w:color w:val="595959" w:themeColor="text1" w:themeTint="A6"/>
          <w:szCs w:val="24"/>
          <w:lang w:eastAsia="lt-LT"/>
        </w:rPr>
        <w:t xml:space="preserve"> paslaugų plėtrai</w:t>
      </w:r>
      <w:r w:rsidRPr="00D4475D">
        <w:rPr>
          <w:color w:val="595959" w:themeColor="text1" w:themeTint="A6"/>
          <w:szCs w:val="24"/>
          <w:lang w:eastAsia="lt-LT"/>
        </w:rPr>
        <w:t xml:space="preserve">, sutarčių sudarymas, pradėti įgyvendinti projektai onkologijos, kraujotakos sistemos ligų, slaugos, telemedicinos plėtros srityse, kurių planavimas buvo užtrukęs. Vis dėlto, projekto, nukreipto į onkologinių ligų programų koordinavimo centro veiklos vykdymui būtinos IT infrastruktūros sukūrimą (1,3 mln. eurų), sutarties sudarymo terminas buvo pratęstas iki 2021 m. II </w:t>
      </w:r>
      <w:proofErr w:type="spellStart"/>
      <w:r w:rsidRPr="00D4475D">
        <w:rPr>
          <w:color w:val="595959" w:themeColor="text1" w:themeTint="A6"/>
          <w:szCs w:val="24"/>
          <w:lang w:eastAsia="lt-LT"/>
        </w:rPr>
        <w:t>ketv</w:t>
      </w:r>
      <w:proofErr w:type="spellEnd"/>
      <w:r w:rsidRPr="00D4475D">
        <w:rPr>
          <w:color w:val="595959" w:themeColor="text1" w:themeTint="A6"/>
          <w:szCs w:val="24"/>
          <w:lang w:eastAsia="lt-LT"/>
        </w:rPr>
        <w:t xml:space="preserve">. pabaigos (valdant projekto įgyvendinimo rizikas, sudarytas projekto planavimo ir įgyvendinimo veiksmų planas). Taip pat </w:t>
      </w:r>
      <w:r w:rsidR="00044A18">
        <w:rPr>
          <w:color w:val="595959" w:themeColor="text1" w:themeTint="A6"/>
          <w:szCs w:val="24"/>
          <w:lang w:eastAsia="lt-LT"/>
        </w:rPr>
        <w:t xml:space="preserve">sudarytos dvi </w:t>
      </w:r>
      <w:proofErr w:type="spellStart"/>
      <w:r w:rsidRPr="00D4475D">
        <w:rPr>
          <w:color w:val="595959" w:themeColor="text1" w:themeTint="A6"/>
          <w:szCs w:val="24"/>
          <w:lang w:eastAsia="lt-LT"/>
        </w:rPr>
        <w:t>React-EU</w:t>
      </w:r>
      <w:proofErr w:type="spellEnd"/>
      <w:r w:rsidRPr="00D4475D">
        <w:rPr>
          <w:color w:val="595959" w:themeColor="text1" w:themeTint="A6"/>
          <w:szCs w:val="24"/>
          <w:lang w:eastAsia="lt-LT"/>
        </w:rPr>
        <w:t xml:space="preserve"> lėšomis planuojam</w:t>
      </w:r>
      <w:r w:rsidR="000C2CB8">
        <w:rPr>
          <w:color w:val="595959" w:themeColor="text1" w:themeTint="A6"/>
          <w:szCs w:val="24"/>
          <w:lang w:eastAsia="lt-LT"/>
        </w:rPr>
        <w:t>os</w:t>
      </w:r>
      <w:r w:rsidRPr="00D4475D">
        <w:rPr>
          <w:color w:val="595959" w:themeColor="text1" w:themeTint="A6"/>
          <w:szCs w:val="24"/>
          <w:lang w:eastAsia="lt-LT"/>
        </w:rPr>
        <w:t xml:space="preserve"> finansuoti projektų sutart</w:t>
      </w:r>
      <w:r w:rsidR="00044A18">
        <w:rPr>
          <w:color w:val="595959" w:themeColor="text1" w:themeTint="A6"/>
          <w:szCs w:val="24"/>
          <w:lang w:eastAsia="lt-LT"/>
        </w:rPr>
        <w:t>y</w:t>
      </w:r>
      <w:r w:rsidRPr="00D4475D">
        <w:rPr>
          <w:color w:val="595959" w:themeColor="text1" w:themeTint="A6"/>
          <w:szCs w:val="24"/>
          <w:lang w:eastAsia="lt-LT"/>
        </w:rPr>
        <w:t xml:space="preserve">s </w:t>
      </w:r>
      <w:r w:rsidR="000C2CB8">
        <w:rPr>
          <w:color w:val="595959" w:themeColor="text1" w:themeTint="A6"/>
          <w:szCs w:val="24"/>
          <w:lang w:eastAsia="lt-LT"/>
        </w:rPr>
        <w:t>už 12,2</w:t>
      </w:r>
      <w:r w:rsidRPr="00D4475D">
        <w:rPr>
          <w:color w:val="595959" w:themeColor="text1" w:themeTint="A6"/>
          <w:szCs w:val="24"/>
          <w:lang w:eastAsia="lt-LT"/>
        </w:rPr>
        <w:t xml:space="preserve"> mln. eurų</w:t>
      </w:r>
      <w:r w:rsidR="00044A18">
        <w:rPr>
          <w:color w:val="595959" w:themeColor="text1" w:themeTint="A6"/>
          <w:szCs w:val="24"/>
          <w:lang w:eastAsia="lt-LT"/>
        </w:rPr>
        <w:t>.</w:t>
      </w:r>
      <w:r w:rsidR="000C2CB8">
        <w:rPr>
          <w:color w:val="595959" w:themeColor="text1" w:themeTint="A6"/>
          <w:szCs w:val="24"/>
          <w:lang w:eastAsia="lt-LT"/>
        </w:rPr>
        <w:t xml:space="preserve"> </w:t>
      </w:r>
      <w:r w:rsidR="00044A18">
        <w:rPr>
          <w:color w:val="595959" w:themeColor="text1" w:themeTint="A6"/>
          <w:szCs w:val="24"/>
          <w:lang w:eastAsia="lt-LT"/>
        </w:rPr>
        <w:t xml:space="preserve">Projektai nukreipti į </w:t>
      </w:r>
      <w:proofErr w:type="spellStart"/>
      <w:r w:rsidR="00044A18" w:rsidRPr="00F41DFD">
        <w:rPr>
          <w:color w:val="595959" w:themeColor="text1" w:themeTint="A6"/>
          <w:szCs w:val="24"/>
          <w:lang w:eastAsia="lt-LT"/>
        </w:rPr>
        <w:t>inovatyvių</w:t>
      </w:r>
      <w:proofErr w:type="spellEnd"/>
      <w:r w:rsidR="00044A18" w:rsidRPr="00F41DFD">
        <w:rPr>
          <w:color w:val="595959" w:themeColor="text1" w:themeTint="A6"/>
          <w:szCs w:val="24"/>
          <w:lang w:eastAsia="lt-LT"/>
        </w:rPr>
        <w:t xml:space="preserve"> kompleksinių sprendimų onkologinių ligų diagnostikos ir gydymo srityje vystymą Nac</w:t>
      </w:r>
      <w:r w:rsidR="00312240">
        <w:rPr>
          <w:color w:val="595959" w:themeColor="text1" w:themeTint="A6"/>
          <w:szCs w:val="24"/>
          <w:lang w:eastAsia="lt-LT"/>
        </w:rPr>
        <w:t>ionaliniame vėžio institute bei</w:t>
      </w:r>
      <w:r w:rsidR="00044A18" w:rsidRPr="00F41DFD">
        <w:rPr>
          <w:color w:val="595959" w:themeColor="text1" w:themeTint="A6"/>
          <w:szCs w:val="24"/>
          <w:lang w:eastAsia="lt-LT"/>
        </w:rPr>
        <w:t xml:space="preserve"> </w:t>
      </w:r>
      <w:r w:rsidR="000C2CB8" w:rsidRPr="00F41DFD">
        <w:rPr>
          <w:color w:val="595959" w:themeColor="text1" w:themeTint="A6"/>
          <w:szCs w:val="24"/>
          <w:lang w:eastAsia="lt-LT"/>
        </w:rPr>
        <w:t>hibridinių operacinių, skirtų širdies ir krūtinės operacijoms, įrengimą Santaros klinikose.</w:t>
      </w:r>
      <w:r w:rsidR="00044A18" w:rsidRPr="00F41DFD">
        <w:rPr>
          <w:color w:val="595959" w:themeColor="text1" w:themeTint="A6"/>
          <w:szCs w:val="24"/>
          <w:lang w:eastAsia="lt-LT"/>
        </w:rPr>
        <w:t xml:space="preserve"> Šiuo metu Sveikatos apsaugos ministerija </w:t>
      </w:r>
      <w:r w:rsidR="000C2CB8" w:rsidRPr="00F41DFD">
        <w:rPr>
          <w:color w:val="595959" w:themeColor="text1" w:themeTint="A6"/>
          <w:szCs w:val="24"/>
          <w:lang w:eastAsia="lt-LT"/>
        </w:rPr>
        <w:t>svarsto</w:t>
      </w:r>
      <w:r w:rsidR="00F41DFD">
        <w:rPr>
          <w:color w:val="595959" w:themeColor="text1" w:themeTint="A6"/>
          <w:szCs w:val="24"/>
          <w:lang w:eastAsia="lt-LT"/>
        </w:rPr>
        <w:t xml:space="preserve"> </w:t>
      </w:r>
      <w:r w:rsidR="000C2CB8" w:rsidRPr="00F41DFD">
        <w:rPr>
          <w:color w:val="595959" w:themeColor="text1" w:themeTint="A6"/>
          <w:szCs w:val="24"/>
          <w:lang w:eastAsia="lt-LT"/>
        </w:rPr>
        <w:t xml:space="preserve">dėl nesuplanuoto </w:t>
      </w:r>
      <w:proofErr w:type="spellStart"/>
      <w:r w:rsidR="000C2CB8" w:rsidRPr="00F41DFD">
        <w:rPr>
          <w:color w:val="595959" w:themeColor="text1" w:themeTint="A6"/>
          <w:szCs w:val="24"/>
          <w:lang w:eastAsia="lt-LT"/>
        </w:rPr>
        <w:t>React-EU</w:t>
      </w:r>
      <w:proofErr w:type="spellEnd"/>
      <w:r w:rsidR="000C2CB8" w:rsidRPr="00F41DFD">
        <w:rPr>
          <w:color w:val="595959" w:themeColor="text1" w:themeTint="A6"/>
          <w:szCs w:val="24"/>
          <w:lang w:eastAsia="lt-LT"/>
        </w:rPr>
        <w:t xml:space="preserve"> </w:t>
      </w:r>
      <w:r w:rsidR="00044A18" w:rsidRPr="00F41DFD">
        <w:rPr>
          <w:color w:val="595959" w:themeColor="text1" w:themeTint="A6"/>
          <w:szCs w:val="24"/>
          <w:lang w:eastAsia="lt-LT"/>
        </w:rPr>
        <w:t>4,1</w:t>
      </w:r>
      <w:r w:rsidR="00F41DFD">
        <w:rPr>
          <w:color w:val="595959" w:themeColor="text1" w:themeTint="A6"/>
          <w:szCs w:val="24"/>
          <w:lang w:eastAsia="lt-LT"/>
        </w:rPr>
        <w:t xml:space="preserve"> </w:t>
      </w:r>
      <w:r w:rsidR="00044A18" w:rsidRPr="00F41DFD">
        <w:rPr>
          <w:color w:val="595959" w:themeColor="text1" w:themeTint="A6"/>
          <w:szCs w:val="24"/>
          <w:lang w:eastAsia="lt-LT"/>
        </w:rPr>
        <w:t>mln.</w:t>
      </w:r>
      <w:r w:rsidR="00F41DFD">
        <w:rPr>
          <w:color w:val="595959" w:themeColor="text1" w:themeTint="A6"/>
          <w:szCs w:val="24"/>
          <w:lang w:eastAsia="lt-LT"/>
        </w:rPr>
        <w:t xml:space="preserve"> </w:t>
      </w:r>
      <w:r w:rsidR="00044A18" w:rsidRPr="00F41DFD">
        <w:rPr>
          <w:color w:val="595959" w:themeColor="text1" w:themeTint="A6"/>
          <w:szCs w:val="24"/>
          <w:lang w:eastAsia="lt-LT"/>
        </w:rPr>
        <w:t>eur</w:t>
      </w:r>
      <w:r w:rsidR="000C2CB8" w:rsidRPr="00F41DFD">
        <w:rPr>
          <w:color w:val="595959" w:themeColor="text1" w:themeTint="A6"/>
          <w:szCs w:val="24"/>
          <w:lang w:eastAsia="lt-LT"/>
        </w:rPr>
        <w:t>ų likučio</w:t>
      </w:r>
      <w:r w:rsidR="00F41DFD">
        <w:rPr>
          <w:color w:val="595959" w:themeColor="text1" w:themeTint="A6"/>
          <w:szCs w:val="24"/>
          <w:lang w:eastAsia="lt-LT"/>
        </w:rPr>
        <w:t>.</w:t>
      </w:r>
    </w:p>
    <w:p w:rsidR="00D4475D" w:rsidRPr="00D4475D" w:rsidRDefault="00D4475D" w:rsidP="00D4475D">
      <w:pPr>
        <w:ind w:firstLine="426"/>
        <w:jc w:val="both"/>
        <w:rPr>
          <w:color w:val="595959" w:themeColor="text1" w:themeTint="A6"/>
          <w:szCs w:val="24"/>
          <w:lang w:eastAsia="lt-LT"/>
        </w:rPr>
      </w:pPr>
      <w:r w:rsidRPr="00D4475D">
        <w:rPr>
          <w:color w:val="595959" w:themeColor="text1" w:themeTint="A6"/>
          <w:szCs w:val="24"/>
          <w:lang w:eastAsia="lt-LT"/>
        </w:rPr>
        <w:t xml:space="preserve">Atsiradus papildomiems asmens sveikatos priežiūros įstaigų poreikiams dėl </w:t>
      </w:r>
      <w:proofErr w:type="spellStart"/>
      <w:r w:rsidRPr="00D4475D">
        <w:rPr>
          <w:color w:val="595959" w:themeColor="text1" w:themeTint="A6"/>
          <w:szCs w:val="24"/>
          <w:lang w:eastAsia="lt-LT"/>
        </w:rPr>
        <w:t>Covid-19,</w:t>
      </w:r>
      <w:proofErr w:type="spellEnd"/>
      <w:r w:rsidRPr="00D4475D">
        <w:rPr>
          <w:color w:val="595959" w:themeColor="text1" w:themeTint="A6"/>
          <w:szCs w:val="24"/>
          <w:lang w:eastAsia="lt-LT"/>
        </w:rPr>
        <w:t xml:space="preserve"> Sveikatos apsaugos ministerija</w:t>
      </w:r>
      <w:r w:rsidR="00F62FC5">
        <w:rPr>
          <w:color w:val="595959" w:themeColor="text1" w:themeTint="A6"/>
          <w:szCs w:val="24"/>
          <w:lang w:eastAsia="lt-LT"/>
        </w:rPr>
        <w:t>i įvertinus</w:t>
      </w:r>
      <w:r w:rsidRPr="00D4475D">
        <w:rPr>
          <w:color w:val="595959" w:themeColor="text1" w:themeTint="A6"/>
          <w:szCs w:val="24"/>
          <w:lang w:eastAsia="lt-LT"/>
        </w:rPr>
        <w:t xml:space="preserve"> galimus sutaupymus numatyta apie 4</w:t>
      </w:r>
      <w:r w:rsidR="008672E6" w:rsidRPr="00F41DFD">
        <w:rPr>
          <w:color w:val="595959" w:themeColor="text1" w:themeTint="A6"/>
          <w:szCs w:val="24"/>
          <w:lang w:eastAsia="lt-LT"/>
        </w:rPr>
        <w:t>,5</w:t>
      </w:r>
      <w:r w:rsidRPr="00D4475D">
        <w:rPr>
          <w:color w:val="595959" w:themeColor="text1" w:themeTint="A6"/>
          <w:szCs w:val="24"/>
          <w:lang w:eastAsia="lt-LT"/>
        </w:rPr>
        <w:t xml:space="preserve"> mln. eurų papildomai skirti veikloms, nukreiptos į </w:t>
      </w:r>
      <w:proofErr w:type="spellStart"/>
      <w:r w:rsidRPr="00D4475D">
        <w:rPr>
          <w:color w:val="595959" w:themeColor="text1" w:themeTint="A6"/>
          <w:szCs w:val="24"/>
          <w:lang w:eastAsia="lt-LT"/>
        </w:rPr>
        <w:t>C</w:t>
      </w:r>
      <w:r w:rsidR="00F62FC5">
        <w:rPr>
          <w:color w:val="595959" w:themeColor="text1" w:themeTint="A6"/>
          <w:szCs w:val="24"/>
          <w:lang w:eastAsia="lt-LT"/>
        </w:rPr>
        <w:t>ovid</w:t>
      </w:r>
      <w:r w:rsidRPr="00D4475D">
        <w:rPr>
          <w:color w:val="595959" w:themeColor="text1" w:themeTint="A6"/>
          <w:szCs w:val="24"/>
          <w:lang w:eastAsia="lt-LT"/>
        </w:rPr>
        <w:t>-</w:t>
      </w:r>
      <w:proofErr w:type="spellEnd"/>
      <w:r w:rsidRPr="00D4475D">
        <w:rPr>
          <w:color w:val="595959" w:themeColor="text1" w:themeTint="A6"/>
          <w:szCs w:val="24"/>
          <w:lang w:eastAsia="lt-LT"/>
        </w:rPr>
        <w:t xml:space="preserve"> 19 valdymą.</w:t>
      </w:r>
    </w:p>
    <w:p w:rsidR="0087688A" w:rsidRPr="00435FF5" w:rsidRDefault="00D4475D" w:rsidP="00BA70FC">
      <w:pPr>
        <w:ind w:firstLine="426"/>
        <w:jc w:val="both"/>
        <w:rPr>
          <w:color w:val="595959" w:themeColor="text1" w:themeTint="A6"/>
          <w:szCs w:val="24"/>
          <w:lang w:eastAsia="lt-LT"/>
        </w:rPr>
      </w:pPr>
      <w:r w:rsidRPr="00D4475D">
        <w:rPr>
          <w:color w:val="595959" w:themeColor="text1" w:themeTint="A6"/>
          <w:szCs w:val="24"/>
          <w:lang w:eastAsia="lt-LT"/>
        </w:rPr>
        <w:t>Šiuo metu Sveikatos apsaugos ministerija įgyvendina projektą, skirtą efektyvių ambulatorinės slaugos modelių plėtojimui (1 mln. eurų). Projektas skirtas pasirengti planuojamai reformai ilgalaikės priežiūros srityje. Lietuvoje pradėta kurti vieningos ilgalaikės priežiūros paslaugų koncepcija, kurios tikslas – nustatyti bendrus socialinės globos ir slaugos organizavimo, teikimo, ir finansavimo principus. Tam, kad reforma būtų sėkmingai įgyvendinta, būtinas aktyvus Sveikatos apsaugos ministerijos ir Socialinės apsaugos ir darbo ministerijos bendradarbiavimas.</w:t>
      </w:r>
      <w:r w:rsidR="0087688A">
        <w:rPr>
          <w:color w:val="595959" w:themeColor="text1" w:themeTint="A6"/>
          <w:szCs w:val="24"/>
          <w:lang w:eastAsia="lt-LT"/>
        </w:rPr>
        <w:t xml:space="preserve"> </w:t>
      </w:r>
    </w:p>
    <w:p w:rsidR="00D4475D" w:rsidRDefault="00D4475D" w:rsidP="00F62FC5">
      <w:pPr>
        <w:ind w:firstLine="426"/>
        <w:jc w:val="both"/>
        <w:rPr>
          <w:color w:val="595959" w:themeColor="text1" w:themeTint="A6"/>
          <w:szCs w:val="24"/>
          <w:lang w:eastAsia="lt-LT"/>
        </w:rPr>
      </w:pPr>
      <w:r w:rsidRPr="00D4475D">
        <w:rPr>
          <w:color w:val="595959" w:themeColor="text1" w:themeTint="A6"/>
          <w:szCs w:val="24"/>
          <w:lang w:eastAsia="lt-LT"/>
        </w:rPr>
        <w:t xml:space="preserve">Siekiant atliepti šių dienų sveikatos priežiūros paslaugų poreikį ir efektyviai investuoti naujosios finansinės perspektyvos, Europos ekonomikos gaivinimo ir atsparumo didinimo priemonės </w:t>
      </w:r>
      <w:r w:rsidR="00F62FC5">
        <w:rPr>
          <w:color w:val="595959" w:themeColor="text1" w:themeTint="A6"/>
          <w:szCs w:val="24"/>
          <w:lang w:eastAsia="lt-LT"/>
        </w:rPr>
        <w:t>ir</w:t>
      </w:r>
      <w:r w:rsidRPr="00D4475D">
        <w:rPr>
          <w:color w:val="595959" w:themeColor="text1" w:themeTint="A6"/>
          <w:szCs w:val="24"/>
          <w:lang w:eastAsia="lt-LT"/>
        </w:rPr>
        <w:t xml:space="preserve"> biudžeto lėš</w:t>
      </w:r>
      <w:r w:rsidR="00F62FC5">
        <w:rPr>
          <w:color w:val="595959" w:themeColor="text1" w:themeTint="A6"/>
          <w:szCs w:val="24"/>
          <w:lang w:eastAsia="lt-LT"/>
        </w:rPr>
        <w:t>a</w:t>
      </w:r>
      <w:r w:rsidRPr="00D4475D">
        <w:rPr>
          <w:color w:val="595959" w:themeColor="text1" w:themeTint="A6"/>
          <w:szCs w:val="24"/>
          <w:lang w:eastAsia="lt-LT"/>
        </w:rPr>
        <w:t>s, visos planuojamos investicijos turi būti vykdomos atsižvelgiant į ligoninių tinklo institucinę pertvarką. Neišspręstas sveikatos paslaugų reorganizavimo (įstaigų tinklo) klausimas trukdo įvertinti investicijų reikalingumą ilgalaikiu laikotarpiu.</w:t>
      </w:r>
    </w:p>
    <w:p w:rsidR="00A454A9" w:rsidRPr="00D4475D" w:rsidRDefault="00A454A9" w:rsidP="00F62FC5">
      <w:pPr>
        <w:ind w:firstLine="426"/>
        <w:jc w:val="both"/>
        <w:rPr>
          <w:color w:val="595959" w:themeColor="text1" w:themeTint="A6"/>
          <w:szCs w:val="24"/>
          <w:lang w:eastAsia="lt-LT"/>
        </w:rPr>
      </w:pPr>
      <w:r>
        <w:rPr>
          <w:color w:val="595959" w:themeColor="text1" w:themeTint="A6"/>
          <w:lang w:eastAsia="lt-LT"/>
        </w:rPr>
        <w:t>Taip pat pastebėtina, kad i</w:t>
      </w:r>
      <w:r w:rsidRPr="008B5D19">
        <w:rPr>
          <w:color w:val="595959" w:themeColor="text1" w:themeTint="A6"/>
          <w:lang w:eastAsia="lt-LT"/>
        </w:rPr>
        <w:t xml:space="preserve">nvesticijos </w:t>
      </w:r>
      <w:r w:rsidR="009C4106">
        <w:rPr>
          <w:color w:val="595959" w:themeColor="text1" w:themeTint="A6"/>
          <w:lang w:eastAsia="lt-LT"/>
        </w:rPr>
        <w:t>ne</w:t>
      </w:r>
      <w:r>
        <w:rPr>
          <w:color w:val="595959" w:themeColor="text1" w:themeTint="A6"/>
          <w:lang w:eastAsia="lt-LT"/>
        </w:rPr>
        <w:t xml:space="preserve">pakankamai </w:t>
      </w:r>
      <w:r w:rsidRPr="008B5D19">
        <w:rPr>
          <w:color w:val="595959" w:themeColor="text1" w:themeTint="A6"/>
          <w:lang w:eastAsia="lt-LT"/>
        </w:rPr>
        <w:t>sprendžia sveikatos netolygumų problemos, todėl planuojant naujas investicijas būtina įvertinti, koks įgyvendinimo mechanizmas tinkamiausias, siekiant mažinti sveikatos netolygumus ir didinti paslaugų prieinamumą ir kokybę prasčiausius sveikatos rodiklius demonstruojančiose</w:t>
      </w:r>
      <w:r w:rsidR="0087688A">
        <w:rPr>
          <w:color w:val="595959" w:themeColor="text1" w:themeTint="A6"/>
          <w:lang w:eastAsia="lt-LT"/>
        </w:rPr>
        <w:t xml:space="preserve"> </w:t>
      </w:r>
      <w:r w:rsidRPr="008B5D19">
        <w:rPr>
          <w:color w:val="595959" w:themeColor="text1" w:themeTint="A6"/>
          <w:lang w:eastAsia="lt-LT"/>
        </w:rPr>
        <w:t>savivaldybėse (pvz., užtikrinant/</w:t>
      </w:r>
      <w:r w:rsidR="004D5DB0">
        <w:rPr>
          <w:color w:val="595959" w:themeColor="text1" w:themeTint="A6"/>
          <w:lang w:eastAsia="lt-LT"/>
        </w:rPr>
        <w:t xml:space="preserve"> </w:t>
      </w:r>
      <w:r w:rsidRPr="008B5D19">
        <w:rPr>
          <w:color w:val="595959" w:themeColor="text1" w:themeTint="A6"/>
          <w:lang w:eastAsia="lt-LT"/>
        </w:rPr>
        <w:t>kompensuojant gyventojams keliones į ir iš gydymo įstaigų, kuriant mobilias brigadas, plėtojant telemediciną ar pan.).</w:t>
      </w:r>
    </w:p>
    <w:p w:rsidR="00C02E35" w:rsidRDefault="009C4106" w:rsidP="00F06ED3">
      <w:pPr>
        <w:ind w:firstLine="426"/>
        <w:jc w:val="both"/>
        <w:rPr>
          <w:color w:val="595959" w:themeColor="text1" w:themeTint="A6"/>
          <w:szCs w:val="24"/>
          <w:lang w:eastAsia="lt-LT"/>
        </w:rPr>
      </w:pPr>
      <w:r>
        <w:rPr>
          <w:color w:val="595959" w:themeColor="text1" w:themeTint="A6"/>
          <w:lang w:eastAsia="lt-LT"/>
        </w:rPr>
        <w:t>S</w:t>
      </w:r>
      <w:r w:rsidR="005B5CDC" w:rsidRPr="008B5D19">
        <w:rPr>
          <w:color w:val="595959" w:themeColor="text1" w:themeTint="A6"/>
          <w:lang w:eastAsia="lt-LT"/>
        </w:rPr>
        <w:t xml:space="preserve">kaitmeninės sveikatos priežiūros paslaugos </w:t>
      </w:r>
      <w:r>
        <w:rPr>
          <w:color w:val="595959" w:themeColor="text1" w:themeTint="A6"/>
          <w:lang w:eastAsia="lt-LT"/>
        </w:rPr>
        <w:t xml:space="preserve">taip pat </w:t>
      </w:r>
      <w:r w:rsidR="005B5CDC" w:rsidRPr="008B5D19">
        <w:rPr>
          <w:color w:val="595959" w:themeColor="text1" w:themeTint="A6"/>
          <w:lang w:eastAsia="lt-LT"/>
        </w:rPr>
        <w:t xml:space="preserve">neužtikrina šiuolaikinių pacientų ir darbuotojų poreikių, todėl tęsiant sveikatos paslaugų </w:t>
      </w:r>
      <w:proofErr w:type="spellStart"/>
      <w:r w:rsidR="005B5CDC" w:rsidRPr="008B5D19">
        <w:rPr>
          <w:color w:val="595959" w:themeColor="text1" w:themeTint="A6"/>
          <w:lang w:eastAsia="lt-LT"/>
        </w:rPr>
        <w:t>skaitmenizavimo</w:t>
      </w:r>
      <w:proofErr w:type="spellEnd"/>
      <w:r w:rsidR="005B5CDC" w:rsidRPr="008B5D19">
        <w:rPr>
          <w:color w:val="595959" w:themeColor="text1" w:themeTint="A6"/>
          <w:lang w:eastAsia="lt-LT"/>
        </w:rPr>
        <w:t xml:space="preserve"> plėtr</w:t>
      </w:r>
      <w:r w:rsidR="00F06ED3">
        <w:rPr>
          <w:color w:val="595959" w:themeColor="text1" w:themeTint="A6"/>
          <w:lang w:eastAsia="lt-LT"/>
        </w:rPr>
        <w:t>ą</w:t>
      </w:r>
      <w:r w:rsidR="005B5CDC" w:rsidRPr="008B5D19">
        <w:rPr>
          <w:color w:val="595959" w:themeColor="text1" w:themeTint="A6"/>
          <w:lang w:eastAsia="lt-LT"/>
        </w:rPr>
        <w:t xml:space="preserve"> būtina vystyti naujas skaitmenines sveikatos paslaugas atliepiančias vartotojų poreikius, sukurti sąlygas sveikatos </w:t>
      </w:r>
      <w:r w:rsidR="005B5CDC" w:rsidRPr="008B5D19">
        <w:rPr>
          <w:color w:val="595959" w:themeColor="text1" w:themeTint="A6"/>
          <w:lang w:eastAsia="lt-LT"/>
        </w:rPr>
        <w:lastRenderedPageBreak/>
        <w:t>duomenų potencialo panaudojimui</w:t>
      </w:r>
      <w:r>
        <w:rPr>
          <w:color w:val="595959" w:themeColor="text1" w:themeTint="A6"/>
          <w:lang w:eastAsia="lt-LT"/>
        </w:rPr>
        <w:t>,</w:t>
      </w:r>
      <w:r w:rsidR="005B5CDC" w:rsidRPr="008B5D19">
        <w:rPr>
          <w:color w:val="595959" w:themeColor="text1" w:themeTint="A6"/>
          <w:lang w:eastAsia="lt-LT"/>
        </w:rPr>
        <w:t xml:space="preserve"> kuriant sveikatos srities inovacijas, užtikrinti, kad nebūtų kuriamos besidubliuojančios IT sistemos, jos būtų ,,draugiškos“ vartotojui, būtų užtikrintas duomenų saugumas ir jų </w:t>
      </w:r>
      <w:proofErr w:type="spellStart"/>
      <w:r w:rsidR="005B5CDC" w:rsidRPr="008B5D19">
        <w:rPr>
          <w:color w:val="595959" w:themeColor="text1" w:themeTint="A6"/>
          <w:lang w:eastAsia="lt-LT"/>
        </w:rPr>
        <w:t>įveiklinimas</w:t>
      </w:r>
      <w:proofErr w:type="spellEnd"/>
      <w:r w:rsidR="00305A54">
        <w:rPr>
          <w:color w:val="595959" w:themeColor="text1" w:themeTint="A6"/>
          <w:lang w:eastAsia="lt-LT"/>
        </w:rPr>
        <w:t>.</w:t>
      </w:r>
    </w:p>
    <w:p w:rsidR="00B34E12" w:rsidRDefault="00B34E12" w:rsidP="00B3224A">
      <w:pPr>
        <w:jc w:val="both"/>
        <w:rPr>
          <w:color w:val="595959" w:themeColor="text1" w:themeTint="A6"/>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D4475D" w:rsidRPr="0040787A" w:rsidTr="00B27131">
        <w:tc>
          <w:tcPr>
            <w:tcW w:w="9638" w:type="dxa"/>
            <w:tcBorders>
              <w:top w:val="nil"/>
              <w:left w:val="nil"/>
              <w:bottom w:val="nil"/>
              <w:right w:val="nil"/>
            </w:tcBorders>
            <w:shd w:val="clear" w:color="auto" w:fill="D9D9D9" w:themeFill="background1" w:themeFillShade="D9"/>
          </w:tcPr>
          <w:p w:rsidR="00D4475D" w:rsidRPr="0040787A" w:rsidRDefault="00D4475D" w:rsidP="00B27131">
            <w:pPr>
              <w:jc w:val="both"/>
              <w:rPr>
                <w:b/>
                <w:color w:val="365F91" w:themeColor="accent1" w:themeShade="BF"/>
              </w:rPr>
            </w:pPr>
            <w:r>
              <w:rPr>
                <w:b/>
                <w:color w:val="365F91" w:themeColor="accent1" w:themeShade="BF"/>
              </w:rPr>
              <w:t>Siūlyma</w:t>
            </w:r>
            <w:r w:rsidRPr="00D4475D">
              <w:rPr>
                <w:b/>
                <w:color w:val="365F91" w:themeColor="accent1" w:themeShade="BF"/>
              </w:rPr>
              <w:t>i Sveikatos apsaugos</w:t>
            </w:r>
            <w:r>
              <w:t xml:space="preserve"> </w:t>
            </w:r>
            <w:r w:rsidRPr="0040787A">
              <w:rPr>
                <w:b/>
                <w:color w:val="365F91" w:themeColor="accent1" w:themeShade="BF"/>
              </w:rPr>
              <w:t>ministerijai:</w:t>
            </w:r>
          </w:p>
          <w:p w:rsidR="00D4475D" w:rsidRPr="00992610" w:rsidRDefault="00D4475D" w:rsidP="00B27131">
            <w:pPr>
              <w:jc w:val="both"/>
              <w:rPr>
                <w:color w:val="365F91" w:themeColor="accent1" w:themeShade="BF"/>
              </w:rPr>
            </w:pPr>
            <w:r w:rsidRPr="0040787A">
              <w:rPr>
                <w:color w:val="365F91" w:themeColor="accent1" w:themeShade="BF"/>
              </w:rPr>
              <w:t>-</w:t>
            </w:r>
            <w:r w:rsidRPr="00992610">
              <w:rPr>
                <w:color w:val="365F91" w:themeColor="accent1" w:themeShade="BF"/>
              </w:rPr>
              <w:t xml:space="preserve"> kuriant naują integruotų (slaugos ir globos) ilgalaikės priežiūros paslaugų teikimo mechanizmą, investuoti į sisteminius veiksmus, pagrįstus bendru susitarimu su Socialinės apsaugos ir darbo ministerija, į</w:t>
            </w:r>
            <w:r>
              <w:rPr>
                <w:color w:val="365F91" w:themeColor="accent1" w:themeShade="BF"/>
              </w:rPr>
              <w:t>tvirtintu bendroje koncepcijoje;</w:t>
            </w:r>
          </w:p>
          <w:p w:rsidR="00D4475D" w:rsidRPr="00835C89" w:rsidRDefault="00D4475D" w:rsidP="00B27131">
            <w:pPr>
              <w:jc w:val="both"/>
              <w:rPr>
                <w:color w:val="365F91" w:themeColor="accent1" w:themeShade="BF"/>
              </w:rPr>
            </w:pPr>
            <w:r w:rsidRPr="00992610">
              <w:rPr>
                <w:color w:val="365F91" w:themeColor="accent1" w:themeShade="BF"/>
              </w:rPr>
              <w:t>- būtina derinti naujas investicijas su planuojamais pokyčiais sveikatos priežiūros sistemoje ir investuoti į sisteminius veiksmus.</w:t>
            </w:r>
          </w:p>
        </w:tc>
      </w:tr>
    </w:tbl>
    <w:p w:rsidR="00574E3F" w:rsidRDefault="00574E3F" w:rsidP="00B3224A">
      <w:pPr>
        <w:jc w:val="both"/>
        <w:rPr>
          <w:color w:val="595959" w:themeColor="text1" w:themeTint="A6"/>
          <w:szCs w:val="24"/>
          <w:lang w:eastAsia="lt-LT"/>
        </w:rPr>
      </w:pPr>
    </w:p>
    <w:p w:rsidR="00027E8A" w:rsidRDefault="00F41DFD" w:rsidP="00B3224A">
      <w:pPr>
        <w:jc w:val="both"/>
        <w:rPr>
          <w:color w:val="595959" w:themeColor="text1" w:themeTint="A6"/>
          <w:szCs w:val="24"/>
          <w:lang w:eastAsia="lt-LT"/>
        </w:rPr>
      </w:pPr>
      <w:r>
        <w:rPr>
          <w:noProof/>
          <w:lang w:eastAsia="lt-LT"/>
        </w:rPr>
        <w:drawing>
          <wp:inline distT="0" distB="0" distL="0" distR="0" wp14:anchorId="678D8747" wp14:editId="75DF9FAC">
            <wp:extent cx="6120130" cy="728858"/>
            <wp:effectExtent l="0" t="0" r="13970" b="14605"/>
            <wp:docPr id="412" name="Diagrama 4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027E8A" w:rsidRDefault="00027E8A" w:rsidP="00B3224A">
      <w:pPr>
        <w:jc w:val="both"/>
        <w:rPr>
          <w:color w:val="595959" w:themeColor="text1" w:themeTint="A6"/>
          <w:szCs w:val="24"/>
          <w:lang w:eastAsia="lt-LT"/>
        </w:rPr>
      </w:pPr>
    </w:p>
    <w:p w:rsidR="00027E8A" w:rsidRDefault="00027E8A" w:rsidP="00027E8A">
      <w:pPr>
        <w:ind w:firstLine="426"/>
        <w:jc w:val="both"/>
        <w:rPr>
          <w:color w:val="595959" w:themeColor="text1" w:themeTint="A6"/>
          <w:szCs w:val="24"/>
          <w:lang w:eastAsia="lt-LT"/>
        </w:rPr>
      </w:pPr>
      <w:r>
        <w:rPr>
          <w:color w:val="595959" w:themeColor="text1" w:themeTint="A6"/>
          <w:szCs w:val="24"/>
          <w:lang w:eastAsia="lt-LT"/>
        </w:rPr>
        <w:t xml:space="preserve">Ekonomikos ir inovacijų </w:t>
      </w:r>
      <w:r w:rsidRPr="00027E8A">
        <w:rPr>
          <w:color w:val="595959" w:themeColor="text1" w:themeTint="A6"/>
          <w:szCs w:val="24"/>
          <w:lang w:eastAsia="lt-LT"/>
        </w:rPr>
        <w:t>ministerijo</w:t>
      </w:r>
      <w:r w:rsidR="00F62FC5">
        <w:rPr>
          <w:color w:val="595959" w:themeColor="text1" w:themeTint="A6"/>
          <w:szCs w:val="24"/>
          <w:lang w:eastAsia="lt-LT"/>
        </w:rPr>
        <w:t>s 8 prioriteto administruojamoje priemonėje, skirtoje</w:t>
      </w:r>
      <w:r w:rsidR="00F62FC5" w:rsidRPr="00F62FC5">
        <w:rPr>
          <w:color w:val="595959" w:themeColor="text1" w:themeTint="A6"/>
          <w:szCs w:val="24"/>
          <w:lang w:eastAsia="lt-LT"/>
        </w:rPr>
        <w:t xml:space="preserve"> socialinio verslo kūrimosi skatinimui, verslo pradžiai reikalingos įrangos ir paslaugų įsigijimui</w:t>
      </w:r>
      <w:r w:rsidR="00F62FC5">
        <w:rPr>
          <w:color w:val="595959" w:themeColor="text1" w:themeTint="A6"/>
          <w:szCs w:val="24"/>
          <w:lang w:eastAsia="lt-LT"/>
        </w:rPr>
        <w:t>, sutarčių sudaryta 94 proc., tačiau i</w:t>
      </w:r>
      <w:r>
        <w:rPr>
          <w:color w:val="595959" w:themeColor="text1" w:themeTint="A6"/>
          <w:szCs w:val="24"/>
          <w:lang w:eastAsia="lt-LT"/>
        </w:rPr>
        <w:t xml:space="preserve">nvesticijos tesiekia </w:t>
      </w:r>
      <w:r w:rsidR="00F41DFD">
        <w:rPr>
          <w:color w:val="595959" w:themeColor="text1" w:themeTint="A6"/>
          <w:szCs w:val="24"/>
          <w:lang w:eastAsia="lt-LT"/>
        </w:rPr>
        <w:t xml:space="preserve">21 </w:t>
      </w:r>
      <w:r>
        <w:rPr>
          <w:color w:val="595959" w:themeColor="text1" w:themeTint="A6"/>
          <w:szCs w:val="24"/>
          <w:lang w:eastAsia="lt-LT"/>
        </w:rPr>
        <w:t>proc.</w:t>
      </w:r>
    </w:p>
    <w:p w:rsidR="00027E8A" w:rsidRDefault="00F62FC5" w:rsidP="00F62FC5">
      <w:pPr>
        <w:ind w:firstLine="426"/>
        <w:jc w:val="both"/>
        <w:rPr>
          <w:color w:val="595959" w:themeColor="text1" w:themeTint="A6"/>
          <w:szCs w:val="24"/>
          <w:lang w:eastAsia="lt-LT"/>
        </w:rPr>
      </w:pPr>
      <w:r w:rsidRPr="00F62FC5">
        <w:rPr>
          <w:color w:val="595959" w:themeColor="text1" w:themeTint="A6"/>
          <w:szCs w:val="24"/>
          <w:lang w:eastAsia="lt-LT"/>
        </w:rPr>
        <w:t xml:space="preserve">Priemonės „Parama socialiniam verslui“ įgyvendinimas prasidėjo nuo renginių, skirtų socialinio verslo kūrimosi skatinimui, todėl priemonės įgyvendinimo spartai įtakos turėjo poreikis dėl </w:t>
      </w:r>
      <w:proofErr w:type="spellStart"/>
      <w:r w:rsidRPr="00F62FC5">
        <w:rPr>
          <w:color w:val="595959" w:themeColor="text1" w:themeTint="A6"/>
          <w:szCs w:val="24"/>
          <w:lang w:eastAsia="lt-LT"/>
        </w:rPr>
        <w:t>Covid-19</w:t>
      </w:r>
      <w:proofErr w:type="spellEnd"/>
      <w:r w:rsidRPr="00F62FC5">
        <w:rPr>
          <w:color w:val="595959" w:themeColor="text1" w:themeTint="A6"/>
          <w:szCs w:val="24"/>
          <w:lang w:eastAsia="lt-LT"/>
        </w:rPr>
        <w:t xml:space="preserve"> pandemijos perorientuoti veiklas į nuotolinius renginius.</w:t>
      </w:r>
    </w:p>
    <w:p w:rsidR="00F62FC5" w:rsidRDefault="00F62FC5" w:rsidP="00B3224A">
      <w:pPr>
        <w:jc w:val="both"/>
        <w:rPr>
          <w:color w:val="595959" w:themeColor="text1" w:themeTint="A6"/>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F62FC5" w:rsidRPr="0040787A" w:rsidTr="00B27131">
        <w:tc>
          <w:tcPr>
            <w:tcW w:w="9638" w:type="dxa"/>
            <w:tcBorders>
              <w:top w:val="nil"/>
              <w:left w:val="nil"/>
              <w:bottom w:val="nil"/>
              <w:right w:val="nil"/>
            </w:tcBorders>
            <w:shd w:val="clear" w:color="auto" w:fill="D9D9D9" w:themeFill="background1" w:themeFillShade="D9"/>
          </w:tcPr>
          <w:p w:rsidR="00F62FC5" w:rsidRPr="0040787A" w:rsidRDefault="00F62FC5" w:rsidP="00B27131">
            <w:pPr>
              <w:jc w:val="both"/>
              <w:rPr>
                <w:b/>
                <w:color w:val="365F91" w:themeColor="accent1" w:themeShade="BF"/>
              </w:rPr>
            </w:pPr>
            <w:r>
              <w:rPr>
                <w:b/>
                <w:color w:val="365F91" w:themeColor="accent1" w:themeShade="BF"/>
              </w:rPr>
              <w:t>Siūlymas</w:t>
            </w:r>
            <w:r>
              <w:t xml:space="preserve"> </w:t>
            </w:r>
            <w:r>
              <w:rPr>
                <w:b/>
                <w:color w:val="365F91" w:themeColor="accent1" w:themeShade="BF"/>
              </w:rPr>
              <w:t>Ekonomikos ir inovacijų</w:t>
            </w:r>
            <w:r>
              <w:t xml:space="preserve"> </w:t>
            </w:r>
            <w:r w:rsidRPr="0040787A">
              <w:rPr>
                <w:b/>
                <w:color w:val="365F91" w:themeColor="accent1" w:themeShade="BF"/>
              </w:rPr>
              <w:t>ministerijai:</w:t>
            </w:r>
          </w:p>
          <w:p w:rsidR="00F62FC5" w:rsidRPr="00835C89" w:rsidRDefault="00F62FC5" w:rsidP="00B27131">
            <w:pPr>
              <w:jc w:val="both"/>
              <w:rPr>
                <w:color w:val="365F91" w:themeColor="accent1" w:themeShade="BF"/>
              </w:rPr>
            </w:pPr>
            <w:r w:rsidRPr="00C80E88">
              <w:rPr>
                <w:color w:val="365F91" w:themeColor="accent1" w:themeShade="BF"/>
                <w:szCs w:val="24"/>
              </w:rPr>
              <w:t>- kartu su ESFA įvertinti kokiomis kitomis priemonėmis galima būtų paskatinti socialinio verslo kūrimąsi, ne tik organizuojant renginius.</w:t>
            </w:r>
          </w:p>
        </w:tc>
      </w:tr>
    </w:tbl>
    <w:p w:rsidR="00F62FC5" w:rsidRDefault="00F62FC5" w:rsidP="00B3224A">
      <w:pPr>
        <w:jc w:val="both"/>
        <w:rPr>
          <w:color w:val="595959" w:themeColor="text1" w:themeTint="A6"/>
          <w:szCs w:val="24"/>
          <w:lang w:eastAsia="lt-LT"/>
        </w:rPr>
      </w:pPr>
    </w:p>
    <w:p w:rsidR="00C92FA0" w:rsidRDefault="00162A31" w:rsidP="00B3224A">
      <w:pPr>
        <w:jc w:val="both"/>
        <w:rPr>
          <w:color w:val="595959" w:themeColor="text1" w:themeTint="A6"/>
          <w:szCs w:val="24"/>
          <w:lang w:eastAsia="lt-LT"/>
        </w:rPr>
      </w:pPr>
      <w:r>
        <w:rPr>
          <w:noProof/>
          <w:lang w:eastAsia="lt-LT"/>
        </w:rPr>
        <w:drawing>
          <wp:inline distT="0" distB="0" distL="0" distR="0" wp14:anchorId="5DE3E225" wp14:editId="3FE6BAB1">
            <wp:extent cx="6120130" cy="1032654"/>
            <wp:effectExtent l="0" t="0" r="13970" b="15240"/>
            <wp:docPr id="413" name="Diagrama 4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144B35" w:rsidRPr="00C4777B" w:rsidRDefault="00144B35" w:rsidP="00B3224A">
      <w:pPr>
        <w:jc w:val="both"/>
        <w:rPr>
          <w:color w:val="595959" w:themeColor="text1" w:themeTint="A6"/>
          <w:szCs w:val="24"/>
          <w:lang w:eastAsia="lt-LT"/>
        </w:rPr>
      </w:pPr>
    </w:p>
    <w:p w:rsidR="005302BF" w:rsidRPr="00C4777B" w:rsidRDefault="005302BF" w:rsidP="00027E8A">
      <w:pPr>
        <w:ind w:firstLine="426"/>
        <w:jc w:val="both"/>
        <w:rPr>
          <w:color w:val="595959" w:themeColor="text1" w:themeTint="A6"/>
          <w:szCs w:val="24"/>
          <w:lang w:eastAsia="lt-LT"/>
        </w:rPr>
      </w:pPr>
      <w:r w:rsidRPr="00C4777B">
        <w:rPr>
          <w:color w:val="595959" w:themeColor="text1" w:themeTint="A6"/>
          <w:szCs w:val="24"/>
          <w:lang w:eastAsia="lt-LT"/>
        </w:rPr>
        <w:t xml:space="preserve">Vidaus reikalų </w:t>
      </w:r>
      <w:r w:rsidR="00027E8A" w:rsidRPr="00027E8A">
        <w:rPr>
          <w:color w:val="595959" w:themeColor="text1" w:themeTint="A6"/>
          <w:szCs w:val="24"/>
          <w:lang w:eastAsia="lt-LT"/>
        </w:rPr>
        <w:t xml:space="preserve">ministerija sudarė sutartis visoms </w:t>
      </w:r>
      <w:r w:rsidR="00027E8A">
        <w:rPr>
          <w:color w:val="595959" w:themeColor="text1" w:themeTint="A6"/>
          <w:szCs w:val="24"/>
          <w:lang w:eastAsia="lt-LT"/>
        </w:rPr>
        <w:t>8</w:t>
      </w:r>
      <w:r w:rsidR="00027E8A" w:rsidRPr="00027E8A">
        <w:rPr>
          <w:color w:val="595959" w:themeColor="text1" w:themeTint="A6"/>
          <w:szCs w:val="24"/>
          <w:lang w:eastAsia="lt-LT"/>
        </w:rPr>
        <w:t xml:space="preserve"> prioriteto administruojamų priemonių lėšoms</w:t>
      </w:r>
      <w:r w:rsidR="00027E8A">
        <w:rPr>
          <w:color w:val="595959" w:themeColor="text1" w:themeTint="A6"/>
          <w:szCs w:val="24"/>
          <w:lang w:eastAsia="lt-LT"/>
        </w:rPr>
        <w:t xml:space="preserve">. Papildomai </w:t>
      </w:r>
      <w:r w:rsidR="00027E8A" w:rsidRPr="00027E8A">
        <w:rPr>
          <w:color w:val="595959" w:themeColor="text1" w:themeTint="A6"/>
          <w:szCs w:val="24"/>
          <w:lang w:eastAsia="lt-LT"/>
        </w:rPr>
        <w:t xml:space="preserve">ministerijai yra numatyta </w:t>
      </w:r>
      <w:r w:rsidR="00027E8A">
        <w:rPr>
          <w:color w:val="595959" w:themeColor="text1" w:themeTint="A6"/>
          <w:szCs w:val="24"/>
          <w:lang w:eastAsia="lt-LT"/>
        </w:rPr>
        <w:t>3 mln. eurų ERPF lėšų ir 6</w:t>
      </w:r>
      <w:r w:rsidR="00027E8A" w:rsidRPr="00027E8A">
        <w:rPr>
          <w:color w:val="595959" w:themeColor="text1" w:themeTint="A6"/>
          <w:szCs w:val="24"/>
          <w:lang w:eastAsia="lt-LT"/>
        </w:rPr>
        <w:t xml:space="preserve"> mln. eurų ESF lėšų </w:t>
      </w:r>
      <w:proofErr w:type="spellStart"/>
      <w:r w:rsidR="00027E8A" w:rsidRPr="00027E8A">
        <w:rPr>
          <w:color w:val="595959" w:themeColor="text1" w:themeTint="A6"/>
          <w:szCs w:val="24"/>
          <w:lang w:eastAsia="lt-LT"/>
        </w:rPr>
        <w:t>virškontraktavimo</w:t>
      </w:r>
      <w:proofErr w:type="spellEnd"/>
      <w:r w:rsidR="00027E8A" w:rsidRPr="00027E8A">
        <w:rPr>
          <w:color w:val="595959" w:themeColor="text1" w:themeTint="A6"/>
          <w:szCs w:val="24"/>
          <w:lang w:eastAsia="lt-LT"/>
        </w:rPr>
        <w:t xml:space="preserve"> galimybė</w:t>
      </w:r>
      <w:r w:rsidR="00027E8A">
        <w:rPr>
          <w:color w:val="595959" w:themeColor="text1" w:themeTint="A6"/>
          <w:szCs w:val="24"/>
          <w:lang w:eastAsia="lt-LT"/>
        </w:rPr>
        <w:t>. Lėšų</w:t>
      </w:r>
      <w:r w:rsidRPr="00C4777B">
        <w:rPr>
          <w:color w:val="595959" w:themeColor="text1" w:themeTint="A6"/>
          <w:szCs w:val="24"/>
          <w:lang w:eastAsia="lt-LT"/>
        </w:rPr>
        <w:t xml:space="preserve"> </w:t>
      </w:r>
      <w:r w:rsidR="00027E8A">
        <w:rPr>
          <w:color w:val="595959" w:themeColor="text1" w:themeTint="A6"/>
          <w:szCs w:val="24"/>
          <w:lang w:eastAsia="lt-LT"/>
        </w:rPr>
        <w:t xml:space="preserve">investavimas yra sklandus ir </w:t>
      </w:r>
      <w:r w:rsidR="008C6B63">
        <w:rPr>
          <w:color w:val="595959" w:themeColor="text1" w:themeTint="A6"/>
          <w:szCs w:val="24"/>
          <w:lang w:eastAsia="lt-LT"/>
        </w:rPr>
        <w:t>atitinka</w:t>
      </w:r>
      <w:r w:rsidR="00027E8A">
        <w:rPr>
          <w:color w:val="595959" w:themeColor="text1" w:themeTint="A6"/>
          <w:szCs w:val="24"/>
          <w:lang w:eastAsia="lt-LT"/>
        </w:rPr>
        <w:t xml:space="preserve"> Veiksmų programos vidurkį</w:t>
      </w:r>
      <w:r w:rsidRPr="00C4777B">
        <w:rPr>
          <w:color w:val="595959" w:themeColor="text1" w:themeTint="A6"/>
          <w:szCs w:val="24"/>
          <w:lang w:eastAsia="lt-LT"/>
        </w:rPr>
        <w:t>.</w:t>
      </w:r>
    </w:p>
    <w:p w:rsidR="00027E8A" w:rsidRDefault="00F62FC5" w:rsidP="00F62FC5">
      <w:pPr>
        <w:ind w:firstLine="426"/>
        <w:jc w:val="both"/>
        <w:rPr>
          <w:color w:val="595959" w:themeColor="text1" w:themeTint="A6"/>
          <w:szCs w:val="24"/>
          <w:lang w:eastAsia="lt-LT"/>
        </w:rPr>
      </w:pPr>
      <w:r>
        <w:rPr>
          <w:color w:val="595959" w:themeColor="text1" w:themeTint="A6"/>
          <w:szCs w:val="24"/>
          <w:lang w:eastAsia="lt-LT"/>
        </w:rPr>
        <w:t>M</w:t>
      </w:r>
      <w:r w:rsidRPr="00F62FC5">
        <w:rPr>
          <w:color w:val="595959" w:themeColor="text1" w:themeTint="A6"/>
          <w:szCs w:val="24"/>
          <w:lang w:eastAsia="lt-LT"/>
        </w:rPr>
        <w:t xml:space="preserve">inisterija sėkmingai įgyvendina </w:t>
      </w:r>
      <w:r>
        <w:rPr>
          <w:color w:val="595959" w:themeColor="text1" w:themeTint="A6"/>
          <w:szCs w:val="24"/>
          <w:lang w:eastAsia="lt-LT"/>
        </w:rPr>
        <w:t xml:space="preserve">ERPF lėšomis finansuojamas </w:t>
      </w:r>
      <w:r w:rsidRPr="00F62FC5">
        <w:rPr>
          <w:color w:val="595959" w:themeColor="text1" w:themeTint="A6"/>
          <w:szCs w:val="24"/>
          <w:lang w:eastAsia="lt-LT"/>
        </w:rPr>
        <w:t>priemones, kuriomis siekiama sumažinti geografinių sąlygų ir demografinių procesų sukeliamus gyvenimo kokybės netolygumus investuojant į k</w:t>
      </w:r>
      <w:r>
        <w:rPr>
          <w:color w:val="595959" w:themeColor="text1" w:themeTint="A6"/>
          <w:szCs w:val="24"/>
          <w:lang w:eastAsia="lt-LT"/>
        </w:rPr>
        <w:t>aimiškųjų vietovių atnaujinimą.</w:t>
      </w:r>
    </w:p>
    <w:p w:rsidR="00F62FC5" w:rsidRPr="00F62FC5" w:rsidRDefault="00C60D7B" w:rsidP="00F62FC5">
      <w:pPr>
        <w:ind w:firstLine="426"/>
        <w:jc w:val="both"/>
        <w:rPr>
          <w:color w:val="595959" w:themeColor="text1" w:themeTint="A6"/>
          <w:szCs w:val="24"/>
          <w:lang w:eastAsia="lt-LT"/>
        </w:rPr>
      </w:pPr>
      <w:r>
        <w:rPr>
          <w:color w:val="595959" w:themeColor="text1" w:themeTint="A6"/>
          <w:szCs w:val="24"/>
          <w:lang w:eastAsia="lt-LT"/>
        </w:rPr>
        <w:t xml:space="preserve">Taip pat šiame prioritete finansuojama </w:t>
      </w:r>
      <w:r w:rsidR="00F62FC5" w:rsidRPr="00F62FC5">
        <w:rPr>
          <w:color w:val="595959" w:themeColor="text1" w:themeTint="A6"/>
          <w:szCs w:val="24"/>
          <w:lang w:eastAsia="lt-LT"/>
        </w:rPr>
        <w:t>bendr</w:t>
      </w:r>
      <w:r>
        <w:rPr>
          <w:color w:val="595959" w:themeColor="text1" w:themeTint="A6"/>
          <w:szCs w:val="24"/>
          <w:lang w:eastAsia="lt-LT"/>
        </w:rPr>
        <w:t>uomenių inicijuota vietos plėtra</w:t>
      </w:r>
      <w:r w:rsidR="00F62FC5" w:rsidRPr="00F62FC5">
        <w:rPr>
          <w:color w:val="595959" w:themeColor="text1" w:themeTint="A6"/>
          <w:szCs w:val="24"/>
          <w:lang w:eastAsia="lt-LT"/>
        </w:rPr>
        <w:t xml:space="preserve"> (BIVP), kurios pagalba siekiama įtraukti konkrečių miestų vietos veiklos grupes, leidžiančias problemas visoms suinteresuotoms grupėms spręsti kartu – įgyvendinant vietos plėtros strategijas. 2014-2020 m. 39 vietos bendruomenės įgyvendina strategijas, kurių tikslas yra pagerinti vietines įsidarbinimo galimybes ir didinti bendruomenių socialinę integraciją, išnaudojant vietos bendruomenių, verslo ir vietos valdžios ryšius. </w:t>
      </w:r>
    </w:p>
    <w:p w:rsidR="001817D5" w:rsidRDefault="00C60D7B" w:rsidP="001817D5">
      <w:pPr>
        <w:ind w:firstLine="426"/>
        <w:jc w:val="both"/>
        <w:rPr>
          <w:color w:val="595959" w:themeColor="text1" w:themeTint="A6"/>
          <w:szCs w:val="24"/>
          <w:lang w:eastAsia="lt-LT"/>
        </w:rPr>
      </w:pPr>
      <w:r>
        <w:rPr>
          <w:color w:val="595959" w:themeColor="text1" w:themeTint="A6"/>
          <w:szCs w:val="24"/>
          <w:lang w:eastAsia="lt-LT"/>
        </w:rPr>
        <w:t xml:space="preserve">Per 2020 m. IV </w:t>
      </w:r>
      <w:proofErr w:type="spellStart"/>
      <w:r w:rsidR="00F62FC5" w:rsidRPr="00F62FC5">
        <w:rPr>
          <w:color w:val="595959" w:themeColor="text1" w:themeTint="A6"/>
          <w:szCs w:val="24"/>
          <w:lang w:eastAsia="lt-LT"/>
        </w:rPr>
        <w:t>ketv</w:t>
      </w:r>
      <w:proofErr w:type="spellEnd"/>
      <w:r w:rsidR="00B37DCD">
        <w:rPr>
          <w:color w:val="595959" w:themeColor="text1" w:themeTint="A6"/>
          <w:szCs w:val="24"/>
          <w:lang w:eastAsia="lt-LT"/>
        </w:rPr>
        <w:t xml:space="preserve"> – 2021 m. I </w:t>
      </w:r>
      <w:proofErr w:type="spellStart"/>
      <w:r w:rsidR="00B37DCD">
        <w:rPr>
          <w:color w:val="595959" w:themeColor="text1" w:themeTint="A6"/>
          <w:szCs w:val="24"/>
          <w:lang w:eastAsia="lt-LT"/>
        </w:rPr>
        <w:t>ketv</w:t>
      </w:r>
      <w:proofErr w:type="spellEnd"/>
      <w:r w:rsidR="00F62FC5" w:rsidRPr="00F62FC5">
        <w:rPr>
          <w:color w:val="595959" w:themeColor="text1" w:themeTint="A6"/>
          <w:szCs w:val="24"/>
          <w:lang w:eastAsia="lt-LT"/>
        </w:rPr>
        <w:t xml:space="preserve">. pasiekta pažanga investuojant lėšas </w:t>
      </w:r>
      <w:r w:rsidR="00162A31">
        <w:rPr>
          <w:color w:val="595959" w:themeColor="text1" w:themeTint="A6"/>
          <w:szCs w:val="24"/>
          <w:lang w:eastAsia="lt-LT"/>
        </w:rPr>
        <w:t>(</w:t>
      </w:r>
      <w:r w:rsidR="006D6A4D">
        <w:rPr>
          <w:color w:val="595959" w:themeColor="text1" w:themeTint="A6"/>
          <w:szCs w:val="24"/>
          <w:lang w:eastAsia="lt-LT"/>
        </w:rPr>
        <w:t>per 2020 m.</w:t>
      </w:r>
      <w:r w:rsidR="006D6A4D" w:rsidRPr="006D6A4D">
        <w:rPr>
          <w:color w:val="595959" w:themeColor="text1" w:themeTint="A6"/>
          <w:szCs w:val="24"/>
          <w:lang w:eastAsia="lt-LT"/>
        </w:rPr>
        <w:t xml:space="preserve"> </w:t>
      </w:r>
      <w:r w:rsidR="006D6A4D">
        <w:rPr>
          <w:color w:val="595959" w:themeColor="text1" w:themeTint="A6"/>
          <w:szCs w:val="24"/>
          <w:lang w:eastAsia="lt-LT"/>
        </w:rPr>
        <w:t xml:space="preserve">– 2021 m. I </w:t>
      </w:r>
      <w:proofErr w:type="spellStart"/>
      <w:r w:rsidR="006D6A4D">
        <w:rPr>
          <w:color w:val="595959" w:themeColor="text1" w:themeTint="A6"/>
          <w:szCs w:val="24"/>
          <w:lang w:eastAsia="lt-LT"/>
        </w:rPr>
        <w:t>ketv</w:t>
      </w:r>
      <w:proofErr w:type="spellEnd"/>
      <w:r w:rsidR="006D6A4D">
        <w:rPr>
          <w:color w:val="595959" w:themeColor="text1" w:themeTint="A6"/>
          <w:szCs w:val="24"/>
          <w:lang w:eastAsia="lt-LT"/>
        </w:rPr>
        <w:t>. išmokėta</w:t>
      </w:r>
      <w:r w:rsidR="00162A31">
        <w:rPr>
          <w:color w:val="595959" w:themeColor="text1" w:themeTint="A6"/>
          <w:szCs w:val="24"/>
          <w:lang w:eastAsia="lt-LT"/>
        </w:rPr>
        <w:t xml:space="preserve"> </w:t>
      </w:r>
      <w:r w:rsidR="006D6A4D">
        <w:rPr>
          <w:color w:val="595959" w:themeColor="text1" w:themeTint="A6"/>
          <w:szCs w:val="24"/>
          <w:lang w:eastAsia="lt-LT"/>
        </w:rPr>
        <w:t>3</w:t>
      </w:r>
      <w:r w:rsidR="006D6A4D" w:rsidRPr="00F62FC5">
        <w:rPr>
          <w:color w:val="595959" w:themeColor="text1" w:themeTint="A6"/>
          <w:szCs w:val="24"/>
          <w:lang w:eastAsia="lt-LT"/>
        </w:rPr>
        <w:t xml:space="preserve">9 </w:t>
      </w:r>
      <w:r w:rsidR="00F62FC5" w:rsidRPr="00F62FC5">
        <w:rPr>
          <w:color w:val="595959" w:themeColor="text1" w:themeTint="A6"/>
          <w:szCs w:val="24"/>
          <w:lang w:eastAsia="lt-LT"/>
        </w:rPr>
        <w:t>proc. visos iki šiol išmokėtos sumos), tačiau būtina skirti didelį dėmesį kom</w:t>
      </w:r>
      <w:r>
        <w:rPr>
          <w:color w:val="595959" w:themeColor="text1" w:themeTint="A6"/>
          <w:szCs w:val="24"/>
          <w:lang w:eastAsia="lt-LT"/>
        </w:rPr>
        <w:t>unikacijai</w:t>
      </w:r>
      <w:r w:rsidR="00F62FC5" w:rsidRPr="00F62FC5">
        <w:rPr>
          <w:color w:val="595959" w:themeColor="text1" w:themeTint="A6"/>
          <w:szCs w:val="24"/>
          <w:lang w:eastAsia="lt-LT"/>
        </w:rPr>
        <w:t xml:space="preserve"> ir </w:t>
      </w:r>
      <w:r>
        <w:rPr>
          <w:color w:val="595959" w:themeColor="text1" w:themeTint="A6"/>
          <w:szCs w:val="24"/>
          <w:lang w:eastAsia="lt-LT"/>
        </w:rPr>
        <w:t>metodinės pagalbos teikimui</w:t>
      </w:r>
      <w:r w:rsidR="00F62FC5" w:rsidRPr="00F62FC5">
        <w:rPr>
          <w:color w:val="595959" w:themeColor="text1" w:themeTint="A6"/>
          <w:szCs w:val="24"/>
          <w:lang w:eastAsia="lt-LT"/>
        </w:rPr>
        <w:t xml:space="preserve"> lėčiau investicijas įgyvendinančioms </w:t>
      </w:r>
      <w:r w:rsidR="00F62FC5" w:rsidRPr="00F62FC5">
        <w:rPr>
          <w:color w:val="595959" w:themeColor="text1" w:themeTint="A6"/>
          <w:szCs w:val="24"/>
          <w:lang w:eastAsia="lt-LT"/>
        </w:rPr>
        <w:lastRenderedPageBreak/>
        <w:t xml:space="preserve">bendruomenėms, kurios susiduria su </w:t>
      </w:r>
      <w:proofErr w:type="spellStart"/>
      <w:r w:rsidR="00F62FC5" w:rsidRPr="00F62FC5">
        <w:rPr>
          <w:color w:val="595959" w:themeColor="text1" w:themeTint="A6"/>
          <w:szCs w:val="24"/>
          <w:lang w:eastAsia="lt-LT"/>
        </w:rPr>
        <w:t>C</w:t>
      </w:r>
      <w:r>
        <w:rPr>
          <w:color w:val="595959" w:themeColor="text1" w:themeTint="A6"/>
          <w:szCs w:val="24"/>
          <w:lang w:eastAsia="lt-LT"/>
        </w:rPr>
        <w:t>ovid</w:t>
      </w:r>
      <w:r w:rsidR="00F62FC5" w:rsidRPr="00F62FC5">
        <w:rPr>
          <w:color w:val="595959" w:themeColor="text1" w:themeTint="A6"/>
          <w:szCs w:val="24"/>
          <w:lang w:eastAsia="lt-LT"/>
        </w:rPr>
        <w:t>-19</w:t>
      </w:r>
      <w:proofErr w:type="spellEnd"/>
      <w:r w:rsidR="00F62FC5" w:rsidRPr="00F62FC5">
        <w:rPr>
          <w:color w:val="595959" w:themeColor="text1" w:themeTint="A6"/>
          <w:szCs w:val="24"/>
          <w:lang w:eastAsia="lt-LT"/>
        </w:rPr>
        <w:t xml:space="preserve"> pandemijos padariniais, t. y. sklandžia</w:t>
      </w:r>
      <w:r>
        <w:rPr>
          <w:color w:val="595959" w:themeColor="text1" w:themeTint="A6"/>
          <w:szCs w:val="24"/>
          <w:lang w:eastAsia="lt-LT"/>
        </w:rPr>
        <w:t xml:space="preserve">i nevyksta arba visai nevyksta </w:t>
      </w:r>
      <w:r w:rsidR="00F62FC5" w:rsidRPr="00F62FC5">
        <w:rPr>
          <w:color w:val="595959" w:themeColor="text1" w:themeTint="A6"/>
          <w:szCs w:val="24"/>
          <w:lang w:eastAsia="lt-LT"/>
        </w:rPr>
        <w:t>mokymų, socialinių paslaugų teikimo ar socialinės integracijos veiklos.</w:t>
      </w:r>
    </w:p>
    <w:p w:rsidR="001817D5" w:rsidRPr="00F62FC5" w:rsidRDefault="00A6010C" w:rsidP="001817D5">
      <w:pPr>
        <w:ind w:firstLine="426"/>
        <w:jc w:val="both"/>
        <w:rPr>
          <w:color w:val="595959" w:themeColor="text1" w:themeTint="A6"/>
          <w:szCs w:val="24"/>
          <w:lang w:eastAsia="lt-LT"/>
        </w:rPr>
      </w:pPr>
      <w:r w:rsidRPr="004D5DB0">
        <w:rPr>
          <w:color w:val="595959" w:themeColor="text1" w:themeTint="A6"/>
          <w:szCs w:val="24"/>
          <w:lang w:eastAsia="lt-LT"/>
        </w:rPr>
        <w:t>Nuo</w:t>
      </w:r>
      <w:r w:rsidR="001817D5" w:rsidRPr="004D5DB0">
        <w:rPr>
          <w:color w:val="595959" w:themeColor="text1" w:themeTint="A6"/>
          <w:szCs w:val="24"/>
          <w:lang w:eastAsia="lt-LT"/>
        </w:rPr>
        <w:t xml:space="preserve"> laikotarp</w:t>
      </w:r>
      <w:r w:rsidRPr="004D5DB0">
        <w:rPr>
          <w:color w:val="595959" w:themeColor="text1" w:themeTint="A6"/>
          <w:szCs w:val="24"/>
          <w:lang w:eastAsia="lt-LT"/>
        </w:rPr>
        <w:t>io</w:t>
      </w:r>
      <w:r w:rsidR="001817D5" w:rsidRPr="004D5DB0">
        <w:rPr>
          <w:color w:val="595959" w:themeColor="text1" w:themeTint="A6"/>
          <w:szCs w:val="24"/>
          <w:lang w:eastAsia="lt-LT"/>
        </w:rPr>
        <w:t xml:space="preserve"> </w:t>
      </w:r>
      <w:r w:rsidRPr="004D5DB0">
        <w:rPr>
          <w:color w:val="595959" w:themeColor="text1" w:themeTint="A6"/>
          <w:szCs w:val="24"/>
          <w:lang w:eastAsia="lt-LT"/>
        </w:rPr>
        <w:t>pradžios didelis dėmesys skirtas vietos veiklos grupių</w:t>
      </w:r>
      <w:r w:rsidR="00DB2E32" w:rsidRPr="004D5DB0">
        <w:rPr>
          <w:color w:val="595959" w:themeColor="text1" w:themeTint="A6"/>
          <w:szCs w:val="24"/>
          <w:lang w:eastAsia="lt-LT"/>
        </w:rPr>
        <w:t xml:space="preserve"> (VVG)</w:t>
      </w:r>
      <w:r w:rsidRPr="004D5DB0">
        <w:rPr>
          <w:color w:val="595959" w:themeColor="text1" w:themeTint="A6"/>
          <w:szCs w:val="24"/>
          <w:lang w:eastAsia="lt-LT"/>
        </w:rPr>
        <w:t>, kurios atrenka ir administruoja bendruomenės inicijuotus projektus, gebėjimams stiprinti. Imtasi priemonių</w:t>
      </w:r>
      <w:r w:rsidR="001817D5" w:rsidRPr="004D5DB0">
        <w:rPr>
          <w:color w:val="595959" w:themeColor="text1" w:themeTint="A6"/>
          <w:szCs w:val="24"/>
          <w:lang w:eastAsia="lt-LT"/>
        </w:rPr>
        <w:t xml:space="preserve"> supaprastinti </w:t>
      </w:r>
      <w:r w:rsidRPr="004D5DB0">
        <w:rPr>
          <w:color w:val="595959" w:themeColor="text1" w:themeTint="A6"/>
          <w:szCs w:val="24"/>
          <w:lang w:eastAsia="lt-LT"/>
        </w:rPr>
        <w:t>projektų atrankos</w:t>
      </w:r>
      <w:r w:rsidR="001817D5" w:rsidRPr="004D5DB0">
        <w:rPr>
          <w:color w:val="595959" w:themeColor="text1" w:themeTint="A6"/>
          <w:szCs w:val="24"/>
          <w:lang w:eastAsia="lt-LT"/>
        </w:rPr>
        <w:t xml:space="preserve"> procesus (</w:t>
      </w:r>
      <w:r w:rsidRPr="004D5DB0">
        <w:rPr>
          <w:color w:val="595959" w:themeColor="text1" w:themeTint="A6"/>
          <w:szCs w:val="24"/>
          <w:lang w:eastAsia="lt-LT"/>
        </w:rPr>
        <w:t xml:space="preserve">atrankos procesas </w:t>
      </w:r>
      <w:r w:rsidR="001817D5" w:rsidRPr="004D5DB0">
        <w:rPr>
          <w:color w:val="595959" w:themeColor="text1" w:themeTint="A6"/>
          <w:szCs w:val="24"/>
          <w:lang w:eastAsia="lt-LT"/>
        </w:rPr>
        <w:t>sutrumpėjo 2 mėn.), sukurtos papildomos metodinės priemonės (pagalbiniai–pavyzdiniai vertinimo do</w:t>
      </w:r>
      <w:r w:rsidR="006A1D73">
        <w:rPr>
          <w:color w:val="595959" w:themeColor="text1" w:themeTint="A6"/>
          <w:szCs w:val="24"/>
          <w:lang w:eastAsia="lt-LT"/>
        </w:rPr>
        <w:t xml:space="preserve">kumentai ir pan.), organizuoti </w:t>
      </w:r>
      <w:r w:rsidR="001817D5" w:rsidRPr="004D5DB0">
        <w:rPr>
          <w:color w:val="595959" w:themeColor="text1" w:themeTint="A6"/>
          <w:szCs w:val="24"/>
          <w:lang w:eastAsia="lt-LT"/>
        </w:rPr>
        <w:t>mokym</w:t>
      </w:r>
      <w:r w:rsidR="00DB2E32" w:rsidRPr="004D5DB0">
        <w:rPr>
          <w:color w:val="595959" w:themeColor="text1" w:themeTint="A6"/>
          <w:szCs w:val="24"/>
          <w:lang w:eastAsia="lt-LT"/>
        </w:rPr>
        <w:t>ai</w:t>
      </w:r>
      <w:r w:rsidR="001817D5" w:rsidRPr="004D5DB0">
        <w:rPr>
          <w:color w:val="595959" w:themeColor="text1" w:themeTint="A6"/>
          <w:szCs w:val="24"/>
          <w:lang w:eastAsia="lt-LT"/>
        </w:rPr>
        <w:t xml:space="preserve">, diskusijos, siekiant </w:t>
      </w:r>
      <w:r w:rsidR="00DB2E32" w:rsidRPr="004D5DB0">
        <w:rPr>
          <w:color w:val="595959" w:themeColor="text1" w:themeTint="A6"/>
          <w:szCs w:val="24"/>
          <w:lang w:eastAsia="lt-LT"/>
        </w:rPr>
        <w:t>veiksmingo</w:t>
      </w:r>
      <w:r w:rsidR="006A1D73">
        <w:rPr>
          <w:color w:val="595959" w:themeColor="text1" w:themeTint="A6"/>
          <w:szCs w:val="24"/>
          <w:lang w:eastAsia="lt-LT"/>
        </w:rPr>
        <w:t xml:space="preserve"> priemonės įgyvendinimo. </w:t>
      </w:r>
      <w:r w:rsidR="00DB2E32" w:rsidRPr="004D5DB0">
        <w:rPr>
          <w:color w:val="595959" w:themeColor="text1" w:themeTint="A6"/>
          <w:szCs w:val="24"/>
          <w:lang w:eastAsia="lt-LT"/>
        </w:rPr>
        <w:t xml:space="preserve">2020 m. pabaigoje sudarytos visos projektų sutartys, </w:t>
      </w:r>
      <w:r w:rsidR="001817D5" w:rsidRPr="004D5DB0">
        <w:rPr>
          <w:color w:val="595959" w:themeColor="text1" w:themeTint="A6"/>
          <w:szCs w:val="24"/>
          <w:lang w:eastAsia="lt-LT"/>
        </w:rPr>
        <w:t>daug investicijų skirta socialin</w:t>
      </w:r>
      <w:r w:rsidRPr="004D5DB0">
        <w:rPr>
          <w:color w:val="595959" w:themeColor="text1" w:themeTint="A6"/>
          <w:szCs w:val="24"/>
          <w:lang w:eastAsia="lt-LT"/>
        </w:rPr>
        <w:t>ei</w:t>
      </w:r>
      <w:r w:rsidR="001817D5" w:rsidRPr="004D5DB0">
        <w:rPr>
          <w:color w:val="595959" w:themeColor="text1" w:themeTint="A6"/>
          <w:szCs w:val="24"/>
          <w:lang w:eastAsia="lt-LT"/>
        </w:rPr>
        <w:t xml:space="preserve"> integracij</w:t>
      </w:r>
      <w:r w:rsidRPr="004D5DB0">
        <w:rPr>
          <w:color w:val="595959" w:themeColor="text1" w:themeTint="A6"/>
          <w:szCs w:val="24"/>
          <w:lang w:eastAsia="lt-LT"/>
        </w:rPr>
        <w:t>ai</w:t>
      </w:r>
      <w:r w:rsidR="001817D5" w:rsidRPr="004D5DB0">
        <w:rPr>
          <w:color w:val="595959" w:themeColor="text1" w:themeTint="A6"/>
          <w:szCs w:val="24"/>
          <w:lang w:eastAsia="lt-LT"/>
        </w:rPr>
        <w:t xml:space="preserve">, tačiau vis dar jaučiama </w:t>
      </w:r>
      <w:r w:rsidR="00DB2E32" w:rsidRPr="004D5DB0">
        <w:rPr>
          <w:color w:val="595959" w:themeColor="text1" w:themeTint="A6"/>
          <w:szCs w:val="24"/>
          <w:lang w:eastAsia="lt-LT"/>
        </w:rPr>
        <w:t xml:space="preserve">VVG </w:t>
      </w:r>
      <w:r w:rsidR="001817D5" w:rsidRPr="004D5DB0">
        <w:rPr>
          <w:color w:val="595959" w:themeColor="text1" w:themeTint="A6"/>
          <w:szCs w:val="24"/>
          <w:lang w:eastAsia="lt-LT"/>
        </w:rPr>
        <w:t>gebėjimų stoka (finan</w:t>
      </w:r>
      <w:r w:rsidR="006A1D73">
        <w:rPr>
          <w:color w:val="595959" w:themeColor="text1" w:themeTint="A6"/>
          <w:szCs w:val="24"/>
          <w:lang w:eastAsia="lt-LT"/>
        </w:rPr>
        <w:t>savimas numatytas 2021-2027 m. laikotarpyje</w:t>
      </w:r>
      <w:r w:rsidR="001817D5" w:rsidRPr="004D5DB0">
        <w:rPr>
          <w:color w:val="595959" w:themeColor="text1" w:themeTint="A6"/>
          <w:szCs w:val="24"/>
          <w:lang w:eastAsia="lt-LT"/>
        </w:rPr>
        <w:t>).</w:t>
      </w:r>
    </w:p>
    <w:p w:rsidR="001817D5" w:rsidRPr="004D5DB0" w:rsidRDefault="001817D5" w:rsidP="001817D5">
      <w:pPr>
        <w:tabs>
          <w:tab w:val="left" w:pos="0"/>
          <w:tab w:val="left" w:pos="567"/>
        </w:tabs>
        <w:autoSpaceDE w:val="0"/>
        <w:autoSpaceDN w:val="0"/>
        <w:adjustRightInd w:val="0"/>
        <w:jc w:val="both"/>
        <w:rPr>
          <w:color w:val="595959" w:themeColor="text1" w:themeTint="A6"/>
          <w:szCs w:val="24"/>
          <w:lang w:eastAsia="lt-LT"/>
        </w:rPr>
      </w:pPr>
      <w:r w:rsidRPr="00F30BDF">
        <w:rPr>
          <w:color w:val="595959" w:themeColor="text1" w:themeTint="A6"/>
          <w:szCs w:val="24"/>
          <w:lang w:eastAsia="lt-LT"/>
        </w:rPr>
        <w:tab/>
        <w:t xml:space="preserve">Naujuoju 2021–2027 m. finansiniu laikotarpiu </w:t>
      </w:r>
      <w:r w:rsidRPr="004D5DB0">
        <w:rPr>
          <w:color w:val="595959" w:themeColor="text1" w:themeTint="A6"/>
          <w:szCs w:val="24"/>
          <w:lang w:eastAsia="lt-LT"/>
        </w:rPr>
        <w:t>bus tęsiamos bendruomenių inicijuotos veiklos, sprendžiant vietos bendruomenei aktualias gyventojų skurdo ir atskirties problemas, skatinant socialinį verslą.</w:t>
      </w:r>
    </w:p>
    <w:p w:rsidR="00F62FC5" w:rsidRDefault="00F62FC5" w:rsidP="00B3224A">
      <w:pPr>
        <w:jc w:val="both"/>
        <w:rPr>
          <w:color w:val="595959" w:themeColor="text1" w:themeTint="A6"/>
          <w:szCs w:val="24"/>
          <w:lang w:eastAsia="lt-LT"/>
        </w:rPr>
      </w:pPr>
    </w:p>
    <w:p w:rsidR="00CC13E0" w:rsidRPr="00CC13E0" w:rsidRDefault="00CC13E0" w:rsidP="00CC13E0">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Ministerijoms įgyvendinant prioriteto veiklas, b</w:t>
      </w:r>
      <w:r w:rsidRPr="00CC13E0">
        <w:rPr>
          <w:rFonts w:ascii="Times New Roman" w:hAnsi="Times New Roman"/>
          <w:color w:val="595959" w:themeColor="text1" w:themeTint="A6"/>
          <w:lang w:eastAsia="lt-LT"/>
        </w:rPr>
        <w:t xml:space="preserve">endrai </w:t>
      </w:r>
      <w:r>
        <w:rPr>
          <w:rFonts w:ascii="Times New Roman" w:hAnsi="Times New Roman"/>
          <w:color w:val="595959" w:themeColor="text1" w:themeTint="A6"/>
          <w:lang w:eastAsia="lt-LT"/>
        </w:rPr>
        <w:t>iki 2020 m. pabaigos</w:t>
      </w:r>
      <w:r w:rsidRPr="00CC13E0">
        <w:rPr>
          <w:rFonts w:ascii="Times New Roman" w:hAnsi="Times New Roman"/>
          <w:color w:val="595959" w:themeColor="text1" w:themeTint="A6"/>
          <w:lang w:eastAsia="lt-LT"/>
        </w:rPr>
        <w:t xml:space="preserve"> reikšmingi šių rodiklių pasiekimai:</w:t>
      </w:r>
    </w:p>
    <w:p w:rsidR="00CC13E0" w:rsidRPr="00CC13E0" w:rsidRDefault="00CC13E0" w:rsidP="00CC13E0">
      <w:pPr>
        <w:pStyle w:val="tekstas"/>
        <w:ind w:firstLine="0"/>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 </w:t>
      </w:r>
      <w:r w:rsidRPr="00CC13E0">
        <w:rPr>
          <w:rFonts w:ascii="Times New Roman" w:hAnsi="Times New Roman"/>
          <w:color w:val="595959" w:themeColor="text1" w:themeTint="A6"/>
          <w:lang w:eastAsia="lt-LT"/>
        </w:rPr>
        <w:t>beveik 612 tūkstančių gyventojų, turi galimybę pasinaudoti pagerintomis sveikatos priežiūros paslaugomis (</w:t>
      </w:r>
      <w:r>
        <w:rPr>
          <w:rFonts w:ascii="Times New Roman" w:hAnsi="Times New Roman"/>
          <w:color w:val="595959" w:themeColor="text1" w:themeTint="A6"/>
          <w:lang w:eastAsia="lt-LT"/>
        </w:rPr>
        <w:t>1 mln. planuojama</w:t>
      </w:r>
      <w:r w:rsidRPr="00CC13E0">
        <w:rPr>
          <w:rFonts w:ascii="Times New Roman" w:hAnsi="Times New Roman"/>
          <w:color w:val="595959" w:themeColor="text1" w:themeTint="A6"/>
          <w:lang w:eastAsia="lt-LT"/>
        </w:rPr>
        <w:t>).</w:t>
      </w:r>
    </w:p>
    <w:p w:rsidR="00CC13E0" w:rsidRPr="00CC13E0" w:rsidRDefault="00CC13E0" w:rsidP="00CC13E0">
      <w:pPr>
        <w:pStyle w:val="tekstas"/>
        <w:ind w:firstLine="0"/>
        <w:rPr>
          <w:rFonts w:ascii="Times New Roman" w:hAnsi="Times New Roman"/>
          <w:color w:val="595959" w:themeColor="text1" w:themeTint="A6"/>
          <w:lang w:eastAsia="lt-LT"/>
        </w:rPr>
      </w:pPr>
      <w:r>
        <w:rPr>
          <w:rFonts w:ascii="Times New Roman" w:hAnsi="Times New Roman"/>
          <w:color w:val="595959" w:themeColor="text1" w:themeTint="A6"/>
          <w:lang w:eastAsia="lt-LT"/>
        </w:rPr>
        <w:t>- 1 447 į</w:t>
      </w:r>
      <w:r w:rsidRPr="00CC13E0">
        <w:rPr>
          <w:rFonts w:ascii="Times New Roman" w:hAnsi="Times New Roman"/>
          <w:color w:val="595959" w:themeColor="text1" w:themeTint="A6"/>
          <w:lang w:eastAsia="lt-LT"/>
        </w:rPr>
        <w:t>rengta naujų ar įsigyta socialinių būst</w:t>
      </w:r>
      <w:r>
        <w:rPr>
          <w:rFonts w:ascii="Times New Roman" w:hAnsi="Times New Roman"/>
          <w:color w:val="595959" w:themeColor="text1" w:themeTint="A6"/>
          <w:lang w:eastAsia="lt-LT"/>
        </w:rPr>
        <w:t>ų (planuojama</w:t>
      </w:r>
      <w:r w:rsidRPr="00CC13E0">
        <w:rPr>
          <w:rFonts w:ascii="Times New Roman" w:hAnsi="Times New Roman"/>
          <w:color w:val="595959" w:themeColor="text1" w:themeTint="A6"/>
          <w:lang w:eastAsia="lt-LT"/>
        </w:rPr>
        <w:t xml:space="preserve"> 1 800).</w:t>
      </w:r>
    </w:p>
    <w:p w:rsidR="00CC13E0" w:rsidRPr="00CC13E0" w:rsidRDefault="00CC13E0" w:rsidP="00CC13E0">
      <w:pPr>
        <w:pStyle w:val="tekstas"/>
        <w:ind w:firstLine="0"/>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 </w:t>
      </w:r>
      <w:r w:rsidRPr="00CC13E0">
        <w:rPr>
          <w:rFonts w:ascii="Times New Roman" w:hAnsi="Times New Roman"/>
          <w:color w:val="595959" w:themeColor="text1" w:themeTint="A6"/>
          <w:lang w:eastAsia="lt-LT"/>
        </w:rPr>
        <w:t>157 viešosios sveikatos priežiūros įstaigose pagerint</w:t>
      </w:r>
      <w:r>
        <w:rPr>
          <w:rFonts w:ascii="Times New Roman" w:hAnsi="Times New Roman"/>
          <w:color w:val="595959" w:themeColor="text1" w:themeTint="A6"/>
          <w:lang w:eastAsia="lt-LT"/>
        </w:rPr>
        <w:t>a paslaugų teikimo infrastruktūra (</w:t>
      </w:r>
      <w:r w:rsidRPr="00CC13E0">
        <w:rPr>
          <w:rFonts w:ascii="Times New Roman" w:hAnsi="Times New Roman"/>
          <w:color w:val="595959" w:themeColor="text1" w:themeTint="A6"/>
          <w:lang w:eastAsia="lt-LT"/>
        </w:rPr>
        <w:t>240 planuojam</w:t>
      </w:r>
      <w:r>
        <w:rPr>
          <w:rFonts w:ascii="Times New Roman" w:hAnsi="Times New Roman"/>
          <w:color w:val="595959" w:themeColor="text1" w:themeTint="A6"/>
          <w:lang w:eastAsia="lt-LT"/>
        </w:rPr>
        <w:t>a</w:t>
      </w:r>
      <w:r w:rsidRPr="00CC13E0">
        <w:rPr>
          <w:rFonts w:ascii="Times New Roman" w:hAnsi="Times New Roman"/>
          <w:color w:val="595959" w:themeColor="text1" w:themeTint="A6"/>
          <w:lang w:eastAsia="lt-LT"/>
        </w:rPr>
        <w:t>).</w:t>
      </w:r>
    </w:p>
    <w:p w:rsidR="00A6010C" w:rsidRPr="00CC13E0" w:rsidRDefault="00CC13E0" w:rsidP="00CC13E0">
      <w:pPr>
        <w:jc w:val="both"/>
        <w:rPr>
          <w:color w:val="595959" w:themeColor="text1" w:themeTint="A6"/>
          <w:lang w:eastAsia="lt-LT"/>
        </w:rPr>
      </w:pPr>
      <w:r>
        <w:rPr>
          <w:color w:val="595959" w:themeColor="text1" w:themeTint="A6"/>
          <w:lang w:eastAsia="lt-LT"/>
        </w:rPr>
        <w:t>- daugiau nei</w:t>
      </w:r>
      <w:r w:rsidRPr="00CC13E0">
        <w:rPr>
          <w:color w:val="595959" w:themeColor="text1" w:themeTint="A6"/>
          <w:lang w:eastAsia="lt-LT"/>
        </w:rPr>
        <w:t xml:space="preserve"> 77 tūkstančių tikslinių grupių asmenų (šeimų) gavo socialines paslaugas (buvo </w:t>
      </w:r>
      <w:r>
        <w:rPr>
          <w:color w:val="595959" w:themeColor="text1" w:themeTint="A6"/>
          <w:lang w:eastAsia="lt-LT"/>
        </w:rPr>
        <w:t xml:space="preserve">planuota, kad tokias paslaugas </w:t>
      </w:r>
      <w:r w:rsidRPr="00CC13E0">
        <w:rPr>
          <w:color w:val="595959" w:themeColor="text1" w:themeTint="A6"/>
          <w:lang w:eastAsia="lt-LT"/>
        </w:rPr>
        <w:t>gaus virš 26 tūkstančių asmenų).</w:t>
      </w:r>
    </w:p>
    <w:p w:rsidR="00CC13E0" w:rsidRDefault="00CC13E0" w:rsidP="006A1D73">
      <w:pPr>
        <w:ind w:firstLine="426"/>
        <w:jc w:val="both"/>
        <w:rPr>
          <w:color w:val="595959" w:themeColor="text1" w:themeTint="A6"/>
          <w:szCs w:val="24"/>
          <w:lang w:eastAsia="lt-LT"/>
        </w:rPr>
      </w:pPr>
    </w:p>
    <w:p w:rsidR="000305AE" w:rsidRPr="005F274B" w:rsidRDefault="000305AE" w:rsidP="00882088">
      <w:pPr>
        <w:pStyle w:val="antrat3zz"/>
        <w:spacing w:before="0" w:after="0"/>
        <w:rPr>
          <w:rFonts w:ascii="Times New Roman" w:hAnsi="Times New Roman" w:cs="Times New Roman"/>
        </w:rPr>
      </w:pPr>
      <w:bookmarkStart w:id="28" w:name="_Toc69114257"/>
      <w:r w:rsidRPr="005F274B">
        <w:rPr>
          <w:rFonts w:ascii="Times New Roman" w:hAnsi="Times New Roman" w:cs="Times New Roman"/>
        </w:rPr>
        <w:t>9 prioritetas. Visuomenės švietimas ir žmogiškųjų išteklių potencialo didinimas</w:t>
      </w:r>
      <w:bookmarkEnd w:id="27"/>
      <w:bookmarkEnd w:id="28"/>
    </w:p>
    <w:p w:rsidR="008510B0" w:rsidRDefault="008510B0" w:rsidP="008510B0">
      <w:pPr>
        <w:pStyle w:val="tekstas"/>
        <w:ind w:firstLine="0"/>
        <w:rPr>
          <w:rFonts w:ascii="Times New Roman" w:hAnsi="Times New Roman"/>
          <w:color w:val="7F7F7F" w:themeColor="text1" w:themeTint="80"/>
          <w:lang w:eastAsia="lt-LT"/>
        </w:rPr>
      </w:pPr>
      <w:bookmarkStart w:id="29" w:name="_Toc10104961"/>
    </w:p>
    <w:p w:rsidR="00C92FA0" w:rsidRDefault="00162A31" w:rsidP="008510B0">
      <w:pPr>
        <w:pStyle w:val="tekstas"/>
        <w:ind w:firstLine="0"/>
        <w:rPr>
          <w:rFonts w:ascii="Times New Roman" w:hAnsi="Times New Roman"/>
          <w:color w:val="7F7F7F" w:themeColor="text1" w:themeTint="80"/>
          <w:lang w:eastAsia="lt-LT"/>
        </w:rPr>
      </w:pPr>
      <w:r>
        <w:rPr>
          <w:noProof/>
          <w:lang w:eastAsia="lt-LT"/>
        </w:rPr>
        <w:drawing>
          <wp:inline distT="0" distB="0" distL="0" distR="0" wp14:anchorId="382F750D" wp14:editId="12FB6429">
            <wp:extent cx="6120130" cy="1023180"/>
            <wp:effectExtent l="0" t="0" r="13970" b="24765"/>
            <wp:docPr id="414" name="Diagrama 4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C92FA0" w:rsidRPr="00C4777B" w:rsidRDefault="00C92FA0" w:rsidP="008510B0">
      <w:pPr>
        <w:pStyle w:val="tekstas"/>
        <w:ind w:firstLine="0"/>
        <w:rPr>
          <w:rFonts w:ascii="Times New Roman" w:hAnsi="Times New Roman"/>
          <w:color w:val="595959" w:themeColor="text1" w:themeTint="A6"/>
          <w:lang w:eastAsia="lt-LT"/>
        </w:rPr>
      </w:pPr>
    </w:p>
    <w:p w:rsidR="00C251E2" w:rsidRPr="00312240" w:rsidRDefault="00C251E2" w:rsidP="00C77E8D">
      <w:pPr>
        <w:ind w:firstLine="426"/>
        <w:jc w:val="both"/>
        <w:rPr>
          <w:color w:val="595959" w:themeColor="text1" w:themeTint="A6"/>
        </w:rPr>
      </w:pPr>
      <w:r w:rsidRPr="00312240">
        <w:rPr>
          <w:color w:val="595959" w:themeColor="text1" w:themeTint="A6"/>
        </w:rPr>
        <w:t xml:space="preserve">Švietimo, mokslo ir sporto ministerija jau sudarė visas </w:t>
      </w:r>
      <w:r w:rsidR="0033590E" w:rsidRPr="00312240">
        <w:rPr>
          <w:color w:val="595959" w:themeColor="text1" w:themeTint="A6"/>
        </w:rPr>
        <w:t>administruojamų</w:t>
      </w:r>
      <w:r w:rsidRPr="00312240">
        <w:rPr>
          <w:color w:val="595959" w:themeColor="text1" w:themeTint="A6"/>
        </w:rPr>
        <w:t xml:space="preserve"> priemonių sutartis. </w:t>
      </w:r>
      <w:r w:rsidR="000F746B" w:rsidRPr="00312240">
        <w:rPr>
          <w:color w:val="595959" w:themeColor="text1" w:themeTint="A6"/>
        </w:rPr>
        <w:t xml:space="preserve">Papildomai ministerijai yra numatyta 32,7 mln. eurų ERPF lėšų ir 37,4 mln. eurų ESF lėšų </w:t>
      </w:r>
      <w:proofErr w:type="spellStart"/>
      <w:r w:rsidR="000F746B" w:rsidRPr="00312240">
        <w:rPr>
          <w:color w:val="595959" w:themeColor="text1" w:themeTint="A6"/>
        </w:rPr>
        <w:t>virškontraktavimo</w:t>
      </w:r>
      <w:proofErr w:type="spellEnd"/>
      <w:r w:rsidR="000F746B" w:rsidRPr="00312240">
        <w:rPr>
          <w:color w:val="595959" w:themeColor="text1" w:themeTint="A6"/>
        </w:rPr>
        <w:t xml:space="preserve"> galimybė. Investavimo tempas</w:t>
      </w:r>
      <w:r w:rsidRPr="00312240">
        <w:rPr>
          <w:color w:val="595959" w:themeColor="text1" w:themeTint="A6"/>
        </w:rPr>
        <w:t xml:space="preserve"> atitinka bendrąjį Veiksmų programos </w:t>
      </w:r>
      <w:r w:rsidR="000F746B" w:rsidRPr="00312240">
        <w:rPr>
          <w:color w:val="595959" w:themeColor="text1" w:themeTint="A6"/>
        </w:rPr>
        <w:t>vidurkį.</w:t>
      </w:r>
    </w:p>
    <w:p w:rsidR="00C60D7B" w:rsidRPr="00312240" w:rsidRDefault="00C77E8D" w:rsidP="00C77E8D">
      <w:pPr>
        <w:ind w:firstLine="426"/>
        <w:jc w:val="both"/>
        <w:rPr>
          <w:color w:val="595959" w:themeColor="text1" w:themeTint="A6"/>
        </w:rPr>
      </w:pPr>
      <w:r w:rsidRPr="00312240">
        <w:rPr>
          <w:color w:val="595959" w:themeColor="text1" w:themeTint="A6"/>
        </w:rPr>
        <w:t>Šio prioriteto</w:t>
      </w:r>
      <w:r w:rsidR="00DF2BDE" w:rsidRPr="00312240">
        <w:rPr>
          <w:color w:val="595959" w:themeColor="text1" w:themeTint="A6"/>
        </w:rPr>
        <w:t xml:space="preserve"> ES investicijomis</w:t>
      </w:r>
      <w:r w:rsidR="00C60D7B" w:rsidRPr="00312240">
        <w:rPr>
          <w:color w:val="595959" w:themeColor="text1" w:themeTint="A6"/>
        </w:rPr>
        <w:t xml:space="preserve"> siekia</w:t>
      </w:r>
      <w:r w:rsidRPr="00312240">
        <w:rPr>
          <w:color w:val="595959" w:themeColor="text1" w:themeTint="A6"/>
        </w:rPr>
        <w:t>ma</w:t>
      </w:r>
      <w:r w:rsidR="00C60D7B" w:rsidRPr="00312240">
        <w:rPr>
          <w:color w:val="595959" w:themeColor="text1" w:themeTint="A6"/>
        </w:rPr>
        <w:t xml:space="preserve"> kompleksiškai spręsti visų švietimo lygių (bendrojo ugdymo, profesinio mokymo</w:t>
      </w:r>
      <w:r w:rsidRPr="00312240">
        <w:rPr>
          <w:color w:val="595959" w:themeColor="text1" w:themeTint="A6"/>
        </w:rPr>
        <w:t xml:space="preserve"> ir aukštojo mokslo) problemas.</w:t>
      </w:r>
    </w:p>
    <w:p w:rsidR="00C60D7B" w:rsidRPr="00312240" w:rsidRDefault="00C60D7B" w:rsidP="00C77E8D">
      <w:pPr>
        <w:ind w:firstLine="426"/>
        <w:jc w:val="both"/>
        <w:rPr>
          <w:color w:val="595959" w:themeColor="text1" w:themeTint="A6"/>
        </w:rPr>
      </w:pPr>
      <w:r w:rsidRPr="00312240">
        <w:rPr>
          <w:color w:val="595959" w:themeColor="text1" w:themeTint="A6"/>
        </w:rPr>
        <w:t>Bendrajame ugdyme investicijos nukreiptos į moksleivių pasiekimų gerinimą, švietimo visiems vaikams prieinamumo didinimą, optimizuojant bendrojo ugdymo mokyklų tinklą, taip pat į ugdymo kokybės, aplinkos gerinimą, skiriant didelį dėmesį ikimokyklinio ir priešmokyklinio ugdymo mokyklų infrastruktūros modernizavimui ir aprūpinimui reikalingomis ugdymo priemonėmis, neformaliojo vaikų švietimo galimybių savivaldybėse plėtrą.</w:t>
      </w:r>
    </w:p>
    <w:p w:rsidR="00C60D7B" w:rsidRPr="00312240" w:rsidRDefault="00C60D7B" w:rsidP="006B1410">
      <w:pPr>
        <w:ind w:firstLine="426"/>
        <w:jc w:val="both"/>
        <w:rPr>
          <w:color w:val="595959" w:themeColor="text1" w:themeTint="A6"/>
        </w:rPr>
      </w:pPr>
      <w:r w:rsidRPr="00312240">
        <w:rPr>
          <w:color w:val="595959" w:themeColor="text1" w:themeTint="A6"/>
        </w:rPr>
        <w:t>Investuojama į aukštojo ir lygiaverčio jam mokslo kokybės, veiksmingumo ir prieinamumo didinimą, aukštojo mokslo aplinkos gerinimą, koncentruojant ir modernizuojant mokslo ir studijų infrastruktūrą, tobulinant ir optimizuojant aukštųjų mokyklų valdymo, administravimo bei studijų procesus. Didinamas studijų prieinamumas socialinę atskirtį patiriantiems asmenims, tobulinama dėstytojų kvalifikacija, stiprinami mokslininkų ir kitų tyrėjų gebėjimai.</w:t>
      </w:r>
    </w:p>
    <w:p w:rsidR="00C60D7B" w:rsidRPr="00312240" w:rsidRDefault="00C60D7B" w:rsidP="006B1410">
      <w:pPr>
        <w:ind w:firstLine="426"/>
        <w:jc w:val="both"/>
        <w:rPr>
          <w:color w:val="595959" w:themeColor="text1" w:themeTint="A6"/>
        </w:rPr>
      </w:pPr>
      <w:r w:rsidRPr="00312240">
        <w:rPr>
          <w:color w:val="595959" w:themeColor="text1" w:themeTint="A6"/>
        </w:rPr>
        <w:t xml:space="preserve">Kita 9 prioriteto investicijų sritis - profesinės studijos, mokymosi visą gyvenimą </w:t>
      </w:r>
      <w:r w:rsidR="00694085" w:rsidRPr="00312240">
        <w:rPr>
          <w:color w:val="595959" w:themeColor="text1" w:themeTint="A6"/>
        </w:rPr>
        <w:t>populiarinimas</w:t>
      </w:r>
      <w:r w:rsidRPr="00312240">
        <w:rPr>
          <w:color w:val="595959" w:themeColor="text1" w:themeTint="A6"/>
        </w:rPr>
        <w:t xml:space="preserve">. Investuojama į profesinių studijų aplinkos ir sąlygų gerinimą, praktinio mokymo prieinamumo didinimą, sektorinių praktinio mokymo centrų ir profesinio mokymo įstaigų </w:t>
      </w:r>
      <w:r w:rsidRPr="00312240">
        <w:rPr>
          <w:color w:val="595959" w:themeColor="text1" w:themeTint="A6"/>
        </w:rPr>
        <w:lastRenderedPageBreak/>
        <w:t>infrastruktūrą, stiprinamos profesinio mokymo ir mokymosi visą gyvenimą valdymo, kokybės ir patrauklumo užtikrinimo sistemos, optimizuojami procesai, tobulinamos mokytojų kompetencijos.</w:t>
      </w:r>
    </w:p>
    <w:p w:rsidR="00E3356A" w:rsidRPr="00312240" w:rsidRDefault="00E3356A" w:rsidP="006B1410">
      <w:pPr>
        <w:ind w:firstLine="426"/>
        <w:jc w:val="both"/>
        <w:rPr>
          <w:color w:val="595959" w:themeColor="text1" w:themeTint="A6"/>
        </w:rPr>
      </w:pPr>
      <w:r w:rsidRPr="00312240">
        <w:rPr>
          <w:color w:val="595959" w:themeColor="text1" w:themeTint="A6"/>
        </w:rPr>
        <w:t xml:space="preserve">2014-2020 metais Švietimo, mokslo ir sporto ministerija </w:t>
      </w:r>
      <w:r w:rsidR="00B30DEB" w:rsidRPr="00312240">
        <w:rPr>
          <w:color w:val="595959" w:themeColor="text1" w:themeTint="A6"/>
        </w:rPr>
        <w:t>ES investicijomis prisidėjo prie</w:t>
      </w:r>
      <w:r w:rsidRPr="00312240">
        <w:rPr>
          <w:color w:val="595959" w:themeColor="text1" w:themeTint="A6"/>
        </w:rPr>
        <w:t xml:space="preserve"> </w:t>
      </w:r>
      <w:r w:rsidR="00F0592B" w:rsidRPr="00312240">
        <w:rPr>
          <w:color w:val="595959" w:themeColor="text1" w:themeTint="A6"/>
        </w:rPr>
        <w:t xml:space="preserve">mokymosi </w:t>
      </w:r>
      <w:r w:rsidRPr="00312240">
        <w:rPr>
          <w:color w:val="595959" w:themeColor="text1" w:themeTint="A6"/>
        </w:rPr>
        <w:t xml:space="preserve">visą gyvenimą Lietuvoje plėtros, gerindama profesinio mokymo kokybę, skirdama didelį dėmesį asmenų praktinių įgūdžių įgijimui tiek darbo vietoje (skirta 1,3 mln. eurų 9 projektams), tiek sektoriniuose praktinio mokymo centruose (skirta 1,7 mln. eurų 27 projektams), </w:t>
      </w:r>
      <w:proofErr w:type="spellStart"/>
      <w:r w:rsidRPr="00312240">
        <w:rPr>
          <w:color w:val="595959" w:themeColor="text1" w:themeTint="A6"/>
        </w:rPr>
        <w:t>įveiklinant</w:t>
      </w:r>
      <w:proofErr w:type="spellEnd"/>
      <w:r w:rsidRPr="00312240">
        <w:rPr>
          <w:color w:val="595959" w:themeColor="text1" w:themeTint="A6"/>
        </w:rPr>
        <w:t xml:space="preserve"> ir aprūpinant juos praktinio mokymo įranga, kuri skirta Pramonė 4.0 ir skaitmeninei ekonomikai </w:t>
      </w:r>
      <w:r w:rsidR="00F0592B" w:rsidRPr="00312240">
        <w:rPr>
          <w:color w:val="595959" w:themeColor="text1" w:themeTint="A6"/>
        </w:rPr>
        <w:t>(15 mln. eurų</w:t>
      </w:r>
      <w:r w:rsidRPr="00312240">
        <w:rPr>
          <w:color w:val="595959" w:themeColor="text1" w:themeTint="A6"/>
        </w:rPr>
        <w:t>), tokiu būdu atliepiant kintančios darbo rinkos poreikius.</w:t>
      </w:r>
    </w:p>
    <w:p w:rsidR="005E7223" w:rsidRPr="00312240" w:rsidRDefault="005E7223" w:rsidP="005E7223">
      <w:pPr>
        <w:ind w:firstLine="426"/>
        <w:jc w:val="both"/>
        <w:rPr>
          <w:color w:val="595959" w:themeColor="text1" w:themeTint="A6"/>
        </w:rPr>
      </w:pPr>
      <w:r w:rsidRPr="00312240">
        <w:rPr>
          <w:color w:val="595959" w:themeColor="text1" w:themeTint="A6"/>
        </w:rPr>
        <w:t xml:space="preserve">Šio finansavimo laikotarpio metu </w:t>
      </w:r>
      <w:r w:rsidR="00162A31" w:rsidRPr="00312240">
        <w:rPr>
          <w:color w:val="595959" w:themeColor="text1" w:themeTint="A6"/>
        </w:rPr>
        <w:t>per</w:t>
      </w:r>
      <w:r w:rsidRPr="00312240">
        <w:rPr>
          <w:color w:val="595959" w:themeColor="text1" w:themeTint="A6"/>
        </w:rPr>
        <w:t xml:space="preserve"> 690 mokyklų aprūpinta gamtos ir technologinių moks</w:t>
      </w:r>
      <w:r w:rsidR="00162A31" w:rsidRPr="00312240">
        <w:rPr>
          <w:color w:val="595959" w:themeColor="text1" w:themeTint="A6"/>
        </w:rPr>
        <w:t>lų mokymo priemonėmis ir įranga</w:t>
      </w:r>
      <w:r w:rsidRPr="00312240">
        <w:rPr>
          <w:color w:val="595959" w:themeColor="text1" w:themeTint="A6"/>
        </w:rPr>
        <w:t xml:space="preserve"> bei parengtos metodikos, skirtos gamtos ir technologinių mokslų mokymui įsigytų mokymo priemonių ir įrangos panaudojimui ugdymo procese, pabaigta įgyvendinti virš 60 regioninių projektų skirtų bendrajam, neformaliam ir ikimokykliniam/priešmokykliniam ugdymui. ES struktūrinių fondų lėšomis bendrojo ugdymo ir ikimokyklinio ugdymo įstaigose kuriamos </w:t>
      </w:r>
      <w:proofErr w:type="spellStart"/>
      <w:r w:rsidRPr="00312240">
        <w:rPr>
          <w:color w:val="595959" w:themeColor="text1" w:themeTint="A6"/>
        </w:rPr>
        <w:t>inovatyvios</w:t>
      </w:r>
      <w:proofErr w:type="spellEnd"/>
      <w:r w:rsidRPr="00312240">
        <w:rPr>
          <w:color w:val="595959" w:themeColor="text1" w:themeTint="A6"/>
        </w:rPr>
        <w:t xml:space="preserve"> kūrybiškumą skatinančios erdvės, aplinkos, įsigyta specialiųjų mokymo priemonių, skirtų užtikrinti ugdymo prieinamumą ir veiksmingumą specialiųjų poreikių turintiems vaikams ir pagerinti jų ugdymosi sąlygas.  </w:t>
      </w:r>
    </w:p>
    <w:p w:rsidR="00B30DEB" w:rsidRPr="00312240" w:rsidRDefault="00B30DEB" w:rsidP="00B30DEB">
      <w:pPr>
        <w:ind w:firstLine="426"/>
        <w:jc w:val="both"/>
        <w:rPr>
          <w:color w:val="595959" w:themeColor="text1" w:themeTint="A6"/>
        </w:rPr>
      </w:pPr>
      <w:r w:rsidRPr="00312240">
        <w:rPr>
          <w:color w:val="595959" w:themeColor="text1" w:themeTint="A6"/>
        </w:rPr>
        <w:t xml:space="preserve">Tačiau investicijos į švietimą vis dar yra fragmentuotos, trūksta sisteminio kompleksinio požiūrio. Planuojant naujojo periodo investicijas, būtina aiškiai identifikuoti siekiamus </w:t>
      </w:r>
      <w:proofErr w:type="spellStart"/>
      <w:r w:rsidRPr="00312240">
        <w:rPr>
          <w:color w:val="595959" w:themeColor="text1" w:themeTint="A6"/>
        </w:rPr>
        <w:t>reforminius</w:t>
      </w:r>
      <w:proofErr w:type="spellEnd"/>
      <w:r w:rsidRPr="00312240">
        <w:rPr>
          <w:color w:val="595959" w:themeColor="text1" w:themeTint="A6"/>
        </w:rPr>
        <w:t xml:space="preserve"> pokyčius, numatant efektyviausius būdus ir priemones jiems įgyvendinti.</w:t>
      </w:r>
    </w:p>
    <w:p w:rsidR="00B30DEB" w:rsidRPr="00312240" w:rsidRDefault="00B30DEB" w:rsidP="00B30DEB">
      <w:pPr>
        <w:ind w:firstLine="426"/>
        <w:jc w:val="both"/>
        <w:rPr>
          <w:color w:val="595959" w:themeColor="text1" w:themeTint="A6"/>
        </w:rPr>
      </w:pPr>
      <w:r w:rsidRPr="00312240">
        <w:rPr>
          <w:color w:val="595959" w:themeColor="text1" w:themeTint="A6"/>
        </w:rPr>
        <w:t>Vis dar iššūkiu lieka veiksnių, lemiančių žemus mokinių pasiekimus bei pasiekimų netolygumus: nepakankamas bendrojo ugdymo mokyklų tinklo efektyvumas, žemas vaikų, dalyvaujančių ikimokykliniame ugdyme, lygis, neefektyvi pedagogų rengimo ir jų kvalifikacijos tobulinimo sistema, šalinimas.</w:t>
      </w:r>
    </w:p>
    <w:p w:rsidR="00B30DEB" w:rsidRPr="00312240" w:rsidRDefault="00B30DEB" w:rsidP="00B30DEB">
      <w:pPr>
        <w:ind w:firstLine="426"/>
        <w:jc w:val="both"/>
        <w:rPr>
          <w:color w:val="595959" w:themeColor="text1" w:themeTint="A6"/>
        </w:rPr>
      </w:pPr>
      <w:r w:rsidRPr="00312240">
        <w:rPr>
          <w:color w:val="595959" w:themeColor="text1" w:themeTint="A6"/>
        </w:rPr>
        <w:t>Nepaisant 2014–2020 m. ES investicijų, skirtų ambicingų universitetų tinklo optimizavimui ir stiprinimui, kokybės gerinimui ir tyrėjų prestižo didinimui, vis dar stokojama universitetų tinklo optimizavimui skirtų reguliacinių priemonių. Siekiant įgyvendinti aukštojo mokslo reformą, būtinas veiksmingas universitetų tinklo pertvarkos įgyvendinimo koordinavimas.</w:t>
      </w:r>
    </w:p>
    <w:p w:rsidR="00B30DEB" w:rsidRPr="00312240" w:rsidRDefault="00B30DEB" w:rsidP="00B30DEB">
      <w:pPr>
        <w:ind w:firstLine="426"/>
        <w:jc w:val="both"/>
        <w:rPr>
          <w:color w:val="595959" w:themeColor="text1" w:themeTint="A6"/>
        </w:rPr>
      </w:pPr>
      <w:r w:rsidRPr="00312240">
        <w:rPr>
          <w:color w:val="595959" w:themeColor="text1" w:themeTint="A6"/>
        </w:rPr>
        <w:t>Jaunų žmonių kompetencijos nepakankamai atitinka šiuolaikinės darbo rinkos poreikius. Būtina gerinti auštojo ir profesinio mokymo prieinamumą visoms tikslinėms studentų grupėms, aukštojo ir profesinio mokymo įstaigų bendradarbiavimą su darbdaviais, efektyvinti darbdavių įtraukimą į specialistų kokybiško parengimo formų paiešką, įgalinti neformaliu būdu įgytų kompetencijų pripažinimą ir neformaliojo suaugusiųjų švietimo kokybės užtikrinimo mechanizmus.</w:t>
      </w:r>
    </w:p>
    <w:p w:rsidR="00B30DEB" w:rsidRPr="00312240" w:rsidRDefault="00B30DEB" w:rsidP="00B30DEB">
      <w:pPr>
        <w:ind w:firstLine="426"/>
        <w:jc w:val="both"/>
        <w:rPr>
          <w:color w:val="595959" w:themeColor="text1" w:themeTint="A6"/>
        </w:rPr>
      </w:pPr>
      <w:r w:rsidRPr="00312240">
        <w:rPr>
          <w:color w:val="595959" w:themeColor="text1" w:themeTint="A6"/>
        </w:rPr>
        <w:t>Programuojant naujojo periodo lėšas svarbu įvertinti alternatyvias finansavimo galimybes, siekiant skatinti suaugusiųjų asmenų dalyvavimą mokymos</w:t>
      </w:r>
      <w:r w:rsidR="00383883" w:rsidRPr="00312240">
        <w:rPr>
          <w:color w:val="595959" w:themeColor="text1" w:themeTint="A6"/>
        </w:rPr>
        <w:t xml:space="preserve">i visą gyvenimą (MVG) sistemoje. Švietimo, mokslo ir sporto ministerija, būdama atsakinga už MVG plėtrą, planuodama 2021-2027 </w:t>
      </w:r>
      <w:r w:rsidR="00F0592B" w:rsidRPr="00312240">
        <w:rPr>
          <w:color w:val="595959" w:themeColor="text1" w:themeTint="A6"/>
        </w:rPr>
        <w:t>m. laikotarpio</w:t>
      </w:r>
      <w:r w:rsidR="00383883" w:rsidRPr="00312240">
        <w:rPr>
          <w:color w:val="595959" w:themeColor="text1" w:themeTint="A6"/>
        </w:rPr>
        <w:t xml:space="preserve"> bei </w:t>
      </w:r>
      <w:r w:rsidR="00EE017E" w:rsidRPr="00312240">
        <w:rPr>
          <w:color w:val="595959" w:themeColor="text1" w:themeTint="A6"/>
          <w:lang w:eastAsia="lt-LT"/>
        </w:rPr>
        <w:t>Europos ekonomikos gaivinimo ir atsparumo didinimo priemonės</w:t>
      </w:r>
      <w:r w:rsidR="00383883" w:rsidRPr="00312240">
        <w:rPr>
          <w:color w:val="595959" w:themeColor="text1" w:themeTint="A6"/>
        </w:rPr>
        <w:t xml:space="preserve"> lėšas turi aktyviai bendradarbiauti su kitomis ministerijomis (</w:t>
      </w:r>
      <w:r w:rsidR="00162A31" w:rsidRPr="00312240">
        <w:rPr>
          <w:color w:val="595959" w:themeColor="text1" w:themeTint="A6"/>
        </w:rPr>
        <w:t>Socialinės apsaugos ir darbo, Ekonomikos ir inovacijų, Vidaus reikalų ministerijomis</w:t>
      </w:r>
      <w:r w:rsidR="00383883" w:rsidRPr="00312240">
        <w:rPr>
          <w:color w:val="595959" w:themeColor="text1" w:themeTint="A6"/>
        </w:rPr>
        <w:t>)</w:t>
      </w:r>
      <w:r w:rsidRPr="00312240">
        <w:rPr>
          <w:color w:val="595959" w:themeColor="text1" w:themeTint="A6"/>
        </w:rPr>
        <w:t xml:space="preserve"> </w:t>
      </w:r>
      <w:r w:rsidR="00383883" w:rsidRPr="00312240">
        <w:rPr>
          <w:color w:val="595959" w:themeColor="text1" w:themeTint="A6"/>
        </w:rPr>
        <w:t>kuriant vieningą perkvalifikavimo ir kvalifikacijos kėlimo sistemą vieno langelio principu.</w:t>
      </w:r>
    </w:p>
    <w:p w:rsidR="00152052" w:rsidRPr="00312240" w:rsidRDefault="00B30DEB" w:rsidP="006B1410">
      <w:pPr>
        <w:ind w:firstLine="426"/>
        <w:jc w:val="both"/>
        <w:rPr>
          <w:color w:val="595959" w:themeColor="text1" w:themeTint="A6"/>
        </w:rPr>
      </w:pPr>
      <w:r w:rsidRPr="00312240">
        <w:rPr>
          <w:color w:val="595959" w:themeColor="text1" w:themeTint="A6"/>
        </w:rPr>
        <w:t xml:space="preserve">Atsižvelgiant į tai, kad nuo 2020 m. pr. atsirado galimybė teikti paskolas aukštojo mokslo ir profesinio mokymo infrastruktūros (pastatų) atnaujinimui ir plėtrai (VIPA įgyvendinama finansinė priemonė), kviečiame ir skatiname </w:t>
      </w:r>
      <w:r w:rsidR="00162A31" w:rsidRPr="00312240">
        <w:rPr>
          <w:color w:val="595959" w:themeColor="text1" w:themeTint="A6"/>
        </w:rPr>
        <w:t>Švietimo, mokslo ir sporto ministeriją</w:t>
      </w:r>
      <w:r w:rsidRPr="00312240">
        <w:rPr>
          <w:color w:val="595959" w:themeColor="text1" w:themeTint="A6"/>
        </w:rPr>
        <w:t xml:space="preserve"> aktyviau prisidėti planuojant tiek ES investicijas, tiek </w:t>
      </w:r>
      <w:r w:rsidR="00162A31" w:rsidRPr="00312240">
        <w:rPr>
          <w:color w:val="595959" w:themeColor="text1" w:themeTint="A6"/>
        </w:rPr>
        <w:t>valstybės biudžeto</w:t>
      </w:r>
      <w:r w:rsidRPr="00312240">
        <w:rPr>
          <w:color w:val="595959" w:themeColor="text1" w:themeTint="A6"/>
        </w:rPr>
        <w:t xml:space="preserve"> lėšas infrastruktūros atnaujinimui. Įgyvendinant jau sukurtą finansinę priemonę - Aukštojo mokslo ir profesinio mokymo infrastruktūros (pastatų) atnaujinimas ir plėtra – teikiamos paskolos, kurios gali būti panaudojamos aukštojo mokslo ir profesinio mokymo pastatų (įskaitant bendrabučius) išorės ir vidaus atnaujinimas, inžinerinių tinklų ir sistemų atnaujinimas, naujų pastatų statyba, atnaujinto ar naujai pastatyto pastato sklypo sutvarkymas, kiti su pastato atnaujinimu ar plėtra tiesiogiai susiję rangos darbai, bei susijusios techninės dokumentacijos parengimas.</w:t>
      </w:r>
      <w:r w:rsidR="00152052" w:rsidRPr="00312240">
        <w:rPr>
          <w:color w:val="595959" w:themeColor="text1" w:themeTint="A6"/>
        </w:rPr>
        <w:t xml:space="preserve"> </w:t>
      </w:r>
    </w:p>
    <w:p w:rsidR="00C60D7B" w:rsidRPr="00CB47DC" w:rsidRDefault="00152052" w:rsidP="006B1410">
      <w:pPr>
        <w:ind w:firstLine="426"/>
        <w:jc w:val="both"/>
        <w:rPr>
          <w:color w:val="595959" w:themeColor="text1" w:themeTint="A6"/>
        </w:rPr>
      </w:pPr>
      <w:r w:rsidRPr="00CB47DC">
        <w:rPr>
          <w:color w:val="595959" w:themeColor="text1" w:themeTint="A6"/>
        </w:rPr>
        <w:t>Ministerijai įgyvendinant šio prioriteto veiklas m</w:t>
      </w:r>
      <w:r w:rsidR="00C60D7B" w:rsidRPr="00CB47DC">
        <w:rPr>
          <w:color w:val="595959" w:themeColor="text1" w:themeTint="A6"/>
        </w:rPr>
        <w:t xml:space="preserve">ažesnę </w:t>
      </w:r>
      <w:r w:rsidR="006B1410" w:rsidRPr="00CB47DC">
        <w:rPr>
          <w:color w:val="595959" w:themeColor="text1" w:themeTint="A6"/>
        </w:rPr>
        <w:t xml:space="preserve">ERPF </w:t>
      </w:r>
      <w:r w:rsidR="00C60D7B" w:rsidRPr="00CB47DC">
        <w:rPr>
          <w:color w:val="595959" w:themeColor="text1" w:themeTint="A6"/>
        </w:rPr>
        <w:t xml:space="preserve">lėšų investavimo spartą daugiausia lėmė objektyvios infrastruktūrinių projektų įgyvendinimo priežastys (atsiskaitymai ir </w:t>
      </w:r>
      <w:r w:rsidR="00C60D7B" w:rsidRPr="00CB47DC">
        <w:rPr>
          <w:color w:val="595959" w:themeColor="text1" w:themeTint="A6"/>
        </w:rPr>
        <w:lastRenderedPageBreak/>
        <w:t>išmokėjimai vykdomi antroje projektų įgyvendinimo pusėje, visiškai atlikus darbus; ilgas investicinių projektų, siekiant gauti papildomą finansavimą, tiksl</w:t>
      </w:r>
      <w:r w:rsidR="00CB47DC" w:rsidRPr="00CB47DC">
        <w:rPr>
          <w:color w:val="595959" w:themeColor="text1" w:themeTint="A6"/>
        </w:rPr>
        <w:t>inimo ir atnaujinimo procesas).</w:t>
      </w:r>
    </w:p>
    <w:p w:rsidR="00CB47DC" w:rsidRPr="00CB47DC" w:rsidRDefault="00CB47DC" w:rsidP="00CB47DC">
      <w:pPr>
        <w:ind w:firstLine="426"/>
        <w:jc w:val="both"/>
        <w:rPr>
          <w:color w:val="595959" w:themeColor="text1" w:themeTint="A6"/>
          <w:lang w:eastAsia="lt-LT"/>
        </w:rPr>
      </w:pPr>
      <w:r w:rsidRPr="00CB47DC">
        <w:rPr>
          <w:color w:val="595959" w:themeColor="text1" w:themeTint="A6"/>
          <w:lang w:eastAsia="lt-LT"/>
        </w:rPr>
        <w:t xml:space="preserve">Atkreiptinas dėmesys į rizikingą Lietuvos muzikos ir teatro akademijos projektą „Lietuvos muzikos ir teatro akademijos studijų miestelio Olandų g. 21A, Vilniuje sukūrimas“ (toliau – LMTA projektas). LMTA projekto pirmo etapo lėšų poreikis nuo 13 mln. eurų išaugo iki 43 mln. eurų, priimtas sprendimas išskaidyti pirmąjį projekto etapą į dar 2 smulkesnius etapus, kas sudarytų sąlygas su turimomis lėšomis įgyvendinti dalį numatytų veiklų. 2021 metų pradžioje paskelbtas pirmojo etapo 1 dalies rangos darbų viešųjų pirkimų konkursas, sutarties pasirašymas planuojamas birželio – liepos mėnesį. Tačiau, vis dar išlieka didelė </w:t>
      </w:r>
      <w:r w:rsidR="005900E2">
        <w:rPr>
          <w:color w:val="595959" w:themeColor="text1" w:themeTint="A6"/>
          <w:lang w:eastAsia="lt-LT"/>
        </w:rPr>
        <w:t>šio projekto įgyvendinimo rizika</w:t>
      </w:r>
      <w:r w:rsidRPr="00CB47DC">
        <w:rPr>
          <w:color w:val="595959" w:themeColor="text1" w:themeTint="A6"/>
          <w:lang w:eastAsia="lt-LT"/>
        </w:rPr>
        <w:t>, kurią Švietimo, mokslo ir sporto ministerija kartu su CPVA turi dar kartą įvertinti, atsakingai priimdamos tolesnius sprendimus dėl finansavimo skyrimo. Atsižvelgiant į tai, kad studentų skaičius Lietuvoje mažėja ir auga nuotolinių studijų poreikis, kyla pagrįstų abejonių, ar tebėra tikslinga investuoti numatyta apimtimi, ypač ženkliai išaugus projekto vertei ir Švietimo, mokslo ir sporto ministerijai neturint aiškumo dėl dalies statyboms reikalingo finansavimo.</w:t>
      </w:r>
    </w:p>
    <w:p w:rsidR="00CB47DC" w:rsidRPr="00CB47DC" w:rsidRDefault="00CB47DC" w:rsidP="00CB47DC">
      <w:pPr>
        <w:ind w:firstLine="426"/>
        <w:jc w:val="both"/>
        <w:rPr>
          <w:color w:val="595959" w:themeColor="text1" w:themeTint="A6"/>
          <w:lang w:eastAsia="lt-LT"/>
        </w:rPr>
      </w:pPr>
      <w:r w:rsidRPr="00CB47DC">
        <w:rPr>
          <w:color w:val="595959" w:themeColor="text1" w:themeTint="A6"/>
          <w:lang w:eastAsia="lt-LT"/>
        </w:rPr>
        <w:t xml:space="preserve">Per ataskaitinį laikotarpį 2,63 mln. eurų skirta ikimokyklinio ugdymo įstaigų plėtrai, mokyklų ugdymo aplinkos modernizavimui, jų aprūpinimui gamtos ir technologinių mokslų priemonėmis, neformaliojo švietimo paslaugų teikimui skirtos infrastruktūros gerinimui Šiaulių, Panevėžio, Širvintų, Varėnos, Kaišiadorių, Telšių, Joniškio ir Vilniaus rajonų, Elektrėnų ir Vilniaus miestų savivaldybėse, gerinamos pedagogų rengimo sąlygos (papildomai 2,3 mln. eurų skirta VDU projektui „Pedagogų rengimo centro įkūrimas“), stiprinamas </w:t>
      </w:r>
      <w:proofErr w:type="spellStart"/>
      <w:r w:rsidRPr="00CB47DC">
        <w:rPr>
          <w:color w:val="595959" w:themeColor="text1" w:themeTint="A6"/>
          <w:lang w:eastAsia="lt-LT"/>
        </w:rPr>
        <w:t>multidisciplininio</w:t>
      </w:r>
      <w:proofErr w:type="spellEnd"/>
      <w:r w:rsidRPr="00CB47DC">
        <w:rPr>
          <w:color w:val="595959" w:themeColor="text1" w:themeTint="A6"/>
          <w:lang w:eastAsia="lt-LT"/>
        </w:rPr>
        <w:t xml:space="preserve"> mokymo centras Kaune (skirta 0, 8 mln. eurų).</w:t>
      </w:r>
    </w:p>
    <w:p w:rsidR="005B5CDC" w:rsidRDefault="00CB47DC" w:rsidP="00CB47DC">
      <w:pPr>
        <w:ind w:firstLine="426"/>
        <w:jc w:val="both"/>
        <w:rPr>
          <w:color w:val="595959" w:themeColor="text1" w:themeTint="A6"/>
          <w:highlight w:val="yellow"/>
          <w:lang w:eastAsia="lt-LT"/>
        </w:rPr>
      </w:pPr>
      <w:r w:rsidRPr="00CB47DC">
        <w:rPr>
          <w:color w:val="595959" w:themeColor="text1" w:themeTint="A6"/>
          <w:lang w:eastAsia="lt-LT"/>
        </w:rPr>
        <w:t xml:space="preserve">Ministerijos 9 prioriteto ESF lėšomis finansuojamų priemonių investicijų spartai didelę įtaką turėjo </w:t>
      </w:r>
      <w:proofErr w:type="spellStart"/>
      <w:r w:rsidRPr="00CB47DC">
        <w:rPr>
          <w:color w:val="595959" w:themeColor="text1" w:themeTint="A6"/>
          <w:lang w:eastAsia="lt-LT"/>
        </w:rPr>
        <w:t>Covid-19</w:t>
      </w:r>
      <w:proofErr w:type="spellEnd"/>
      <w:r w:rsidRPr="00CB47DC">
        <w:rPr>
          <w:color w:val="595959" w:themeColor="text1" w:themeTint="A6"/>
          <w:lang w:eastAsia="lt-LT"/>
        </w:rPr>
        <w:t xml:space="preserve"> situacija, nes negalėjo įvykti suplanuotos tarptautinės veiklos (doktorantų stažuotės, dėstytojų vizitai, mokymai). Kadangi, reaguojant į susidariusią situaciją, kai kurių tarptautinių veiklų buvo atsisakyta, pakeičiant kitomis veiklomis, o didžioji dalis priemonių sutarčių buvo pasirašytos 2020 metų gruodžio mėnesį, išmokėjimai planuojami 2021 metais. Taip pat numatyta skirti 3 mln. eurų papildomam įgyvendinamų projektų finansavimui.</w:t>
      </w:r>
    </w:p>
    <w:p w:rsidR="00CB47DC" w:rsidRPr="00162A31" w:rsidRDefault="00CB47DC" w:rsidP="00C77E8D">
      <w:pPr>
        <w:jc w:val="both"/>
        <w:rPr>
          <w:color w:val="595959" w:themeColor="text1" w:themeTint="A6"/>
          <w:highlight w:val="yellow"/>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C60D7B" w:rsidRPr="0040787A" w:rsidTr="00B27131">
        <w:tc>
          <w:tcPr>
            <w:tcW w:w="9638" w:type="dxa"/>
            <w:tcBorders>
              <w:top w:val="nil"/>
              <w:left w:val="nil"/>
              <w:bottom w:val="nil"/>
              <w:right w:val="nil"/>
            </w:tcBorders>
            <w:shd w:val="clear" w:color="auto" w:fill="D9D9D9" w:themeFill="background1" w:themeFillShade="D9"/>
          </w:tcPr>
          <w:p w:rsidR="00C60D7B" w:rsidRPr="00853E68" w:rsidRDefault="00C60D7B" w:rsidP="00B27131">
            <w:pPr>
              <w:jc w:val="both"/>
              <w:rPr>
                <w:b/>
                <w:color w:val="365F91" w:themeColor="accent1" w:themeShade="BF"/>
              </w:rPr>
            </w:pPr>
            <w:r w:rsidRPr="00853E68">
              <w:rPr>
                <w:b/>
                <w:color w:val="365F91" w:themeColor="accent1" w:themeShade="BF"/>
              </w:rPr>
              <w:t>Siūlymai Švietimo, mokslo ir sporto</w:t>
            </w:r>
            <w:r w:rsidRPr="00853E68">
              <w:t xml:space="preserve"> </w:t>
            </w:r>
            <w:r w:rsidRPr="00853E68">
              <w:rPr>
                <w:b/>
                <w:color w:val="365F91" w:themeColor="accent1" w:themeShade="BF"/>
              </w:rPr>
              <w:t>ministerijai:</w:t>
            </w:r>
          </w:p>
          <w:p w:rsidR="00C60D7B" w:rsidRPr="00853E68" w:rsidRDefault="00C60D7B" w:rsidP="00DF7EE0">
            <w:pPr>
              <w:jc w:val="both"/>
              <w:rPr>
                <w:color w:val="365F91" w:themeColor="accent1" w:themeShade="BF"/>
                <w:szCs w:val="24"/>
              </w:rPr>
            </w:pPr>
            <w:r w:rsidRPr="00853E68">
              <w:rPr>
                <w:color w:val="365F91" w:themeColor="accent1" w:themeShade="BF"/>
                <w:szCs w:val="24"/>
              </w:rPr>
              <w:t xml:space="preserve">- </w:t>
            </w:r>
            <w:r w:rsidR="00853E68" w:rsidRPr="00853E68">
              <w:rPr>
                <w:color w:val="365F91" w:themeColor="accent1" w:themeShade="BF"/>
                <w:szCs w:val="24"/>
              </w:rPr>
              <w:t>iki gegužės 31 d. pateikti Finansų ministerijai informaciją apie sprendimus ir eigą dėl LMTA projekto tolesnio įgyvendinimo;</w:t>
            </w:r>
          </w:p>
          <w:p w:rsidR="00A652C2" w:rsidRPr="00C60D7B" w:rsidRDefault="00A652C2" w:rsidP="00852293">
            <w:pPr>
              <w:jc w:val="both"/>
              <w:rPr>
                <w:color w:val="365F91" w:themeColor="accent1" w:themeShade="BF"/>
              </w:rPr>
            </w:pPr>
            <w:r w:rsidRPr="00853E68">
              <w:rPr>
                <w:color w:val="365F91" w:themeColor="accent1" w:themeShade="BF"/>
                <w:szCs w:val="24"/>
              </w:rPr>
              <w:t xml:space="preserve">- siekiant sukurti vieningą perkvalifikavimo ir kvalifikacijos kėlimo sistemą vieno langelio principu, </w:t>
            </w:r>
            <w:r w:rsidR="00852293">
              <w:rPr>
                <w:color w:val="365F91" w:themeColor="accent1" w:themeShade="BF"/>
                <w:szCs w:val="24"/>
              </w:rPr>
              <w:t xml:space="preserve">bendradarbiauti </w:t>
            </w:r>
            <w:r w:rsidRPr="00853E68">
              <w:rPr>
                <w:color w:val="365F91" w:themeColor="accent1" w:themeShade="BF"/>
                <w:szCs w:val="24"/>
              </w:rPr>
              <w:t xml:space="preserve">kartu su Socialinės apsaugos ir darbo, Ekonomikos ir inovacijų bei Vidaus reikalų ministerijomis </w:t>
            </w:r>
            <w:r w:rsidR="00852293">
              <w:rPr>
                <w:color w:val="365F91" w:themeColor="accent1" w:themeShade="BF"/>
                <w:szCs w:val="24"/>
              </w:rPr>
              <w:t>parengiant</w:t>
            </w:r>
            <w:r w:rsidR="0036497F" w:rsidRPr="00853E68">
              <w:rPr>
                <w:color w:val="365F91" w:themeColor="accent1" w:themeShade="BF"/>
                <w:szCs w:val="24"/>
              </w:rPr>
              <w:t xml:space="preserve"> </w:t>
            </w:r>
            <w:r w:rsidRPr="00853E68">
              <w:rPr>
                <w:color w:val="365F91" w:themeColor="accent1" w:themeShade="BF"/>
                <w:szCs w:val="24"/>
              </w:rPr>
              <w:t>invest</w:t>
            </w:r>
            <w:r w:rsidR="0036497F" w:rsidRPr="00853E68">
              <w:rPr>
                <w:color w:val="365F91" w:themeColor="accent1" w:themeShade="BF"/>
                <w:szCs w:val="24"/>
              </w:rPr>
              <w:t xml:space="preserve">icijų </w:t>
            </w:r>
            <w:r w:rsidRPr="00853E68">
              <w:rPr>
                <w:color w:val="365F91" w:themeColor="accent1" w:themeShade="BF"/>
                <w:szCs w:val="24"/>
              </w:rPr>
              <w:t xml:space="preserve">į vienos bendros perkvalifikavimo sistemos, pagrįstos bendru </w:t>
            </w:r>
            <w:proofErr w:type="spellStart"/>
            <w:r w:rsidRPr="00853E68">
              <w:rPr>
                <w:color w:val="365F91" w:themeColor="accent1" w:themeShade="BF"/>
                <w:szCs w:val="24"/>
              </w:rPr>
              <w:t>tarpministeriniu</w:t>
            </w:r>
            <w:proofErr w:type="spellEnd"/>
            <w:r w:rsidRPr="00853E68">
              <w:rPr>
                <w:color w:val="365F91" w:themeColor="accent1" w:themeShade="BF"/>
                <w:szCs w:val="24"/>
              </w:rPr>
              <w:t xml:space="preserve"> susitarimu, kūrimą</w:t>
            </w:r>
            <w:r w:rsidR="0036497F" w:rsidRPr="00853E68">
              <w:rPr>
                <w:color w:val="365F91" w:themeColor="accent1" w:themeShade="BF"/>
                <w:szCs w:val="24"/>
              </w:rPr>
              <w:t>, modelį bei įgyvendinimo priemones.</w:t>
            </w:r>
          </w:p>
        </w:tc>
      </w:tr>
    </w:tbl>
    <w:p w:rsidR="00C60D7B" w:rsidRDefault="00C60D7B" w:rsidP="008510B0">
      <w:pPr>
        <w:pStyle w:val="tekstas"/>
        <w:ind w:firstLine="0"/>
        <w:rPr>
          <w:rFonts w:ascii="Times New Roman" w:hAnsi="Times New Roman"/>
          <w:color w:val="7F7F7F" w:themeColor="text1" w:themeTint="80"/>
          <w:lang w:eastAsia="lt-LT"/>
        </w:rPr>
      </w:pPr>
    </w:p>
    <w:p w:rsidR="00C92FA0" w:rsidRDefault="00EE017E" w:rsidP="008510B0">
      <w:pPr>
        <w:pStyle w:val="tekstas"/>
        <w:ind w:firstLine="0"/>
        <w:rPr>
          <w:rFonts w:ascii="Times New Roman" w:hAnsi="Times New Roman"/>
          <w:color w:val="7F7F7F" w:themeColor="text1" w:themeTint="80"/>
          <w:lang w:eastAsia="lt-LT"/>
        </w:rPr>
      </w:pPr>
      <w:r>
        <w:rPr>
          <w:noProof/>
          <w:lang w:eastAsia="lt-LT"/>
        </w:rPr>
        <w:drawing>
          <wp:inline distT="0" distB="0" distL="0" distR="0" wp14:anchorId="4A8A0469" wp14:editId="1B48AB9C">
            <wp:extent cx="6120130" cy="786332"/>
            <wp:effectExtent l="0" t="0" r="13970" b="13970"/>
            <wp:docPr id="416" name="Diagrama 4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C92FA0" w:rsidRPr="00C4777B" w:rsidRDefault="00C92FA0" w:rsidP="008510B0">
      <w:pPr>
        <w:pStyle w:val="tekstas"/>
        <w:ind w:firstLine="0"/>
        <w:rPr>
          <w:rFonts w:ascii="Times New Roman" w:hAnsi="Times New Roman"/>
          <w:color w:val="595959" w:themeColor="text1" w:themeTint="A6"/>
          <w:lang w:eastAsia="lt-LT"/>
        </w:rPr>
      </w:pPr>
    </w:p>
    <w:p w:rsidR="00D80578" w:rsidRDefault="00CD5898" w:rsidP="00D80578">
      <w:pPr>
        <w:ind w:firstLine="426"/>
        <w:jc w:val="both"/>
        <w:rPr>
          <w:color w:val="595959" w:themeColor="text1" w:themeTint="A6"/>
          <w:lang w:eastAsia="lt-LT"/>
        </w:rPr>
      </w:pPr>
      <w:r w:rsidRPr="00C4777B">
        <w:rPr>
          <w:color w:val="595959" w:themeColor="text1" w:themeTint="A6"/>
        </w:rPr>
        <w:t>Ekonomikos ir inovacijų ministerijos administruojamų 9 prioriteto priemonių sudarytų sutarčių procentas atitinka Veiksmų programos vidurkį, tačiau žymiai atsilieka investavima</w:t>
      </w:r>
      <w:r w:rsidR="00EE017E">
        <w:rPr>
          <w:color w:val="595959" w:themeColor="text1" w:themeTint="A6"/>
        </w:rPr>
        <w:t>s – išmokėta mažiau nei pusė (49</w:t>
      </w:r>
      <w:r w:rsidR="0033590E">
        <w:rPr>
          <w:color w:val="595959" w:themeColor="text1" w:themeTint="A6"/>
        </w:rPr>
        <w:t xml:space="preserve"> proc.) skirtų lėšų.</w:t>
      </w:r>
      <w:r w:rsidR="0033590E" w:rsidRPr="0033590E">
        <w:rPr>
          <w:color w:val="595959" w:themeColor="text1" w:themeTint="A6"/>
        </w:rPr>
        <w:t xml:space="preserve"> Šiame prioritete ministerijai yra numatyta </w:t>
      </w:r>
      <w:r w:rsidR="0033590E">
        <w:rPr>
          <w:color w:val="595959" w:themeColor="text1" w:themeTint="A6"/>
        </w:rPr>
        <w:t>2,5</w:t>
      </w:r>
      <w:r w:rsidR="0033590E" w:rsidRPr="0033590E">
        <w:rPr>
          <w:color w:val="595959" w:themeColor="text1" w:themeTint="A6"/>
        </w:rPr>
        <w:t xml:space="preserve"> mln. eurų </w:t>
      </w:r>
      <w:proofErr w:type="spellStart"/>
      <w:r w:rsidR="0033590E" w:rsidRPr="0033590E">
        <w:rPr>
          <w:color w:val="595959" w:themeColor="text1" w:themeTint="A6"/>
        </w:rPr>
        <w:t>virškontraktavimo</w:t>
      </w:r>
      <w:proofErr w:type="spellEnd"/>
      <w:r w:rsidR="0033590E" w:rsidRPr="0033590E">
        <w:rPr>
          <w:color w:val="595959" w:themeColor="text1" w:themeTint="A6"/>
        </w:rPr>
        <w:t xml:space="preserve"> galimybė.</w:t>
      </w:r>
      <w:r w:rsidR="00D80578" w:rsidRPr="00D80578">
        <w:rPr>
          <w:color w:val="595959" w:themeColor="text1" w:themeTint="A6"/>
          <w:lang w:eastAsia="lt-LT"/>
        </w:rPr>
        <w:t xml:space="preserve"> </w:t>
      </w:r>
    </w:p>
    <w:p w:rsidR="0033590E" w:rsidRDefault="0073494A" w:rsidP="00F53D69">
      <w:pPr>
        <w:ind w:firstLine="426"/>
        <w:jc w:val="both"/>
        <w:rPr>
          <w:color w:val="595959" w:themeColor="text1" w:themeTint="A6"/>
          <w:lang w:eastAsia="lt-LT"/>
        </w:rPr>
      </w:pPr>
      <w:r>
        <w:rPr>
          <w:color w:val="595959" w:themeColor="text1" w:themeTint="A6"/>
          <w:lang w:eastAsia="lt-LT"/>
        </w:rPr>
        <w:t xml:space="preserve">Vienas svarbiausių iššūkių, su kuriuo susiduria verslas - </w:t>
      </w:r>
      <w:r>
        <w:rPr>
          <w:color w:val="595959" w:themeColor="text1" w:themeTint="A6"/>
        </w:rPr>
        <w:t>į</w:t>
      </w:r>
      <w:r w:rsidR="00D80578" w:rsidRPr="00F67703">
        <w:rPr>
          <w:color w:val="595959" w:themeColor="text1" w:themeTint="A6"/>
        </w:rPr>
        <w:t>monių veiklą riboja</w:t>
      </w:r>
      <w:r>
        <w:rPr>
          <w:color w:val="595959" w:themeColor="text1" w:themeTint="A6"/>
        </w:rPr>
        <w:t>ntis</w:t>
      </w:r>
      <w:r w:rsidR="00D80578" w:rsidRPr="00F67703">
        <w:rPr>
          <w:color w:val="595959" w:themeColor="text1" w:themeTint="A6"/>
        </w:rPr>
        <w:t xml:space="preserve"> darbuotojų ir reikalingų kompetencijų trūkumas. Svarbu užtikrinti sklandų perėjimą prie naujų</w:t>
      </w:r>
      <w:r w:rsidR="00D80578" w:rsidRPr="00F67703">
        <w:rPr>
          <w:color w:val="595959" w:themeColor="text1" w:themeTint="A6"/>
          <w:lang w:eastAsia="lt-LT"/>
        </w:rPr>
        <w:t xml:space="preserve"> technologijų, plėtojant pramonės pertvarkai, verslumui reikalingus įgūdžius, kurti sistemines priemones, kurios būtų skirtos kvalifikacijai tobulinti arba darbo jėgos perkvalifikavimui. </w:t>
      </w:r>
      <w:r>
        <w:rPr>
          <w:color w:val="595959" w:themeColor="text1" w:themeTint="A6"/>
          <w:lang w:eastAsia="lt-LT"/>
        </w:rPr>
        <w:t>Ateityje žmogiškųjų išteklių plėtra bus dar labiau nukreipta į s</w:t>
      </w:r>
      <w:r w:rsidR="00D80578" w:rsidRPr="00F67703">
        <w:rPr>
          <w:color w:val="595959" w:themeColor="text1" w:themeTint="A6"/>
          <w:lang w:eastAsia="lt-LT"/>
        </w:rPr>
        <w:t>umaniosios specializacijos sriti</w:t>
      </w:r>
      <w:r>
        <w:rPr>
          <w:color w:val="595959" w:themeColor="text1" w:themeTint="A6"/>
          <w:lang w:eastAsia="lt-LT"/>
        </w:rPr>
        <w:t>s</w:t>
      </w:r>
      <w:r w:rsidR="00D80578" w:rsidRPr="00F67703">
        <w:rPr>
          <w:color w:val="595959" w:themeColor="text1" w:themeTint="A6"/>
          <w:lang w:eastAsia="lt-LT"/>
        </w:rPr>
        <w:t xml:space="preserve"> </w:t>
      </w:r>
      <w:r>
        <w:rPr>
          <w:color w:val="595959" w:themeColor="text1" w:themeTint="A6"/>
          <w:lang w:eastAsia="lt-LT"/>
        </w:rPr>
        <w:t xml:space="preserve">ir atitiks joms reikalingas </w:t>
      </w:r>
      <w:r w:rsidR="00F53D69">
        <w:rPr>
          <w:color w:val="595959" w:themeColor="text1" w:themeTint="A6"/>
          <w:lang w:eastAsia="lt-LT"/>
        </w:rPr>
        <w:t>kompetencij</w:t>
      </w:r>
      <w:r>
        <w:rPr>
          <w:color w:val="595959" w:themeColor="text1" w:themeTint="A6"/>
          <w:lang w:eastAsia="lt-LT"/>
        </w:rPr>
        <w:t>as</w:t>
      </w:r>
      <w:r w:rsidR="00F53D69">
        <w:rPr>
          <w:color w:val="595959" w:themeColor="text1" w:themeTint="A6"/>
          <w:lang w:eastAsia="lt-LT"/>
        </w:rPr>
        <w:t xml:space="preserve"> ir įgūdži</w:t>
      </w:r>
      <w:r>
        <w:rPr>
          <w:color w:val="595959" w:themeColor="text1" w:themeTint="A6"/>
          <w:lang w:eastAsia="lt-LT"/>
        </w:rPr>
        <w:t>us</w:t>
      </w:r>
      <w:r w:rsidR="00F53D69">
        <w:rPr>
          <w:color w:val="595959" w:themeColor="text1" w:themeTint="A6"/>
          <w:lang w:eastAsia="lt-LT"/>
        </w:rPr>
        <w:t xml:space="preserve">. </w:t>
      </w:r>
    </w:p>
    <w:p w:rsidR="00E94F6B" w:rsidRPr="00E94F6B" w:rsidRDefault="00E94F6B" w:rsidP="00E94F6B">
      <w:pPr>
        <w:ind w:firstLine="426"/>
        <w:jc w:val="both"/>
        <w:rPr>
          <w:color w:val="595959" w:themeColor="text1" w:themeTint="A6"/>
        </w:rPr>
      </w:pPr>
      <w:r w:rsidRPr="00E94F6B">
        <w:rPr>
          <w:color w:val="595959" w:themeColor="text1" w:themeTint="A6"/>
        </w:rPr>
        <w:lastRenderedPageBreak/>
        <w:t>Ekonomikos ir inovacijų ministerija 9 prioritete investuoja į dirbančių žmogiškųjų išteklių konkurencingumo didinimą, siekiant užtikrinti galimybes prisitaikyti prie rinkos poreikių.</w:t>
      </w:r>
    </w:p>
    <w:p w:rsidR="0033590E" w:rsidRDefault="00E94F6B" w:rsidP="00CF75A9">
      <w:pPr>
        <w:ind w:firstLine="426"/>
        <w:jc w:val="both"/>
        <w:rPr>
          <w:color w:val="595959" w:themeColor="text1" w:themeTint="A6"/>
        </w:rPr>
      </w:pPr>
      <w:r w:rsidRPr="00E94F6B">
        <w:rPr>
          <w:color w:val="595959" w:themeColor="text1" w:themeTint="A6"/>
        </w:rPr>
        <w:t>Mažiausias investavimo lygis priemonėse „Žmogiškųjų išteklių stebėsenos, prognozavimo ir plėtros mechanizmai“ (</w:t>
      </w:r>
      <w:r w:rsidR="007C7CB9">
        <w:rPr>
          <w:color w:val="595959" w:themeColor="text1" w:themeTint="A6"/>
        </w:rPr>
        <w:t>21</w:t>
      </w:r>
      <w:r w:rsidRPr="00E94F6B">
        <w:rPr>
          <w:color w:val="595959" w:themeColor="text1" w:themeTint="A6"/>
        </w:rPr>
        <w:t xml:space="preserve"> proc.) ir „Kompetencijų vaučeris“ (</w:t>
      </w:r>
      <w:r w:rsidR="007C7CB9">
        <w:rPr>
          <w:color w:val="595959" w:themeColor="text1" w:themeTint="A6"/>
        </w:rPr>
        <w:t>31,5</w:t>
      </w:r>
      <w:r w:rsidRPr="00E94F6B">
        <w:rPr>
          <w:color w:val="595959" w:themeColor="text1" w:themeTint="A6"/>
        </w:rPr>
        <w:t xml:space="preserve"> proc.). Atsižvelgiant į tai, kad priemonės „Žmogiškųjų išteklių stebėsenos, prognozavimo ir plėtros mechanizmai“ sutartys pasirašytos tik 2020 m. antroje pusėje, rekomendacijos dėl šios priemonės neteikiamos. Priemonės „Kompetenc</w:t>
      </w:r>
      <w:r>
        <w:rPr>
          <w:color w:val="595959" w:themeColor="text1" w:themeTint="A6"/>
        </w:rPr>
        <w:t xml:space="preserve">ijų vaučeris“ investicijų spartai įtakos turėjo </w:t>
      </w:r>
      <w:r w:rsidRPr="00E94F6B">
        <w:rPr>
          <w:color w:val="595959" w:themeColor="text1" w:themeTint="A6"/>
        </w:rPr>
        <w:t xml:space="preserve">dėl </w:t>
      </w:r>
      <w:proofErr w:type="spellStart"/>
      <w:r w:rsidRPr="00E94F6B">
        <w:rPr>
          <w:color w:val="595959" w:themeColor="text1" w:themeTint="A6"/>
        </w:rPr>
        <w:t>Covid-19</w:t>
      </w:r>
      <w:proofErr w:type="spellEnd"/>
      <w:r>
        <w:rPr>
          <w:color w:val="595959" w:themeColor="text1" w:themeTint="A6"/>
        </w:rPr>
        <w:t xml:space="preserve"> sustojęs mokymų procesas</w:t>
      </w:r>
      <w:r w:rsidRPr="00E94F6B">
        <w:rPr>
          <w:color w:val="595959" w:themeColor="text1" w:themeTint="A6"/>
        </w:rPr>
        <w:t>. Susiduriama ne tik su veiklų vykdymo apribojimais, bet ir su įmonių resursų persiskirstymais – įmonės didesnį dėmesį skiria veiklos išsaugojimui, o ne darbuotojų mokymams. Tai</w:t>
      </w:r>
      <w:r>
        <w:rPr>
          <w:color w:val="595959" w:themeColor="text1" w:themeTint="A6"/>
        </w:rPr>
        <w:t>p</w:t>
      </w:r>
      <w:r w:rsidRPr="00E94F6B">
        <w:rPr>
          <w:color w:val="595959" w:themeColor="text1" w:themeTint="A6"/>
        </w:rPr>
        <w:t xml:space="preserve"> pat priemonės įgyvendinimas lėtėja dėl Užimtumo tarnybos kompensuojamų darbo užmokesčio išlaidų už prastovas ir po prastovų – jei įmonei yra mokama Užimtumo tarnybos subsidija, ji negali kreiptis dėl išlaidų kompensavimo iš minėtos priemonės „Kompetencijų vaučeris“.</w:t>
      </w:r>
      <w:r w:rsidR="00CF75A9">
        <w:rPr>
          <w:color w:val="595959" w:themeColor="text1" w:themeTint="A6"/>
        </w:rPr>
        <w:t xml:space="preserve"> </w:t>
      </w:r>
      <w:r w:rsidR="007C7CB9">
        <w:rPr>
          <w:color w:val="595959" w:themeColor="text1" w:themeTint="A6"/>
        </w:rPr>
        <w:t>Atsižvelgiant į tai,</w:t>
      </w:r>
      <w:r w:rsidR="00CF75A9" w:rsidRPr="00CF75A9">
        <w:rPr>
          <w:color w:val="595959" w:themeColor="text1" w:themeTint="A6"/>
        </w:rPr>
        <w:t xml:space="preserve"> </w:t>
      </w:r>
      <w:r w:rsidR="007C7CB9">
        <w:rPr>
          <w:color w:val="595959" w:themeColor="text1" w:themeTint="A6"/>
        </w:rPr>
        <w:t>pa</w:t>
      </w:r>
      <w:r w:rsidR="007C7CB9" w:rsidRPr="00CF75A9">
        <w:rPr>
          <w:color w:val="595959" w:themeColor="text1" w:themeTint="A6"/>
        </w:rPr>
        <w:t>kei</w:t>
      </w:r>
      <w:r w:rsidR="007C7CB9">
        <w:rPr>
          <w:color w:val="595959" w:themeColor="text1" w:themeTint="A6"/>
        </w:rPr>
        <w:t>stas</w:t>
      </w:r>
      <w:r w:rsidR="007C7CB9" w:rsidRPr="00CF75A9">
        <w:rPr>
          <w:color w:val="595959" w:themeColor="text1" w:themeTint="A6"/>
        </w:rPr>
        <w:t xml:space="preserve"> </w:t>
      </w:r>
      <w:r w:rsidR="00CF75A9" w:rsidRPr="00CF75A9">
        <w:rPr>
          <w:color w:val="595959" w:themeColor="text1" w:themeTint="A6"/>
        </w:rPr>
        <w:t xml:space="preserve">priemonės „Kompetencijų vaučeris“ projektų finansavimo sąlygų aprašas, </w:t>
      </w:r>
      <w:r w:rsidR="00C35CFB">
        <w:rPr>
          <w:color w:val="595959" w:themeColor="text1" w:themeTint="A6"/>
        </w:rPr>
        <w:t>kuriame</w:t>
      </w:r>
      <w:r w:rsidR="00CF75A9" w:rsidRPr="00CF75A9">
        <w:rPr>
          <w:color w:val="595959" w:themeColor="text1" w:themeTint="A6"/>
        </w:rPr>
        <w:t xml:space="preserve"> kompensacijos laikotarpis </w:t>
      </w:r>
      <w:r w:rsidR="007C7CB9" w:rsidRPr="00CF75A9">
        <w:rPr>
          <w:color w:val="595959" w:themeColor="text1" w:themeTint="A6"/>
        </w:rPr>
        <w:t>pratęs</w:t>
      </w:r>
      <w:r w:rsidR="007C7CB9">
        <w:rPr>
          <w:color w:val="595959" w:themeColor="text1" w:themeTint="A6"/>
        </w:rPr>
        <w:t>t</w:t>
      </w:r>
      <w:r w:rsidR="007C7CB9" w:rsidRPr="00CF75A9">
        <w:rPr>
          <w:color w:val="595959" w:themeColor="text1" w:themeTint="A6"/>
        </w:rPr>
        <w:t xml:space="preserve">as </w:t>
      </w:r>
      <w:r w:rsidR="00CF75A9" w:rsidRPr="00CF75A9">
        <w:rPr>
          <w:color w:val="595959" w:themeColor="text1" w:themeTint="A6"/>
        </w:rPr>
        <w:t xml:space="preserve">iki 20 mėnesių ir </w:t>
      </w:r>
      <w:r w:rsidR="007C7CB9" w:rsidRPr="00CF75A9">
        <w:rPr>
          <w:color w:val="595959" w:themeColor="text1" w:themeTint="A6"/>
        </w:rPr>
        <w:t>nustat</w:t>
      </w:r>
      <w:r w:rsidR="007C7CB9">
        <w:rPr>
          <w:color w:val="595959" w:themeColor="text1" w:themeTint="A6"/>
        </w:rPr>
        <w:t>yta</w:t>
      </w:r>
      <w:r w:rsidR="00CF75A9" w:rsidRPr="00CF75A9">
        <w:rPr>
          <w:color w:val="595959" w:themeColor="text1" w:themeTint="A6"/>
        </w:rPr>
        <w:t xml:space="preserve">, kad mokymosi išlaidos projektų vykdytojams yra kompensuojamos ne ilgiau kaip 3 mėnesius po kompensacijos laikotarpio pabaigos. </w:t>
      </w:r>
      <w:r w:rsidR="00CF75A9">
        <w:rPr>
          <w:color w:val="595959" w:themeColor="text1" w:themeTint="A6"/>
        </w:rPr>
        <w:t>Numatoma,</w:t>
      </w:r>
      <w:r w:rsidR="00CF75A9" w:rsidRPr="00CF75A9">
        <w:rPr>
          <w:color w:val="595959" w:themeColor="text1" w:themeTint="A6"/>
        </w:rPr>
        <w:t xml:space="preserve"> kad nustačius </w:t>
      </w:r>
      <w:r w:rsidR="00321417">
        <w:rPr>
          <w:color w:val="595959" w:themeColor="text1" w:themeTint="A6"/>
        </w:rPr>
        <w:t>šiuos terminus</w:t>
      </w:r>
      <w:r w:rsidR="00CF75A9" w:rsidRPr="00CF75A9">
        <w:rPr>
          <w:color w:val="595959" w:themeColor="text1" w:themeTint="A6"/>
        </w:rPr>
        <w:t>, spartės ir lėšų investavimas.</w:t>
      </w:r>
    </w:p>
    <w:p w:rsidR="00E94F6B" w:rsidRDefault="00E94F6B" w:rsidP="00D861AF">
      <w:pPr>
        <w:tabs>
          <w:tab w:val="left" w:pos="2640"/>
        </w:tabs>
      </w:pPr>
    </w:p>
    <w:tbl>
      <w:tblPr>
        <w:tblStyle w:val="Lentelstinklelis"/>
        <w:tblpPr w:leftFromText="180" w:rightFromText="180" w:vertAnchor="text" w:horzAnchor="margin" w:tblpY="57"/>
        <w:tblW w:w="0" w:type="auto"/>
        <w:shd w:val="clear" w:color="auto" w:fill="D9D9D9" w:themeFill="background1" w:themeFillShade="D9"/>
        <w:tblLook w:val="04A0" w:firstRow="1" w:lastRow="0" w:firstColumn="1" w:lastColumn="0" w:noHBand="0" w:noVBand="1"/>
      </w:tblPr>
      <w:tblGrid>
        <w:gridCol w:w="9638"/>
      </w:tblGrid>
      <w:tr w:rsidR="00A27B67" w:rsidRPr="0040787A" w:rsidTr="00A27B67">
        <w:tc>
          <w:tcPr>
            <w:tcW w:w="9638" w:type="dxa"/>
            <w:tcBorders>
              <w:top w:val="nil"/>
              <w:left w:val="nil"/>
              <w:bottom w:val="nil"/>
              <w:right w:val="nil"/>
            </w:tcBorders>
            <w:shd w:val="clear" w:color="auto" w:fill="D9D9D9" w:themeFill="background1" w:themeFillShade="D9"/>
          </w:tcPr>
          <w:p w:rsidR="00A27B67" w:rsidRPr="00E94F6B" w:rsidRDefault="00A27B67" w:rsidP="00A27B67">
            <w:pPr>
              <w:jc w:val="both"/>
              <w:rPr>
                <w:b/>
                <w:color w:val="365F91" w:themeColor="accent1" w:themeShade="BF"/>
              </w:rPr>
            </w:pPr>
            <w:r>
              <w:rPr>
                <w:b/>
                <w:color w:val="365F91" w:themeColor="accent1" w:themeShade="BF"/>
              </w:rPr>
              <w:t>Siūlymas</w:t>
            </w:r>
            <w:r>
              <w:t xml:space="preserve"> </w:t>
            </w:r>
            <w:r>
              <w:rPr>
                <w:b/>
                <w:color w:val="365F91" w:themeColor="accent1" w:themeShade="BF"/>
              </w:rPr>
              <w:t>Ekonomikos ir inovacijų</w:t>
            </w:r>
            <w:r>
              <w:t xml:space="preserve"> </w:t>
            </w:r>
            <w:r>
              <w:rPr>
                <w:b/>
                <w:color w:val="365F91" w:themeColor="accent1" w:themeShade="BF"/>
              </w:rPr>
              <w:t>ministerijai:</w:t>
            </w:r>
          </w:p>
          <w:p w:rsidR="00A27B67" w:rsidRPr="00835C89" w:rsidRDefault="000C1DD1" w:rsidP="00A27B67">
            <w:pPr>
              <w:jc w:val="both"/>
              <w:rPr>
                <w:color w:val="365F91" w:themeColor="accent1" w:themeShade="BF"/>
              </w:rPr>
            </w:pPr>
            <w:r>
              <w:rPr>
                <w:color w:val="365F91" w:themeColor="accent1" w:themeShade="BF"/>
                <w:szCs w:val="24"/>
              </w:rPr>
              <w:t>-</w:t>
            </w:r>
            <w:r>
              <w:t xml:space="preserve"> </w:t>
            </w:r>
            <w:r w:rsidRPr="000C1DD1">
              <w:rPr>
                <w:color w:val="365F91" w:themeColor="accent1" w:themeShade="BF"/>
                <w:szCs w:val="24"/>
              </w:rPr>
              <w:t>įvertinti priemonės „Kompetencijų vaučeris“ įgyvendinamuose projektuose galimą lėšų nepanaudojimą ir svarstyti galimybes spartinti investavimo tempus</w:t>
            </w:r>
            <w:r w:rsidR="00A27B67" w:rsidRPr="00C80E88">
              <w:rPr>
                <w:color w:val="365F91" w:themeColor="accent1" w:themeShade="BF"/>
                <w:szCs w:val="24"/>
              </w:rPr>
              <w:t>.</w:t>
            </w:r>
          </w:p>
        </w:tc>
      </w:tr>
    </w:tbl>
    <w:p w:rsidR="00A27B67" w:rsidRDefault="00A27B67" w:rsidP="00A27B67">
      <w:pPr>
        <w:pStyle w:val="tekstas"/>
        <w:ind w:firstLine="0"/>
        <w:rPr>
          <w:rFonts w:ascii="Times New Roman" w:hAnsi="Times New Roman"/>
          <w:color w:val="595959" w:themeColor="text1" w:themeTint="A6"/>
          <w:lang w:eastAsia="lt-LT"/>
        </w:rPr>
      </w:pPr>
    </w:p>
    <w:p w:rsidR="0073494A" w:rsidRPr="00A27B67" w:rsidRDefault="00A27B67" w:rsidP="00A27B67">
      <w:pPr>
        <w:pStyle w:val="tekstas"/>
        <w:ind w:firstLine="0"/>
        <w:rPr>
          <w:rFonts w:ascii="Times New Roman" w:hAnsi="Times New Roman"/>
          <w:color w:val="595959" w:themeColor="text1" w:themeTint="A6"/>
          <w:szCs w:val="20"/>
        </w:rPr>
      </w:pPr>
      <w:r>
        <w:rPr>
          <w:rFonts w:ascii="Times New Roman" w:hAnsi="Times New Roman"/>
          <w:color w:val="595959" w:themeColor="text1" w:themeTint="A6"/>
          <w:szCs w:val="20"/>
        </w:rPr>
        <w:t>Ministerijoms įgyvendinant prioriteto veiklas iki 2020 m. pabaigos b</w:t>
      </w:r>
      <w:r w:rsidR="0073494A" w:rsidRPr="00A27B67">
        <w:rPr>
          <w:rFonts w:ascii="Times New Roman" w:hAnsi="Times New Roman"/>
          <w:color w:val="595959" w:themeColor="text1" w:themeTint="A6"/>
          <w:szCs w:val="20"/>
        </w:rPr>
        <w:t>endrai reikšmingi šių rodiklių pasiekimai:</w:t>
      </w:r>
    </w:p>
    <w:p w:rsidR="006B67FE" w:rsidRPr="00A27B67" w:rsidRDefault="00A27B67" w:rsidP="00A27B67">
      <w:pPr>
        <w:pStyle w:val="tekstas"/>
        <w:ind w:firstLine="0"/>
        <w:rPr>
          <w:rFonts w:ascii="Times New Roman" w:hAnsi="Times New Roman"/>
          <w:color w:val="595959" w:themeColor="text1" w:themeTint="A6"/>
          <w:szCs w:val="20"/>
        </w:rPr>
      </w:pPr>
      <w:r>
        <w:rPr>
          <w:rFonts w:ascii="Times New Roman" w:hAnsi="Times New Roman"/>
          <w:color w:val="595959" w:themeColor="text1" w:themeTint="A6"/>
          <w:szCs w:val="20"/>
        </w:rPr>
        <w:t>-</w:t>
      </w:r>
      <w:r w:rsidR="006B67FE" w:rsidRPr="00A27B67">
        <w:rPr>
          <w:rFonts w:ascii="Times New Roman" w:hAnsi="Times New Roman"/>
          <w:color w:val="595959" w:themeColor="text1" w:themeTint="A6"/>
          <w:szCs w:val="20"/>
        </w:rPr>
        <w:t xml:space="preserve"> investicijas gavusios vaikų priežiūros arba švietimo i</w:t>
      </w:r>
      <w:r>
        <w:rPr>
          <w:rFonts w:ascii="Times New Roman" w:hAnsi="Times New Roman"/>
          <w:color w:val="595959" w:themeColor="text1" w:themeTint="A6"/>
          <w:szCs w:val="20"/>
        </w:rPr>
        <w:t xml:space="preserve">nfrastruktūros pajėgumas </w:t>
      </w:r>
      <w:r w:rsidR="00C868EB" w:rsidRPr="00C868EB">
        <w:rPr>
          <w:rFonts w:ascii="Times New Roman" w:hAnsi="Times New Roman"/>
          <w:color w:val="595959" w:themeColor="text1" w:themeTint="A6"/>
          <w:szCs w:val="20"/>
        </w:rPr>
        <w:t xml:space="preserve">– tam tikrų asmenų, </w:t>
      </w:r>
      <w:r w:rsidR="00873B99">
        <w:rPr>
          <w:rFonts w:ascii="Times New Roman" w:hAnsi="Times New Roman"/>
          <w:color w:val="595959" w:themeColor="text1" w:themeTint="A6"/>
          <w:szCs w:val="20"/>
        </w:rPr>
        <w:t>galinčių</w:t>
      </w:r>
      <w:r w:rsidR="00C868EB" w:rsidRPr="00C868EB">
        <w:rPr>
          <w:rFonts w:ascii="Times New Roman" w:hAnsi="Times New Roman"/>
          <w:color w:val="595959" w:themeColor="text1" w:themeTint="A6"/>
          <w:szCs w:val="20"/>
        </w:rPr>
        <w:t xml:space="preserve"> pasinaud</w:t>
      </w:r>
      <w:r w:rsidR="00E726B8">
        <w:rPr>
          <w:rFonts w:ascii="Times New Roman" w:hAnsi="Times New Roman"/>
          <w:color w:val="595959" w:themeColor="text1" w:themeTint="A6"/>
          <w:szCs w:val="20"/>
        </w:rPr>
        <w:t>oti sukurta ar atnaujinta vaikų</w:t>
      </w:r>
      <w:r w:rsidR="00C868EB" w:rsidRPr="00C868EB">
        <w:rPr>
          <w:rFonts w:ascii="Times New Roman" w:hAnsi="Times New Roman"/>
          <w:color w:val="595959" w:themeColor="text1" w:themeTint="A6"/>
          <w:szCs w:val="20"/>
        </w:rPr>
        <w:t xml:space="preserve"> priežiūros arba švietimo infrastruktūra (vaikai, mokiniai, studentai), visuma</w:t>
      </w:r>
      <w:r w:rsidR="00C868EB">
        <w:rPr>
          <w:rFonts w:ascii="Times New Roman" w:hAnsi="Times New Roman"/>
          <w:color w:val="595959" w:themeColor="text1" w:themeTint="A6"/>
          <w:szCs w:val="20"/>
        </w:rPr>
        <w:t xml:space="preserve"> </w:t>
      </w:r>
      <w:r>
        <w:rPr>
          <w:rFonts w:ascii="Times New Roman" w:hAnsi="Times New Roman"/>
          <w:color w:val="595959" w:themeColor="text1" w:themeTint="A6"/>
          <w:szCs w:val="20"/>
        </w:rPr>
        <w:t xml:space="preserve">viršija </w:t>
      </w:r>
      <w:r w:rsidR="006B67FE" w:rsidRPr="00A27B67">
        <w:rPr>
          <w:rFonts w:ascii="Times New Roman" w:hAnsi="Times New Roman"/>
          <w:color w:val="595959" w:themeColor="text1" w:themeTint="A6"/>
          <w:szCs w:val="20"/>
        </w:rPr>
        <w:t xml:space="preserve">62 </w:t>
      </w:r>
      <w:r>
        <w:rPr>
          <w:rFonts w:ascii="Times New Roman" w:hAnsi="Times New Roman"/>
          <w:color w:val="595959" w:themeColor="text1" w:themeTint="A6"/>
          <w:szCs w:val="20"/>
        </w:rPr>
        <w:t>tūkstančius</w:t>
      </w:r>
      <w:r w:rsidR="006B67FE" w:rsidRPr="00A27B67">
        <w:rPr>
          <w:rFonts w:ascii="Times New Roman" w:hAnsi="Times New Roman"/>
          <w:color w:val="595959" w:themeColor="text1" w:themeTint="A6"/>
          <w:szCs w:val="20"/>
        </w:rPr>
        <w:t xml:space="preserve"> (iš planuojamų 112,3 tūkstančių</w:t>
      </w:r>
      <w:r w:rsidR="00C868EB">
        <w:rPr>
          <w:rFonts w:ascii="Times New Roman" w:hAnsi="Times New Roman"/>
          <w:color w:val="595959" w:themeColor="text1" w:themeTint="A6"/>
          <w:szCs w:val="20"/>
        </w:rPr>
        <w:t>).</w:t>
      </w:r>
    </w:p>
    <w:p w:rsidR="006B67FE" w:rsidRPr="00A27B67" w:rsidRDefault="00A27B67" w:rsidP="00A27B67">
      <w:pPr>
        <w:pStyle w:val="tekstas"/>
        <w:ind w:firstLine="0"/>
        <w:rPr>
          <w:rFonts w:ascii="Times New Roman" w:hAnsi="Times New Roman"/>
          <w:color w:val="595959" w:themeColor="text1" w:themeTint="A6"/>
          <w:szCs w:val="20"/>
        </w:rPr>
      </w:pPr>
      <w:r>
        <w:rPr>
          <w:rFonts w:ascii="Times New Roman" w:hAnsi="Times New Roman"/>
          <w:color w:val="595959" w:themeColor="text1" w:themeTint="A6"/>
          <w:szCs w:val="20"/>
        </w:rPr>
        <w:t xml:space="preserve">- </w:t>
      </w:r>
      <w:r w:rsidR="006B67FE" w:rsidRPr="00A27B67">
        <w:rPr>
          <w:rFonts w:ascii="Times New Roman" w:hAnsi="Times New Roman"/>
          <w:color w:val="595959" w:themeColor="text1" w:themeTint="A6"/>
          <w:szCs w:val="20"/>
        </w:rPr>
        <w:t>5,6 tūkstančių mokinių ESF lėšomis buvo suteikta švietimo pagalba</w:t>
      </w:r>
      <w:r>
        <w:rPr>
          <w:rFonts w:ascii="Times New Roman" w:hAnsi="Times New Roman"/>
          <w:color w:val="595959" w:themeColor="text1" w:themeTint="A6"/>
          <w:szCs w:val="20"/>
        </w:rPr>
        <w:t xml:space="preserve"> (planuota</w:t>
      </w:r>
      <w:r w:rsidR="006B67FE" w:rsidRPr="00A27B67">
        <w:rPr>
          <w:rFonts w:ascii="Times New Roman" w:hAnsi="Times New Roman"/>
          <w:color w:val="595959" w:themeColor="text1" w:themeTint="A6"/>
          <w:szCs w:val="20"/>
        </w:rPr>
        <w:t xml:space="preserve"> 4 t</w:t>
      </w:r>
      <w:r>
        <w:rPr>
          <w:rFonts w:ascii="Times New Roman" w:hAnsi="Times New Roman"/>
          <w:color w:val="595959" w:themeColor="text1" w:themeTint="A6"/>
          <w:szCs w:val="20"/>
        </w:rPr>
        <w:t>ūkstančiai</w:t>
      </w:r>
      <w:r w:rsidR="006B67FE" w:rsidRPr="00A27B67">
        <w:rPr>
          <w:rFonts w:ascii="Times New Roman" w:hAnsi="Times New Roman"/>
          <w:color w:val="595959" w:themeColor="text1" w:themeTint="A6"/>
          <w:szCs w:val="20"/>
        </w:rPr>
        <w:t>).</w:t>
      </w:r>
    </w:p>
    <w:p w:rsidR="006B67FE" w:rsidRPr="00A27B67" w:rsidRDefault="00A27B67" w:rsidP="00A27B67">
      <w:pPr>
        <w:pStyle w:val="tekstas"/>
        <w:ind w:firstLine="0"/>
        <w:rPr>
          <w:rFonts w:ascii="Times New Roman" w:hAnsi="Times New Roman"/>
          <w:color w:val="595959" w:themeColor="text1" w:themeTint="A6"/>
          <w:szCs w:val="20"/>
        </w:rPr>
      </w:pPr>
      <w:r>
        <w:rPr>
          <w:rFonts w:ascii="Times New Roman" w:hAnsi="Times New Roman"/>
          <w:color w:val="595959" w:themeColor="text1" w:themeTint="A6"/>
          <w:szCs w:val="20"/>
        </w:rPr>
        <w:t>- daugiau nei</w:t>
      </w:r>
      <w:r w:rsidR="006B67FE" w:rsidRPr="00A27B67">
        <w:rPr>
          <w:rFonts w:ascii="Times New Roman" w:hAnsi="Times New Roman"/>
          <w:color w:val="595959" w:themeColor="text1" w:themeTint="A6"/>
          <w:szCs w:val="20"/>
        </w:rPr>
        <w:t xml:space="preserve"> 1,5 tūkstančio socialiai jautrių, socialinės atskirties ir mažai atstovaujamų grupių studentų buvo skirta tikslinė išmoka studijų prieinamumui gerinti</w:t>
      </w:r>
      <w:r>
        <w:rPr>
          <w:rFonts w:ascii="Times New Roman" w:hAnsi="Times New Roman"/>
          <w:color w:val="595959" w:themeColor="text1" w:themeTint="A6"/>
          <w:szCs w:val="20"/>
        </w:rPr>
        <w:t xml:space="preserve"> (planuota 1 tūkstantis</w:t>
      </w:r>
      <w:r w:rsidR="006B67FE" w:rsidRPr="00A27B67">
        <w:rPr>
          <w:rFonts w:ascii="Times New Roman" w:hAnsi="Times New Roman"/>
          <w:color w:val="595959" w:themeColor="text1" w:themeTint="A6"/>
          <w:szCs w:val="20"/>
        </w:rPr>
        <w:t>).</w:t>
      </w:r>
    </w:p>
    <w:p w:rsidR="006B67FE" w:rsidRPr="00A27B67" w:rsidRDefault="00A27B67" w:rsidP="00A27B67">
      <w:pPr>
        <w:jc w:val="both"/>
        <w:rPr>
          <w:color w:val="595959" w:themeColor="text1" w:themeTint="A6"/>
        </w:rPr>
      </w:pPr>
      <w:r>
        <w:rPr>
          <w:color w:val="595959" w:themeColor="text1" w:themeTint="A6"/>
        </w:rPr>
        <w:t xml:space="preserve">- </w:t>
      </w:r>
      <w:r w:rsidR="006B67FE" w:rsidRPr="00A27B67">
        <w:rPr>
          <w:color w:val="595959" w:themeColor="text1" w:themeTint="A6"/>
        </w:rPr>
        <w:t>apmokyta daugiau kaip 22 tūkstančiai investicijas gavusių labai mažų, mažų ir vidutinių įmonių</w:t>
      </w:r>
      <w:r>
        <w:rPr>
          <w:color w:val="595959" w:themeColor="text1" w:themeTint="A6"/>
        </w:rPr>
        <w:t xml:space="preserve"> darbuotojų (planuota</w:t>
      </w:r>
      <w:r w:rsidR="006B67FE" w:rsidRPr="00A27B67">
        <w:rPr>
          <w:color w:val="595959" w:themeColor="text1" w:themeTint="A6"/>
        </w:rPr>
        <w:t xml:space="preserve"> 19,5 tūkstančių).</w:t>
      </w:r>
    </w:p>
    <w:p w:rsidR="00E726B8" w:rsidRPr="00E726B8" w:rsidRDefault="00E726B8" w:rsidP="00E726B8">
      <w:pPr>
        <w:jc w:val="both"/>
        <w:rPr>
          <w:color w:val="595959" w:themeColor="text1" w:themeTint="A6"/>
        </w:rPr>
      </w:pPr>
      <w:r>
        <w:rPr>
          <w:color w:val="595959" w:themeColor="text1" w:themeTint="A6"/>
        </w:rPr>
        <w:t>- atnaujinus 4 profesinio mokymo įstaigas, 55 proc. profesinio mokymo įstaigų</w:t>
      </w:r>
      <w:r w:rsidRPr="00E726B8">
        <w:rPr>
          <w:color w:val="595959" w:themeColor="text1" w:themeTint="A6"/>
        </w:rPr>
        <w:t xml:space="preserve"> mokinių gali </w:t>
      </w:r>
      <w:r>
        <w:rPr>
          <w:color w:val="595959" w:themeColor="text1" w:themeTint="A6"/>
        </w:rPr>
        <w:t>naudotis atnaujinta infrastruktū</w:t>
      </w:r>
      <w:r w:rsidRPr="00E726B8">
        <w:rPr>
          <w:color w:val="595959" w:themeColor="text1" w:themeTint="A6"/>
        </w:rPr>
        <w:t>ra (</w:t>
      </w:r>
      <w:r>
        <w:rPr>
          <w:color w:val="595959" w:themeColor="text1" w:themeTint="A6"/>
        </w:rPr>
        <w:t>planuojama</w:t>
      </w:r>
      <w:r w:rsidRPr="00E726B8">
        <w:rPr>
          <w:color w:val="595959" w:themeColor="text1" w:themeTint="A6"/>
        </w:rPr>
        <w:t xml:space="preserve"> 75 proc.).</w:t>
      </w:r>
    </w:p>
    <w:p w:rsidR="00E726B8" w:rsidRPr="00E726B8" w:rsidRDefault="00E726B8" w:rsidP="00E726B8">
      <w:pPr>
        <w:jc w:val="both"/>
        <w:rPr>
          <w:color w:val="595959" w:themeColor="text1" w:themeTint="A6"/>
        </w:rPr>
      </w:pPr>
      <w:r>
        <w:rPr>
          <w:color w:val="595959" w:themeColor="text1" w:themeTint="A6"/>
        </w:rPr>
        <w:t>- a</w:t>
      </w:r>
      <w:r w:rsidRPr="00E726B8">
        <w:rPr>
          <w:color w:val="595959" w:themeColor="text1" w:themeTint="A6"/>
        </w:rPr>
        <w:t>tnaujin</w:t>
      </w:r>
      <w:r>
        <w:rPr>
          <w:color w:val="595959" w:themeColor="text1" w:themeTint="A6"/>
        </w:rPr>
        <w:t>us</w:t>
      </w:r>
      <w:r w:rsidRPr="00E726B8">
        <w:rPr>
          <w:color w:val="595959" w:themeColor="text1" w:themeTint="A6"/>
        </w:rPr>
        <w:t xml:space="preserve"> 762 </w:t>
      </w:r>
      <w:r>
        <w:rPr>
          <w:color w:val="595959" w:themeColor="text1" w:themeTint="A6"/>
        </w:rPr>
        <w:t>bendrojo ugdymo mokyklas,</w:t>
      </w:r>
      <w:r w:rsidRPr="00E726B8">
        <w:rPr>
          <w:color w:val="595959" w:themeColor="text1" w:themeTint="A6"/>
        </w:rPr>
        <w:t xml:space="preserve"> </w:t>
      </w:r>
      <w:r>
        <w:rPr>
          <w:color w:val="595959" w:themeColor="text1" w:themeTint="A6"/>
        </w:rPr>
        <w:t>39 proc. bendrojo ugdymo mokinių</w:t>
      </w:r>
      <w:r w:rsidRPr="00E726B8">
        <w:rPr>
          <w:color w:val="595959" w:themeColor="text1" w:themeTint="A6"/>
        </w:rPr>
        <w:t xml:space="preserve"> gali </w:t>
      </w:r>
      <w:r>
        <w:rPr>
          <w:color w:val="595959" w:themeColor="text1" w:themeTint="A6"/>
        </w:rPr>
        <w:t>naudotis atnaujinta infrastruktū</w:t>
      </w:r>
      <w:r w:rsidRPr="00E726B8">
        <w:rPr>
          <w:color w:val="595959" w:themeColor="text1" w:themeTint="A6"/>
        </w:rPr>
        <w:t>ra (</w:t>
      </w:r>
      <w:r>
        <w:rPr>
          <w:color w:val="595959" w:themeColor="text1" w:themeTint="A6"/>
        </w:rPr>
        <w:t>planuojama</w:t>
      </w:r>
      <w:r w:rsidRPr="00E726B8">
        <w:rPr>
          <w:color w:val="595959" w:themeColor="text1" w:themeTint="A6"/>
        </w:rPr>
        <w:t xml:space="preserve"> 48 proc.)</w:t>
      </w:r>
      <w:r>
        <w:rPr>
          <w:color w:val="595959" w:themeColor="text1" w:themeTint="A6"/>
        </w:rPr>
        <w:t>.</w:t>
      </w:r>
    </w:p>
    <w:p w:rsidR="006B67FE" w:rsidRDefault="00E726B8" w:rsidP="00E726B8">
      <w:pPr>
        <w:jc w:val="both"/>
        <w:rPr>
          <w:color w:val="595959" w:themeColor="text1" w:themeTint="A6"/>
        </w:rPr>
      </w:pPr>
      <w:r>
        <w:rPr>
          <w:color w:val="595959" w:themeColor="text1" w:themeTint="A6"/>
        </w:rPr>
        <w:t>- atnaujinus</w:t>
      </w:r>
      <w:r w:rsidRPr="00E726B8">
        <w:rPr>
          <w:color w:val="595959" w:themeColor="text1" w:themeTint="A6"/>
        </w:rPr>
        <w:t xml:space="preserve"> 17 ikimokykl</w:t>
      </w:r>
      <w:r>
        <w:rPr>
          <w:color w:val="595959" w:themeColor="text1" w:themeTint="A6"/>
        </w:rPr>
        <w:t>inio ir priešmokyklinio ugdymo įstaigų,</w:t>
      </w:r>
      <w:r w:rsidRPr="00E726B8">
        <w:rPr>
          <w:color w:val="595959" w:themeColor="text1" w:themeTint="A6"/>
        </w:rPr>
        <w:t xml:space="preserve"> beveik 28 proc. ikimokyklinio ir priešmokyklini</w:t>
      </w:r>
      <w:r>
        <w:rPr>
          <w:color w:val="595959" w:themeColor="text1" w:themeTint="A6"/>
        </w:rPr>
        <w:t>o ugdymo vaikų</w:t>
      </w:r>
      <w:r w:rsidRPr="00E726B8">
        <w:rPr>
          <w:color w:val="595959" w:themeColor="text1" w:themeTint="A6"/>
        </w:rPr>
        <w:t xml:space="preserve"> gali naudotis atnaujinta infrastrukt</w:t>
      </w:r>
      <w:r>
        <w:rPr>
          <w:color w:val="595959" w:themeColor="text1" w:themeTint="A6"/>
        </w:rPr>
        <w:t>ū</w:t>
      </w:r>
      <w:r w:rsidRPr="00E726B8">
        <w:rPr>
          <w:color w:val="595959" w:themeColor="text1" w:themeTint="A6"/>
        </w:rPr>
        <w:t>ra (</w:t>
      </w:r>
      <w:r>
        <w:rPr>
          <w:color w:val="595959" w:themeColor="text1" w:themeTint="A6"/>
        </w:rPr>
        <w:t>planuojama</w:t>
      </w:r>
      <w:r w:rsidRPr="00E726B8">
        <w:rPr>
          <w:color w:val="595959" w:themeColor="text1" w:themeTint="A6"/>
        </w:rPr>
        <w:t xml:space="preserve"> 46 proc.).</w:t>
      </w:r>
    </w:p>
    <w:p w:rsidR="00E726B8" w:rsidRPr="00C4777B" w:rsidRDefault="00E726B8" w:rsidP="00E726B8">
      <w:pPr>
        <w:jc w:val="both"/>
        <w:rPr>
          <w:color w:val="595959" w:themeColor="text1" w:themeTint="A6"/>
        </w:rPr>
      </w:pPr>
    </w:p>
    <w:p w:rsidR="000305AE" w:rsidRPr="00C4777B" w:rsidRDefault="000305AE" w:rsidP="00C4777B">
      <w:pPr>
        <w:pStyle w:val="antrat3zz"/>
        <w:spacing w:before="0" w:after="0"/>
        <w:rPr>
          <w:rFonts w:ascii="Times New Roman" w:hAnsi="Times New Roman" w:cs="Times New Roman"/>
        </w:rPr>
      </w:pPr>
      <w:bookmarkStart w:id="30" w:name="_Toc69114258"/>
      <w:r w:rsidRPr="00C4777B">
        <w:rPr>
          <w:rStyle w:val="antrat2ZZDiagrama"/>
          <w:rFonts w:ascii="Times New Roman" w:hAnsi="Times New Roman" w:cs="Times New Roman"/>
          <w:b/>
          <w:bCs/>
          <w:color w:val="595959" w:themeColor="text1" w:themeTint="A6"/>
          <w:sz w:val="24"/>
          <w:szCs w:val="24"/>
        </w:rPr>
        <w:t>10 prioritetas. Visuomenės</w:t>
      </w:r>
      <w:r w:rsidRPr="00C4777B">
        <w:rPr>
          <w:rFonts w:ascii="Times New Roman" w:hAnsi="Times New Roman" w:cs="Times New Roman"/>
        </w:rPr>
        <w:t xml:space="preserve"> poreikius atitinkantis ir pažangus viešasis valdymas</w:t>
      </w:r>
      <w:bookmarkEnd w:id="29"/>
      <w:bookmarkEnd w:id="30"/>
    </w:p>
    <w:p w:rsidR="007475E3" w:rsidRDefault="007475E3" w:rsidP="008510B0">
      <w:pPr>
        <w:pStyle w:val="tekstas"/>
        <w:ind w:firstLine="0"/>
        <w:rPr>
          <w:rFonts w:ascii="Times New Roman" w:hAnsi="Times New Roman"/>
          <w:color w:val="595959" w:themeColor="text1" w:themeTint="A6"/>
          <w:lang w:eastAsia="lt-LT"/>
        </w:rPr>
      </w:pPr>
      <w:bookmarkStart w:id="31" w:name="_Toc473644133"/>
    </w:p>
    <w:p w:rsidR="00C92FA0" w:rsidRDefault="00EE017E" w:rsidP="008510B0">
      <w:pPr>
        <w:pStyle w:val="tekstas"/>
        <w:ind w:firstLine="0"/>
        <w:rPr>
          <w:rFonts w:ascii="Times New Roman" w:hAnsi="Times New Roman"/>
          <w:color w:val="595959" w:themeColor="text1" w:themeTint="A6"/>
          <w:lang w:eastAsia="lt-LT"/>
        </w:rPr>
      </w:pPr>
      <w:r>
        <w:rPr>
          <w:noProof/>
          <w:lang w:eastAsia="lt-LT"/>
        </w:rPr>
        <w:drawing>
          <wp:inline distT="0" distB="0" distL="0" distR="0" wp14:anchorId="28BEB2CB" wp14:editId="76635708">
            <wp:extent cx="6120130" cy="719384"/>
            <wp:effectExtent l="0" t="0" r="13970" b="24130"/>
            <wp:docPr id="417" name="Diagrama 4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5308C6" w:rsidRPr="00C4777B" w:rsidRDefault="005308C6" w:rsidP="008379C9">
      <w:pPr>
        <w:pStyle w:val="tekstas"/>
        <w:rPr>
          <w:rFonts w:ascii="Times New Roman" w:hAnsi="Times New Roman"/>
          <w:color w:val="595959" w:themeColor="text1" w:themeTint="A6"/>
          <w:lang w:eastAsia="lt-LT"/>
        </w:rPr>
      </w:pPr>
    </w:p>
    <w:p w:rsidR="003A7CC3" w:rsidRDefault="008379C9" w:rsidP="009F17F3">
      <w:pPr>
        <w:pStyle w:val="tekstas"/>
        <w:rPr>
          <w:rFonts w:ascii="Times New Roman" w:hAnsi="Times New Roman"/>
          <w:color w:val="595959" w:themeColor="text1" w:themeTint="A6"/>
          <w:lang w:eastAsia="lt-LT"/>
        </w:rPr>
      </w:pPr>
      <w:r w:rsidRPr="00C4777B">
        <w:rPr>
          <w:rFonts w:ascii="Times New Roman" w:hAnsi="Times New Roman"/>
          <w:color w:val="595959" w:themeColor="text1" w:themeTint="A6"/>
          <w:lang w:eastAsia="lt-LT"/>
        </w:rPr>
        <w:t xml:space="preserve">2020 m. pabaigoje Vidaus reikalų ministerijos administruojamame 10 prioritete suplanuotos </w:t>
      </w:r>
      <w:r w:rsidR="0033590E">
        <w:rPr>
          <w:rFonts w:ascii="Times New Roman" w:hAnsi="Times New Roman"/>
          <w:color w:val="595959" w:themeColor="text1" w:themeTint="A6"/>
          <w:lang w:eastAsia="lt-LT"/>
        </w:rPr>
        <w:t xml:space="preserve">beveik </w:t>
      </w:r>
      <w:r w:rsidRPr="00C4777B">
        <w:rPr>
          <w:rFonts w:ascii="Times New Roman" w:hAnsi="Times New Roman"/>
          <w:color w:val="595959" w:themeColor="text1" w:themeTint="A6"/>
          <w:lang w:eastAsia="lt-LT"/>
        </w:rPr>
        <w:t>visos lėšos</w:t>
      </w:r>
      <w:r w:rsidR="0033590E">
        <w:rPr>
          <w:rFonts w:ascii="Times New Roman" w:hAnsi="Times New Roman"/>
          <w:color w:val="595959" w:themeColor="text1" w:themeTint="A6"/>
          <w:lang w:eastAsia="lt-LT"/>
        </w:rPr>
        <w:t xml:space="preserve"> (98 proc.)</w:t>
      </w:r>
      <w:r w:rsidR="00E94F6B">
        <w:rPr>
          <w:rFonts w:ascii="Times New Roman" w:hAnsi="Times New Roman"/>
          <w:color w:val="595959" w:themeColor="text1" w:themeTint="A6"/>
          <w:lang w:eastAsia="lt-LT"/>
        </w:rPr>
        <w:t xml:space="preserve">. Papildomai </w:t>
      </w:r>
      <w:r w:rsidR="00E94F6B" w:rsidRPr="0033590E">
        <w:rPr>
          <w:rFonts w:ascii="Times New Roman" w:hAnsi="Times New Roman"/>
          <w:color w:val="595959" w:themeColor="text1" w:themeTint="A6"/>
          <w:lang w:eastAsia="lt-LT"/>
        </w:rPr>
        <w:t xml:space="preserve">prioritete ministerijai yra numatyta </w:t>
      </w:r>
      <w:r w:rsidR="00E94F6B">
        <w:rPr>
          <w:rFonts w:ascii="Times New Roman" w:hAnsi="Times New Roman"/>
          <w:color w:val="595959" w:themeColor="text1" w:themeTint="A6"/>
          <w:lang w:eastAsia="lt-LT"/>
        </w:rPr>
        <w:t>8,2</w:t>
      </w:r>
      <w:r w:rsidR="00E94F6B" w:rsidRPr="0033590E">
        <w:rPr>
          <w:rFonts w:ascii="Times New Roman" w:hAnsi="Times New Roman"/>
          <w:color w:val="595959" w:themeColor="text1" w:themeTint="A6"/>
          <w:lang w:eastAsia="lt-LT"/>
        </w:rPr>
        <w:t xml:space="preserve"> mln. eurų </w:t>
      </w:r>
      <w:proofErr w:type="spellStart"/>
      <w:r w:rsidR="00E94F6B" w:rsidRPr="0033590E">
        <w:rPr>
          <w:rFonts w:ascii="Times New Roman" w:hAnsi="Times New Roman"/>
          <w:color w:val="595959" w:themeColor="text1" w:themeTint="A6"/>
          <w:lang w:eastAsia="lt-LT"/>
        </w:rPr>
        <w:t>virškontraktavimo</w:t>
      </w:r>
      <w:proofErr w:type="spellEnd"/>
      <w:r w:rsidR="00E94F6B" w:rsidRPr="0033590E">
        <w:rPr>
          <w:rFonts w:ascii="Times New Roman" w:hAnsi="Times New Roman"/>
          <w:color w:val="595959" w:themeColor="text1" w:themeTint="A6"/>
          <w:lang w:eastAsia="lt-LT"/>
        </w:rPr>
        <w:t xml:space="preserve"> galimybė</w:t>
      </w:r>
      <w:r w:rsidR="00E94F6B">
        <w:rPr>
          <w:rFonts w:ascii="Times New Roman" w:hAnsi="Times New Roman"/>
          <w:color w:val="595959" w:themeColor="text1" w:themeTint="A6"/>
          <w:lang w:eastAsia="lt-LT"/>
        </w:rPr>
        <w:t xml:space="preserve">. </w:t>
      </w:r>
    </w:p>
    <w:p w:rsidR="009F17F3" w:rsidRPr="00E94F6B" w:rsidRDefault="009F17F3" w:rsidP="009F17F3">
      <w:pPr>
        <w:pStyle w:val="tekstas"/>
        <w:rPr>
          <w:rFonts w:ascii="Times New Roman" w:hAnsi="Times New Roman"/>
          <w:color w:val="595959" w:themeColor="text1" w:themeTint="A6"/>
          <w:lang w:eastAsia="lt-LT"/>
        </w:rPr>
      </w:pPr>
      <w:r w:rsidRPr="00E94F6B">
        <w:rPr>
          <w:rFonts w:ascii="Times New Roman" w:hAnsi="Times New Roman"/>
          <w:color w:val="595959" w:themeColor="text1" w:themeTint="A6"/>
          <w:lang w:eastAsia="lt-LT"/>
        </w:rPr>
        <w:t>Atkreiptinas dėmesys, kad vien per pasku</w:t>
      </w:r>
      <w:r>
        <w:rPr>
          <w:rFonts w:ascii="Times New Roman" w:hAnsi="Times New Roman"/>
          <w:color w:val="595959" w:themeColor="text1" w:themeTint="A6"/>
          <w:lang w:eastAsia="lt-LT"/>
        </w:rPr>
        <w:t>tinį 2020 m. ketvirtį pasirašyta</w:t>
      </w:r>
      <w:r w:rsidRPr="00E94F6B">
        <w:rPr>
          <w:rFonts w:ascii="Times New Roman" w:hAnsi="Times New Roman"/>
          <w:color w:val="595959" w:themeColor="text1" w:themeTint="A6"/>
          <w:lang w:eastAsia="lt-LT"/>
        </w:rPr>
        <w:t xml:space="preserve"> finansavimo sutarčių už daugiau nei 9 mln. eurų, iš kurių skirtas finansavimas itin svarbiems viešojo valdymo įgyvendinimo projektams</w:t>
      </w:r>
      <w:r>
        <w:rPr>
          <w:rFonts w:ascii="Times New Roman" w:hAnsi="Times New Roman"/>
          <w:color w:val="595959" w:themeColor="text1" w:themeTint="A6"/>
          <w:lang w:eastAsia="lt-LT"/>
        </w:rPr>
        <w:t>:</w:t>
      </w:r>
      <w:r w:rsidRPr="00E94F6B">
        <w:rPr>
          <w:rFonts w:ascii="Times New Roman" w:hAnsi="Times New Roman"/>
          <w:color w:val="595959" w:themeColor="text1" w:themeTint="A6"/>
          <w:lang w:eastAsia="lt-LT"/>
        </w:rPr>
        <w:t xml:space="preserve"> strateginio valdymo sistemos tobulinimui, užkrečiamų ligų ir jų sukėlėjų </w:t>
      </w:r>
      <w:r w:rsidRPr="00E94F6B">
        <w:rPr>
          <w:rFonts w:ascii="Times New Roman" w:hAnsi="Times New Roman"/>
          <w:color w:val="595959" w:themeColor="text1" w:themeTint="A6"/>
          <w:lang w:eastAsia="lt-LT"/>
        </w:rPr>
        <w:lastRenderedPageBreak/>
        <w:t>epidemiologinės stebėsenos gerinimui, valstybės iždo konsoliduotų sąskaitų valdymo sistemos sukūrimui.</w:t>
      </w:r>
    </w:p>
    <w:p w:rsidR="008379C9" w:rsidRPr="00C4777B" w:rsidRDefault="00303B08" w:rsidP="008379C9">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I</w:t>
      </w:r>
      <w:r w:rsidRPr="00303B08">
        <w:rPr>
          <w:rFonts w:ascii="Times New Roman" w:hAnsi="Times New Roman"/>
          <w:color w:val="595959" w:themeColor="text1" w:themeTint="A6"/>
          <w:lang w:eastAsia="lt-LT"/>
        </w:rPr>
        <w:t>nvestavimas projektuose pernelyg lėtas</w:t>
      </w:r>
      <w:r>
        <w:rPr>
          <w:rFonts w:ascii="Times New Roman" w:hAnsi="Times New Roman"/>
          <w:color w:val="595959" w:themeColor="text1" w:themeTint="A6"/>
          <w:lang w:eastAsia="lt-LT"/>
        </w:rPr>
        <w:t>,</w:t>
      </w:r>
      <w:r w:rsidRPr="00303B08">
        <w:rPr>
          <w:rFonts w:ascii="Times New Roman" w:hAnsi="Times New Roman"/>
          <w:color w:val="595959" w:themeColor="text1" w:themeTint="A6"/>
          <w:lang w:eastAsia="lt-LT"/>
        </w:rPr>
        <w:t xml:space="preserve"> </w:t>
      </w:r>
      <w:r w:rsidR="005308C6" w:rsidRPr="00C4777B">
        <w:rPr>
          <w:rFonts w:ascii="Times New Roman" w:hAnsi="Times New Roman"/>
          <w:color w:val="595959" w:themeColor="text1" w:themeTint="A6"/>
          <w:lang w:eastAsia="lt-LT"/>
        </w:rPr>
        <w:t xml:space="preserve">kol kas </w:t>
      </w:r>
      <w:r w:rsidR="008379C9" w:rsidRPr="00C4777B">
        <w:rPr>
          <w:rFonts w:ascii="Times New Roman" w:hAnsi="Times New Roman"/>
          <w:color w:val="595959" w:themeColor="text1" w:themeTint="A6"/>
          <w:lang w:eastAsia="lt-LT"/>
        </w:rPr>
        <w:t xml:space="preserve">investuota </w:t>
      </w:r>
      <w:r w:rsidR="005308C6" w:rsidRPr="00C4777B">
        <w:rPr>
          <w:rFonts w:ascii="Times New Roman" w:hAnsi="Times New Roman"/>
          <w:color w:val="595959" w:themeColor="text1" w:themeTint="A6"/>
          <w:lang w:eastAsia="lt-LT"/>
        </w:rPr>
        <w:t>pusė (</w:t>
      </w:r>
      <w:r w:rsidR="00EE017E">
        <w:rPr>
          <w:rFonts w:ascii="Times New Roman" w:hAnsi="Times New Roman"/>
          <w:color w:val="595959" w:themeColor="text1" w:themeTint="A6"/>
          <w:lang w:eastAsia="lt-LT"/>
        </w:rPr>
        <w:t>50</w:t>
      </w:r>
      <w:r w:rsidR="008379C9" w:rsidRPr="00C4777B">
        <w:rPr>
          <w:rFonts w:ascii="Times New Roman" w:hAnsi="Times New Roman"/>
          <w:color w:val="595959" w:themeColor="text1" w:themeTint="A6"/>
          <w:lang w:eastAsia="lt-LT"/>
        </w:rPr>
        <w:t xml:space="preserve"> proc.</w:t>
      </w:r>
      <w:r w:rsidR="005308C6" w:rsidRPr="00C4777B">
        <w:rPr>
          <w:rFonts w:ascii="Times New Roman" w:hAnsi="Times New Roman"/>
          <w:color w:val="595959" w:themeColor="text1" w:themeTint="A6"/>
          <w:lang w:eastAsia="lt-LT"/>
        </w:rPr>
        <w:t>) skirtų</w:t>
      </w:r>
      <w:r w:rsidR="0033590E">
        <w:rPr>
          <w:rFonts w:ascii="Times New Roman" w:hAnsi="Times New Roman"/>
          <w:color w:val="595959" w:themeColor="text1" w:themeTint="A6"/>
          <w:lang w:eastAsia="lt-LT"/>
        </w:rPr>
        <w:t xml:space="preserve"> lėšų.</w:t>
      </w:r>
      <w:r>
        <w:rPr>
          <w:rFonts w:ascii="Times New Roman" w:hAnsi="Times New Roman"/>
          <w:color w:val="595959" w:themeColor="text1" w:themeTint="A6"/>
          <w:lang w:eastAsia="lt-LT"/>
        </w:rPr>
        <w:t xml:space="preserve"> Dėl</w:t>
      </w:r>
      <w:r w:rsidR="0033590E">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to</w:t>
      </w:r>
      <w:r w:rsidRPr="00303B08">
        <w:rPr>
          <w:rFonts w:ascii="Times New Roman" w:hAnsi="Times New Roman"/>
          <w:color w:val="595959" w:themeColor="text1" w:themeTint="A6"/>
          <w:lang w:eastAsia="lt-LT"/>
        </w:rPr>
        <w:t xml:space="preserve"> Vidaus reikalų ministerija kartu su įgyvendinančiąja institucija</w:t>
      </w:r>
      <w:r w:rsidR="00F76DBC">
        <w:rPr>
          <w:rFonts w:ascii="Times New Roman" w:hAnsi="Times New Roman"/>
          <w:color w:val="595959" w:themeColor="text1" w:themeTint="A6"/>
          <w:lang w:eastAsia="lt-LT"/>
        </w:rPr>
        <w:t xml:space="preserve"> turėtų imtis veiksmų spartinti</w:t>
      </w:r>
      <w:r w:rsidRPr="00303B08">
        <w:rPr>
          <w:rFonts w:ascii="Times New Roman" w:hAnsi="Times New Roman"/>
          <w:color w:val="595959" w:themeColor="text1" w:themeTint="A6"/>
          <w:lang w:eastAsia="lt-LT"/>
        </w:rPr>
        <w:t xml:space="preserve"> invest</w:t>
      </w:r>
      <w:r w:rsidR="00F76DBC">
        <w:rPr>
          <w:rFonts w:ascii="Times New Roman" w:hAnsi="Times New Roman"/>
          <w:color w:val="595959" w:themeColor="text1" w:themeTint="A6"/>
          <w:lang w:eastAsia="lt-LT"/>
        </w:rPr>
        <w:t>icijas bei valdyti</w:t>
      </w:r>
      <w:r w:rsidRPr="00303B08">
        <w:rPr>
          <w:rFonts w:ascii="Times New Roman" w:hAnsi="Times New Roman"/>
          <w:color w:val="595959" w:themeColor="text1" w:themeTint="A6"/>
          <w:lang w:eastAsia="lt-LT"/>
        </w:rPr>
        <w:t xml:space="preserve"> identifikuotas rizikas</w:t>
      </w:r>
      <w:r>
        <w:rPr>
          <w:rFonts w:ascii="Times New Roman" w:hAnsi="Times New Roman"/>
          <w:color w:val="595959" w:themeColor="text1" w:themeTint="A6"/>
          <w:lang w:eastAsia="lt-LT"/>
        </w:rPr>
        <w:t>.</w:t>
      </w:r>
    </w:p>
    <w:p w:rsidR="007475E3" w:rsidRDefault="00E94F6B" w:rsidP="009F17F3">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Šiame prioritete investuojama</w:t>
      </w:r>
      <w:r w:rsidRPr="00E94F6B">
        <w:rPr>
          <w:rFonts w:ascii="Times New Roman" w:hAnsi="Times New Roman"/>
          <w:color w:val="595959" w:themeColor="text1" w:themeTint="A6"/>
          <w:lang w:eastAsia="lt-LT"/>
        </w:rPr>
        <w:t xml:space="preserve"> į institucinių gebėjimų stiprinimą ir veiksmingesnį viešąjį administravimą bei viešąsias paslaugas nacionaliniu, regionų ir vietos lygmenimis, siekiant reformų, geresnio reglamentavimo ir gero valdymo. </w:t>
      </w:r>
      <w:r w:rsidR="001817D5" w:rsidRPr="00897BA1">
        <w:rPr>
          <w:rFonts w:ascii="Times New Roman" w:hAnsi="Times New Roman"/>
          <w:color w:val="595959" w:themeColor="text1" w:themeTint="A6"/>
          <w:lang w:eastAsia="lt-LT"/>
        </w:rPr>
        <w:t xml:space="preserve">Viso </w:t>
      </w:r>
      <w:r w:rsidR="001817D5">
        <w:rPr>
          <w:rFonts w:ascii="Times New Roman" w:hAnsi="Times New Roman"/>
          <w:color w:val="595959" w:themeColor="text1" w:themeTint="A6"/>
          <w:lang w:eastAsia="lt-LT"/>
        </w:rPr>
        <w:t>finansinio</w:t>
      </w:r>
      <w:r w:rsidR="001817D5" w:rsidRPr="00897BA1">
        <w:rPr>
          <w:rFonts w:ascii="Times New Roman" w:hAnsi="Times New Roman"/>
          <w:color w:val="595959" w:themeColor="text1" w:themeTint="A6"/>
          <w:lang w:eastAsia="lt-LT"/>
        </w:rPr>
        <w:t xml:space="preserve"> laikotarpio metu daug pastangų dėta </w:t>
      </w:r>
      <w:r w:rsidR="001817D5" w:rsidRPr="00897BA1">
        <w:rPr>
          <w:rFonts w:ascii="Times New Roman" w:hAnsi="Times New Roman"/>
          <w:noProof/>
        </w:rPr>
        <w:t>į nacionalinių viešojo valdymo reformų pasirengimą ir įgyvendinimą (t.y. mokesčių administravimo, strateginio planavimo ir biudžeto formavimo sistemų pertvarkos, viešojo valdymo institucijų bendrųjų funkcijų konsolidavimo ir  kt.), įrodymais grįsto valdymo priemonių taikymo plėtrą</w:t>
      </w:r>
      <w:r w:rsidR="00F62182">
        <w:rPr>
          <w:rFonts w:ascii="Times New Roman" w:hAnsi="Times New Roman"/>
          <w:noProof/>
        </w:rPr>
        <w:t>,</w:t>
      </w:r>
      <w:r w:rsidR="001817D5" w:rsidRPr="00897BA1">
        <w:rPr>
          <w:rFonts w:ascii="Times New Roman" w:hAnsi="Times New Roman"/>
          <w:noProof/>
        </w:rPr>
        <w:t xml:space="preserve"> </w:t>
      </w:r>
      <w:r w:rsidR="00F62182">
        <w:rPr>
          <w:rFonts w:ascii="Times New Roman" w:hAnsi="Times New Roman"/>
          <w:noProof/>
        </w:rPr>
        <w:t>n</w:t>
      </w:r>
      <w:r w:rsidR="001817D5" w:rsidRPr="00897BA1">
        <w:rPr>
          <w:rFonts w:ascii="Times New Roman" w:hAnsi="Times New Roman"/>
          <w:noProof/>
        </w:rPr>
        <w:t>acionalinės kovos su korupcija programos priemonių įgyvendinim</w:t>
      </w:r>
      <w:r w:rsidR="00F62182">
        <w:rPr>
          <w:rFonts w:ascii="Times New Roman" w:hAnsi="Times New Roman"/>
          <w:noProof/>
        </w:rPr>
        <w:t>ą</w:t>
      </w:r>
      <w:r w:rsidR="001817D5" w:rsidRPr="00897BA1">
        <w:rPr>
          <w:rFonts w:ascii="Times New Roman" w:hAnsi="Times New Roman"/>
          <w:noProof/>
        </w:rPr>
        <w:t xml:space="preserve">. Regionuose buvo </w:t>
      </w:r>
      <w:r w:rsidR="00F62182">
        <w:rPr>
          <w:rFonts w:ascii="Times New Roman" w:hAnsi="Times New Roman"/>
          <w:noProof/>
        </w:rPr>
        <w:t>finansuojamas</w:t>
      </w:r>
      <w:r w:rsidR="001817D5" w:rsidRPr="00897BA1">
        <w:rPr>
          <w:rFonts w:ascii="Times New Roman" w:hAnsi="Times New Roman"/>
          <w:noProof/>
        </w:rPr>
        <w:t xml:space="preserve"> viešojo valdymo institucijų teikiamų paslaugų ir asmenų aptarnavimo kokybės gerinimas, kurio pridėtinė vertė vertinama kaip vienas iš geriausių pasiekimų per pastaruosius metus. </w:t>
      </w:r>
      <w:r w:rsidR="001817D5" w:rsidRPr="00897BA1">
        <w:rPr>
          <w:rFonts w:ascii="Times New Roman" w:hAnsi="Times New Roman"/>
          <w:lang w:eastAsia="lt-LT"/>
        </w:rPr>
        <w:t xml:space="preserve">2014–2020 m. laikotarpio investicijomis bus sukurti įrankiai tiek </w:t>
      </w:r>
      <w:r w:rsidR="001817D5" w:rsidRPr="00897BA1">
        <w:rPr>
          <w:rFonts w:ascii="Times New Roman" w:hAnsi="Times New Roman"/>
          <w:szCs w:val="22"/>
        </w:rPr>
        <w:t>viešojo valdymo institucijų veiklos skaidrum</w:t>
      </w:r>
      <w:r w:rsidR="00F62182">
        <w:rPr>
          <w:rFonts w:ascii="Times New Roman" w:hAnsi="Times New Roman"/>
          <w:szCs w:val="22"/>
        </w:rPr>
        <w:t>ui</w:t>
      </w:r>
      <w:r w:rsidR="001817D5" w:rsidRPr="00897BA1">
        <w:rPr>
          <w:rFonts w:ascii="Times New Roman" w:hAnsi="Times New Roman"/>
          <w:szCs w:val="22"/>
        </w:rPr>
        <w:t xml:space="preserve"> ir viešosios informacijos prieinamum</w:t>
      </w:r>
      <w:r w:rsidR="00F62182">
        <w:rPr>
          <w:rFonts w:ascii="Times New Roman" w:hAnsi="Times New Roman"/>
          <w:szCs w:val="22"/>
        </w:rPr>
        <w:t>ui</w:t>
      </w:r>
      <w:r w:rsidR="001817D5" w:rsidRPr="00897BA1">
        <w:rPr>
          <w:rFonts w:ascii="Times New Roman" w:hAnsi="Times New Roman"/>
          <w:szCs w:val="22"/>
        </w:rPr>
        <w:t xml:space="preserve"> visuomenei didin</w:t>
      </w:r>
      <w:r w:rsidR="00F62182">
        <w:rPr>
          <w:rFonts w:ascii="Times New Roman" w:hAnsi="Times New Roman"/>
          <w:szCs w:val="22"/>
        </w:rPr>
        <w:t>ti</w:t>
      </w:r>
      <w:r w:rsidR="001817D5" w:rsidRPr="00897BA1">
        <w:rPr>
          <w:rFonts w:ascii="Times New Roman" w:hAnsi="Times New Roman"/>
          <w:szCs w:val="22"/>
        </w:rPr>
        <w:t xml:space="preserve">, tiek </w:t>
      </w:r>
      <w:r w:rsidR="001817D5" w:rsidRPr="00897BA1">
        <w:rPr>
          <w:rFonts w:ascii="Times New Roman" w:hAnsi="Times New Roman"/>
          <w:szCs w:val="22"/>
          <w:lang w:eastAsia="lt-LT"/>
        </w:rPr>
        <w:t>visuomen</w:t>
      </w:r>
      <w:r w:rsidR="00F62182">
        <w:rPr>
          <w:rFonts w:ascii="Times New Roman" w:hAnsi="Times New Roman"/>
          <w:szCs w:val="22"/>
          <w:lang w:eastAsia="lt-LT"/>
        </w:rPr>
        <w:t>ei</w:t>
      </w:r>
      <w:r w:rsidR="001817D5" w:rsidRPr="00897BA1">
        <w:rPr>
          <w:rFonts w:ascii="Times New Roman" w:hAnsi="Times New Roman"/>
          <w:szCs w:val="22"/>
          <w:lang w:eastAsia="lt-LT"/>
        </w:rPr>
        <w:t xml:space="preserve"> įtrauk</w:t>
      </w:r>
      <w:r w:rsidR="00F62182">
        <w:rPr>
          <w:rFonts w:ascii="Times New Roman" w:hAnsi="Times New Roman"/>
          <w:szCs w:val="22"/>
          <w:lang w:eastAsia="lt-LT"/>
        </w:rPr>
        <w:t>ti</w:t>
      </w:r>
      <w:r w:rsidR="001817D5" w:rsidRPr="00897BA1">
        <w:rPr>
          <w:rFonts w:ascii="Times New Roman" w:hAnsi="Times New Roman"/>
          <w:szCs w:val="22"/>
          <w:lang w:eastAsia="lt-LT"/>
        </w:rPr>
        <w:t xml:space="preserve"> į viešojo valdymo procesus</w:t>
      </w:r>
      <w:r w:rsidR="009F17F3">
        <w:rPr>
          <w:rFonts w:ascii="Times New Roman" w:hAnsi="Times New Roman"/>
          <w:szCs w:val="22"/>
          <w:lang w:eastAsia="lt-LT"/>
        </w:rPr>
        <w:t>.</w:t>
      </w:r>
    </w:p>
    <w:p w:rsidR="00F76DBC" w:rsidRDefault="00F76DBC" w:rsidP="00F76DBC">
      <w:pPr>
        <w:pStyle w:val="tekstas"/>
        <w:rPr>
          <w:rFonts w:ascii="Times New Roman" w:hAnsi="Times New Roman"/>
          <w:color w:val="595959" w:themeColor="text1" w:themeTint="A6"/>
          <w:lang w:eastAsia="lt-LT"/>
        </w:rPr>
      </w:pPr>
      <w:r w:rsidRPr="00E94F6B">
        <w:rPr>
          <w:rFonts w:ascii="Times New Roman" w:hAnsi="Times New Roman"/>
          <w:color w:val="595959" w:themeColor="text1" w:themeTint="A6"/>
          <w:lang w:eastAsia="lt-LT"/>
        </w:rPr>
        <w:t>Pažymėtina, kad naujame 2021-2027 m. finansiniame laikotarpyje ne</w:t>
      </w:r>
      <w:r>
        <w:rPr>
          <w:rFonts w:ascii="Times New Roman" w:hAnsi="Times New Roman"/>
          <w:color w:val="595959" w:themeColor="text1" w:themeTint="A6"/>
          <w:lang w:eastAsia="lt-LT"/>
        </w:rPr>
        <w:t xml:space="preserve">bus </w:t>
      </w:r>
      <w:r w:rsidRPr="00E94F6B">
        <w:rPr>
          <w:rFonts w:ascii="Times New Roman" w:hAnsi="Times New Roman"/>
          <w:color w:val="595959" w:themeColor="text1" w:themeTint="A6"/>
          <w:lang w:eastAsia="lt-LT"/>
        </w:rPr>
        <w:t>finansuo</w:t>
      </w:r>
      <w:r>
        <w:rPr>
          <w:rFonts w:ascii="Times New Roman" w:hAnsi="Times New Roman"/>
          <w:color w:val="595959" w:themeColor="text1" w:themeTint="A6"/>
          <w:lang w:eastAsia="lt-LT"/>
        </w:rPr>
        <w:t>jamos</w:t>
      </w:r>
      <w:r w:rsidRPr="00E94F6B">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 xml:space="preserve">investicijos į </w:t>
      </w:r>
      <w:r w:rsidRPr="00E94F6B">
        <w:rPr>
          <w:rFonts w:ascii="Times New Roman" w:hAnsi="Times New Roman"/>
          <w:color w:val="595959" w:themeColor="text1" w:themeTint="A6"/>
          <w:lang w:eastAsia="lt-LT"/>
        </w:rPr>
        <w:t>vieš</w:t>
      </w:r>
      <w:r>
        <w:rPr>
          <w:rFonts w:ascii="Times New Roman" w:hAnsi="Times New Roman"/>
          <w:color w:val="595959" w:themeColor="text1" w:themeTint="A6"/>
          <w:lang w:eastAsia="lt-LT"/>
        </w:rPr>
        <w:t>ąjį</w:t>
      </w:r>
      <w:r w:rsidRPr="00E94F6B">
        <w:rPr>
          <w:rFonts w:ascii="Times New Roman" w:hAnsi="Times New Roman"/>
          <w:color w:val="595959" w:themeColor="text1" w:themeTint="A6"/>
          <w:lang w:eastAsia="lt-LT"/>
        </w:rPr>
        <w:t xml:space="preserve"> valdym</w:t>
      </w:r>
      <w:r>
        <w:rPr>
          <w:rFonts w:ascii="Times New Roman" w:hAnsi="Times New Roman"/>
          <w:color w:val="595959" w:themeColor="text1" w:themeTint="A6"/>
          <w:lang w:eastAsia="lt-LT"/>
        </w:rPr>
        <w:t>ą</w:t>
      </w:r>
      <w:r w:rsidRPr="00E94F6B">
        <w:rPr>
          <w:rFonts w:ascii="Times New Roman" w:hAnsi="Times New Roman"/>
          <w:color w:val="595959" w:themeColor="text1" w:themeTint="A6"/>
          <w:lang w:eastAsia="lt-LT"/>
        </w:rPr>
        <w:t xml:space="preserve">, tad </w:t>
      </w:r>
      <w:r>
        <w:rPr>
          <w:rFonts w:ascii="Times New Roman" w:hAnsi="Times New Roman"/>
          <w:color w:val="595959" w:themeColor="text1" w:themeTint="A6"/>
          <w:lang w:eastAsia="lt-LT"/>
        </w:rPr>
        <w:t xml:space="preserve">labai svarbu prioriteto sutaupymus bei </w:t>
      </w:r>
      <w:proofErr w:type="spellStart"/>
      <w:r>
        <w:rPr>
          <w:rFonts w:ascii="Times New Roman" w:hAnsi="Times New Roman"/>
          <w:color w:val="595959" w:themeColor="text1" w:themeTint="A6"/>
          <w:lang w:eastAsia="lt-LT"/>
        </w:rPr>
        <w:t>virškontraktavimui</w:t>
      </w:r>
      <w:proofErr w:type="spellEnd"/>
      <w:r>
        <w:rPr>
          <w:rFonts w:ascii="Times New Roman" w:hAnsi="Times New Roman"/>
          <w:color w:val="595959" w:themeColor="text1" w:themeTint="A6"/>
          <w:lang w:eastAsia="lt-LT"/>
        </w:rPr>
        <w:t xml:space="preserve"> skirtas lėšas (iš viso </w:t>
      </w:r>
      <w:r w:rsidR="001F446F">
        <w:rPr>
          <w:rFonts w:ascii="Times New Roman" w:hAnsi="Times New Roman"/>
          <w:color w:val="595959" w:themeColor="text1" w:themeTint="A6"/>
          <w:lang w:eastAsia="lt-LT"/>
        </w:rPr>
        <w:t>8,28</w:t>
      </w:r>
      <w:r>
        <w:rPr>
          <w:rFonts w:ascii="Times New Roman" w:hAnsi="Times New Roman"/>
          <w:color w:val="595959" w:themeColor="text1" w:themeTint="A6"/>
          <w:lang w:eastAsia="lt-LT"/>
        </w:rPr>
        <w:t xml:space="preserve"> mln. eurų) suplanuoti ypatingai svarbių ir pridėtinę vertę viešojo valdymo sektoriuje turinčių projektų įgyvendinimui, atliepiant Vyriausybės programos priemonių įgyvendinimo plane numatytas prioritetines sritis. Planuojami finansuoti projektai turi būti suderinti su Finansų ministerija.</w:t>
      </w:r>
    </w:p>
    <w:p w:rsidR="00F76DBC" w:rsidRDefault="00F76DBC" w:rsidP="00F76DBC">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Taip pat svarstoma</w:t>
      </w:r>
      <w:r w:rsidRPr="00E94F6B">
        <w:rPr>
          <w:rFonts w:ascii="Times New Roman" w:hAnsi="Times New Roman"/>
          <w:color w:val="595959" w:themeColor="text1" w:themeTint="A6"/>
          <w:lang w:eastAsia="lt-LT"/>
        </w:rPr>
        <w:t xml:space="preserve"> ypatingai svarbias tęstines viešojo valdymo reformas siūlyti įgyvendinti per naują </w:t>
      </w:r>
      <w:r>
        <w:rPr>
          <w:rFonts w:ascii="Times New Roman" w:hAnsi="Times New Roman"/>
          <w:color w:val="595959" w:themeColor="text1" w:themeTint="A6"/>
          <w:lang w:eastAsia="lt-LT"/>
        </w:rPr>
        <w:t>EK</w:t>
      </w:r>
      <w:r w:rsidRPr="00E94F6B">
        <w:rPr>
          <w:rFonts w:ascii="Times New Roman" w:hAnsi="Times New Roman"/>
          <w:color w:val="595959" w:themeColor="text1" w:themeTint="A6"/>
          <w:lang w:eastAsia="lt-LT"/>
        </w:rPr>
        <w:t xml:space="preserve"> finansinį instrumentą </w:t>
      </w:r>
      <w:proofErr w:type="spellStart"/>
      <w:r w:rsidRPr="00E94F6B">
        <w:rPr>
          <w:rFonts w:ascii="Times New Roman" w:hAnsi="Times New Roman"/>
          <w:color w:val="595959" w:themeColor="text1" w:themeTint="A6"/>
          <w:lang w:eastAsia="lt-LT"/>
        </w:rPr>
        <w:t>Technical</w:t>
      </w:r>
      <w:proofErr w:type="spellEnd"/>
      <w:r w:rsidRPr="00E94F6B">
        <w:rPr>
          <w:rFonts w:ascii="Times New Roman" w:hAnsi="Times New Roman"/>
          <w:color w:val="595959" w:themeColor="text1" w:themeTint="A6"/>
          <w:lang w:eastAsia="lt-LT"/>
        </w:rPr>
        <w:t xml:space="preserve"> </w:t>
      </w:r>
      <w:proofErr w:type="spellStart"/>
      <w:r w:rsidRPr="00E94F6B">
        <w:rPr>
          <w:rFonts w:ascii="Times New Roman" w:hAnsi="Times New Roman"/>
          <w:color w:val="595959" w:themeColor="text1" w:themeTint="A6"/>
          <w:lang w:eastAsia="lt-LT"/>
        </w:rPr>
        <w:t>support</w:t>
      </w:r>
      <w:proofErr w:type="spellEnd"/>
      <w:r w:rsidRPr="00E94F6B">
        <w:rPr>
          <w:rFonts w:ascii="Times New Roman" w:hAnsi="Times New Roman"/>
          <w:color w:val="595959" w:themeColor="text1" w:themeTint="A6"/>
          <w:lang w:eastAsia="lt-LT"/>
        </w:rPr>
        <w:t xml:space="preserve"> </w:t>
      </w:r>
      <w:proofErr w:type="spellStart"/>
      <w:r w:rsidRPr="00E94F6B">
        <w:rPr>
          <w:rFonts w:ascii="Times New Roman" w:hAnsi="Times New Roman"/>
          <w:color w:val="595959" w:themeColor="text1" w:themeTint="A6"/>
          <w:lang w:eastAsia="lt-LT"/>
        </w:rPr>
        <w:t>instrument</w:t>
      </w:r>
      <w:proofErr w:type="spellEnd"/>
      <w:r w:rsidRPr="00E94F6B">
        <w:rPr>
          <w:rFonts w:ascii="Times New Roman" w:hAnsi="Times New Roman"/>
          <w:color w:val="595959" w:themeColor="text1" w:themeTint="A6"/>
          <w:lang w:eastAsia="lt-LT"/>
        </w:rPr>
        <w:t xml:space="preserve"> (kuruojamas</w:t>
      </w:r>
      <w:r w:rsidRPr="00303B08">
        <w:rPr>
          <w:rFonts w:ascii="Times New Roman" w:hAnsi="Times New Roman"/>
          <w:color w:val="595959" w:themeColor="text1" w:themeTint="A6"/>
          <w:lang w:eastAsia="lt-LT"/>
        </w:rPr>
        <w:t xml:space="preserve"> </w:t>
      </w:r>
      <w:r w:rsidR="00EE017E">
        <w:rPr>
          <w:rFonts w:ascii="Times New Roman" w:hAnsi="Times New Roman"/>
          <w:color w:val="595959" w:themeColor="text1" w:themeTint="A6"/>
          <w:lang w:eastAsia="lt-LT"/>
        </w:rPr>
        <w:t>Vyriausybės kanceliarijos</w:t>
      </w:r>
      <w:r w:rsidRPr="00E94F6B">
        <w:rPr>
          <w:rFonts w:ascii="Times New Roman" w:hAnsi="Times New Roman"/>
          <w:color w:val="595959" w:themeColor="text1" w:themeTint="A6"/>
          <w:lang w:eastAsia="lt-LT"/>
        </w:rPr>
        <w:t xml:space="preserve">). Taip pat vertinamos galimybės </w:t>
      </w:r>
      <w:proofErr w:type="spellStart"/>
      <w:r w:rsidRPr="00E94F6B">
        <w:rPr>
          <w:rFonts w:ascii="Times New Roman" w:hAnsi="Times New Roman"/>
          <w:color w:val="595959" w:themeColor="text1" w:themeTint="A6"/>
          <w:lang w:eastAsia="lt-LT"/>
        </w:rPr>
        <w:t>reformines</w:t>
      </w:r>
      <w:proofErr w:type="spellEnd"/>
      <w:r w:rsidRPr="00E94F6B">
        <w:rPr>
          <w:rFonts w:ascii="Times New Roman" w:hAnsi="Times New Roman"/>
          <w:color w:val="595959" w:themeColor="text1" w:themeTint="A6"/>
          <w:lang w:eastAsia="lt-LT"/>
        </w:rPr>
        <w:t xml:space="preserve"> viešojo administravimo priemones finansuoti Europos ekonomikos gaivinimo ir atsparumo d</w:t>
      </w:r>
      <w:r w:rsidR="00EE017E">
        <w:rPr>
          <w:rFonts w:ascii="Times New Roman" w:hAnsi="Times New Roman"/>
          <w:color w:val="595959" w:themeColor="text1" w:themeTint="A6"/>
          <w:lang w:eastAsia="lt-LT"/>
        </w:rPr>
        <w:t>idinimo priemonės</w:t>
      </w:r>
      <w:r w:rsidRPr="00E94F6B">
        <w:rPr>
          <w:rFonts w:ascii="Times New Roman" w:hAnsi="Times New Roman"/>
          <w:color w:val="595959" w:themeColor="text1" w:themeTint="A6"/>
          <w:lang w:eastAsia="lt-LT"/>
        </w:rPr>
        <w:t xml:space="preserve"> lėšomis.</w:t>
      </w:r>
    </w:p>
    <w:p w:rsidR="00267BC0" w:rsidRDefault="00F76DBC" w:rsidP="00267BC0">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Vidaus reikalų ministerijai įgyvendinant prioriteto veiklas</w:t>
      </w:r>
      <w:r w:rsidR="00267BC0" w:rsidRPr="00723F2F">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 xml:space="preserve">iki 2020 m. pabaigos </w:t>
      </w:r>
      <w:r w:rsidR="00267BC0" w:rsidRPr="00723F2F">
        <w:rPr>
          <w:rFonts w:ascii="Times New Roman" w:hAnsi="Times New Roman"/>
          <w:color w:val="595959" w:themeColor="text1" w:themeTint="A6"/>
          <w:lang w:eastAsia="lt-LT"/>
        </w:rPr>
        <w:t>reikšmingi šių rodiklių pasiekimai</w:t>
      </w:r>
      <w:r w:rsidR="00267BC0">
        <w:rPr>
          <w:rFonts w:ascii="Times New Roman" w:hAnsi="Times New Roman"/>
          <w:color w:val="595959" w:themeColor="text1" w:themeTint="A6"/>
          <w:lang w:eastAsia="lt-LT"/>
        </w:rPr>
        <w:t>:</w:t>
      </w:r>
    </w:p>
    <w:p w:rsidR="00267BC0" w:rsidRDefault="00267BC0" w:rsidP="00EE017E">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3,</w:t>
      </w:r>
      <w:r>
        <w:rPr>
          <w:rFonts w:ascii="Times New Roman" w:hAnsi="Times New Roman"/>
          <w:color w:val="595959" w:themeColor="text1" w:themeTint="A6"/>
          <w:lang w:val="en-US" w:eastAsia="lt-LT"/>
        </w:rPr>
        <w:t>1</w:t>
      </w:r>
      <w:r w:rsidR="00F76DBC">
        <w:rPr>
          <w:rFonts w:ascii="Times New Roman" w:hAnsi="Times New Roman"/>
          <w:color w:val="595959" w:themeColor="text1" w:themeTint="A6"/>
          <w:lang w:eastAsia="lt-LT"/>
        </w:rPr>
        <w:t xml:space="preserve"> tūkstantis</w:t>
      </w:r>
      <w:r>
        <w:rPr>
          <w:rFonts w:ascii="Times New Roman" w:hAnsi="Times New Roman"/>
          <w:color w:val="595959" w:themeColor="text1" w:themeTint="A6"/>
          <w:lang w:eastAsia="lt-LT"/>
        </w:rPr>
        <w:t xml:space="preserve"> v</w:t>
      </w:r>
      <w:r w:rsidRPr="00A538C8">
        <w:rPr>
          <w:rFonts w:ascii="Times New Roman" w:hAnsi="Times New Roman"/>
          <w:color w:val="595959" w:themeColor="text1" w:themeTint="A6"/>
          <w:lang w:eastAsia="lt-LT"/>
        </w:rPr>
        <w:t>iešojo valdymo</w:t>
      </w:r>
      <w:r>
        <w:rPr>
          <w:rFonts w:ascii="Times New Roman" w:hAnsi="Times New Roman"/>
          <w:color w:val="595959" w:themeColor="text1" w:themeTint="A6"/>
          <w:lang w:eastAsia="lt-LT"/>
        </w:rPr>
        <w:t xml:space="preserve"> institucijų darbuotojų </w:t>
      </w:r>
      <w:r w:rsidRPr="00A538C8">
        <w:rPr>
          <w:rFonts w:ascii="Times New Roman" w:hAnsi="Times New Roman"/>
          <w:color w:val="595959" w:themeColor="text1" w:themeTint="A6"/>
          <w:lang w:eastAsia="lt-LT"/>
        </w:rPr>
        <w:t>dalyvavo veiklose, skirtose stiprinti įrodymais grįsto valdymo priemonių taikymui ar institucijų veiklos valdymo tobulinimui reikalingas kompetencijas</w:t>
      </w:r>
      <w:r>
        <w:rPr>
          <w:rFonts w:ascii="Times New Roman" w:hAnsi="Times New Roman"/>
          <w:color w:val="595959" w:themeColor="text1" w:themeTint="A6"/>
          <w:lang w:eastAsia="lt-LT"/>
        </w:rPr>
        <w:t xml:space="preserve"> (planuot</w:t>
      </w:r>
      <w:r w:rsidR="00F62182">
        <w:rPr>
          <w:rFonts w:ascii="Times New Roman" w:hAnsi="Times New Roman"/>
          <w:color w:val="595959" w:themeColor="text1" w:themeTint="A6"/>
          <w:lang w:eastAsia="lt-LT"/>
        </w:rPr>
        <w:t>a</w:t>
      </w:r>
      <w:r>
        <w:rPr>
          <w:rFonts w:ascii="Times New Roman" w:hAnsi="Times New Roman"/>
          <w:color w:val="595959" w:themeColor="text1" w:themeTint="A6"/>
          <w:lang w:eastAsia="lt-LT"/>
        </w:rPr>
        <w:t xml:space="preserve"> </w:t>
      </w:r>
      <w:r>
        <w:rPr>
          <w:rFonts w:ascii="Times New Roman" w:hAnsi="Times New Roman"/>
          <w:color w:val="595959" w:themeColor="text1" w:themeTint="A6"/>
          <w:lang w:val="en-US" w:eastAsia="lt-LT"/>
        </w:rPr>
        <w:t>3 t</w:t>
      </w:r>
      <w:r>
        <w:rPr>
          <w:rFonts w:ascii="Times New Roman" w:hAnsi="Times New Roman"/>
          <w:color w:val="595959" w:themeColor="text1" w:themeTint="A6"/>
          <w:lang w:eastAsia="lt-LT"/>
        </w:rPr>
        <w:t>ūkstanči</w:t>
      </w:r>
      <w:r w:rsidR="00F62182">
        <w:rPr>
          <w:rFonts w:ascii="Times New Roman" w:hAnsi="Times New Roman"/>
          <w:color w:val="595959" w:themeColor="text1" w:themeTint="A6"/>
          <w:lang w:eastAsia="lt-LT"/>
        </w:rPr>
        <w:t>ai</w:t>
      </w:r>
      <w:r>
        <w:rPr>
          <w:rFonts w:ascii="Times New Roman" w:hAnsi="Times New Roman"/>
          <w:color w:val="595959" w:themeColor="text1" w:themeTint="A6"/>
          <w:lang w:eastAsia="lt-LT"/>
        </w:rPr>
        <w:t>).</w:t>
      </w:r>
    </w:p>
    <w:p w:rsidR="00267BC0" w:rsidRPr="00F76DBC" w:rsidRDefault="00267BC0" w:rsidP="00267BC0">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30,8 tūkstančiai gyventojų </w:t>
      </w:r>
      <w:r w:rsidRPr="00A538C8">
        <w:rPr>
          <w:rFonts w:ascii="Times New Roman" w:hAnsi="Times New Roman"/>
          <w:color w:val="595959" w:themeColor="text1" w:themeTint="A6"/>
          <w:lang w:eastAsia="lt-LT"/>
        </w:rPr>
        <w:t xml:space="preserve">dalyvavo veiklose, skirtose informuoti visuomenę apie viešojo </w:t>
      </w:r>
      <w:r w:rsidRPr="00F76DBC">
        <w:rPr>
          <w:rFonts w:ascii="Times New Roman" w:hAnsi="Times New Roman"/>
          <w:color w:val="595959" w:themeColor="text1" w:themeTint="A6"/>
          <w:lang w:eastAsia="lt-LT"/>
        </w:rPr>
        <w:t>valdymo procesus ar skatinti juose dalyvauti (planuot</w:t>
      </w:r>
      <w:r w:rsidR="00F62182" w:rsidRPr="00F76DBC">
        <w:rPr>
          <w:rFonts w:ascii="Times New Roman" w:hAnsi="Times New Roman"/>
          <w:color w:val="595959" w:themeColor="text1" w:themeTint="A6"/>
          <w:lang w:eastAsia="lt-LT"/>
        </w:rPr>
        <w:t>a</w:t>
      </w:r>
      <w:r w:rsidRPr="00F76DBC">
        <w:rPr>
          <w:rFonts w:ascii="Times New Roman" w:hAnsi="Times New Roman"/>
          <w:color w:val="595959" w:themeColor="text1" w:themeTint="A6"/>
          <w:lang w:eastAsia="lt-LT"/>
        </w:rPr>
        <w:t xml:space="preserve"> 15 tūkstančių).</w:t>
      </w:r>
    </w:p>
    <w:p w:rsidR="00267BC0" w:rsidRPr="00F76DBC" w:rsidRDefault="00267BC0" w:rsidP="00267BC0">
      <w:pPr>
        <w:pStyle w:val="tekstas"/>
        <w:rPr>
          <w:rFonts w:ascii="Times New Roman" w:hAnsi="Times New Roman"/>
          <w:color w:val="595959" w:themeColor="text1" w:themeTint="A6"/>
          <w:lang w:eastAsia="lt-LT"/>
        </w:rPr>
      </w:pPr>
      <w:r w:rsidRPr="00F76DBC">
        <w:rPr>
          <w:rFonts w:ascii="Times New Roman" w:hAnsi="Times New Roman"/>
          <w:color w:val="595959" w:themeColor="text1" w:themeTint="A6"/>
          <w:lang w:eastAsia="lt-LT"/>
        </w:rPr>
        <w:t>3,8 tūkstančiai viešojo valdymo institucijų darbuotojų dalyvavo veiklose, skirtose stiprinti teikiamų paslaugų ir (ar) aptarnavimo kokybės gerinimui reikalingas kompetencijas (planuot</w:t>
      </w:r>
      <w:r w:rsidR="00F62182" w:rsidRPr="00F76DBC">
        <w:rPr>
          <w:rFonts w:ascii="Times New Roman" w:hAnsi="Times New Roman"/>
          <w:color w:val="595959" w:themeColor="text1" w:themeTint="A6"/>
          <w:lang w:eastAsia="lt-LT"/>
        </w:rPr>
        <w:t>a</w:t>
      </w:r>
      <w:r w:rsidRPr="00F76DBC">
        <w:rPr>
          <w:rFonts w:ascii="Times New Roman" w:hAnsi="Times New Roman"/>
          <w:color w:val="595959" w:themeColor="text1" w:themeTint="A6"/>
          <w:lang w:eastAsia="lt-LT"/>
        </w:rPr>
        <w:t xml:space="preserve"> 2,2 tūkstančių).</w:t>
      </w:r>
    </w:p>
    <w:p w:rsidR="009F17F3" w:rsidRDefault="009F17F3" w:rsidP="009F17F3">
      <w:pPr>
        <w:pStyle w:val="tekstas"/>
        <w:rPr>
          <w:rFonts w:ascii="Times New Roman" w:hAnsi="Times New Roman"/>
          <w:color w:val="595959" w:themeColor="text1" w:themeTint="A6"/>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9F17F3" w:rsidRPr="0040787A" w:rsidTr="00F62182">
        <w:tc>
          <w:tcPr>
            <w:tcW w:w="9638" w:type="dxa"/>
            <w:tcBorders>
              <w:top w:val="nil"/>
              <w:left w:val="nil"/>
              <w:bottom w:val="nil"/>
              <w:right w:val="nil"/>
            </w:tcBorders>
            <w:shd w:val="clear" w:color="auto" w:fill="D9D9D9" w:themeFill="background1" w:themeFillShade="D9"/>
          </w:tcPr>
          <w:p w:rsidR="009F17F3" w:rsidRPr="0040787A" w:rsidRDefault="009F17F3" w:rsidP="00F62182">
            <w:pPr>
              <w:jc w:val="both"/>
              <w:rPr>
                <w:b/>
                <w:color w:val="365F91" w:themeColor="accent1" w:themeShade="BF"/>
              </w:rPr>
            </w:pPr>
            <w:r>
              <w:rPr>
                <w:b/>
                <w:color w:val="365F91" w:themeColor="accent1" w:themeShade="BF"/>
              </w:rPr>
              <w:t>Siūlymas</w:t>
            </w:r>
            <w:r>
              <w:t xml:space="preserve"> </w:t>
            </w:r>
            <w:r w:rsidRPr="00F62FC5">
              <w:rPr>
                <w:b/>
                <w:color w:val="365F91" w:themeColor="accent1" w:themeShade="BF"/>
              </w:rPr>
              <w:t>Vidaus reikalų</w:t>
            </w:r>
            <w:r>
              <w:t xml:space="preserve"> </w:t>
            </w:r>
            <w:r w:rsidRPr="0040787A">
              <w:rPr>
                <w:b/>
                <w:color w:val="365F91" w:themeColor="accent1" w:themeShade="BF"/>
              </w:rPr>
              <w:t>ministerijai:</w:t>
            </w:r>
          </w:p>
          <w:p w:rsidR="009F17F3" w:rsidRPr="00F62FC5" w:rsidRDefault="009F17F3" w:rsidP="00B37DCD">
            <w:pPr>
              <w:jc w:val="both"/>
              <w:rPr>
                <w:color w:val="365F91" w:themeColor="accent1" w:themeShade="BF"/>
                <w:szCs w:val="24"/>
              </w:rPr>
            </w:pPr>
            <w:r w:rsidRPr="00F62FC5">
              <w:rPr>
                <w:color w:val="365F91" w:themeColor="accent1" w:themeShade="BF"/>
                <w:szCs w:val="24"/>
              </w:rPr>
              <w:t xml:space="preserve">- iki 2021 m. </w:t>
            </w:r>
            <w:r w:rsidR="00B37DCD">
              <w:rPr>
                <w:color w:val="365F91" w:themeColor="accent1" w:themeShade="BF"/>
                <w:szCs w:val="24"/>
              </w:rPr>
              <w:t>balandžio</w:t>
            </w:r>
            <w:r w:rsidR="00B37DCD" w:rsidRPr="00F62FC5">
              <w:rPr>
                <w:color w:val="365F91" w:themeColor="accent1" w:themeShade="BF"/>
                <w:szCs w:val="24"/>
              </w:rPr>
              <w:t xml:space="preserve"> </w:t>
            </w:r>
            <w:r w:rsidR="00B37DCD">
              <w:rPr>
                <w:color w:val="365F91" w:themeColor="accent1" w:themeShade="BF"/>
                <w:szCs w:val="24"/>
              </w:rPr>
              <w:t>30</w:t>
            </w:r>
            <w:r w:rsidR="00B37DCD" w:rsidRPr="00F62FC5">
              <w:rPr>
                <w:color w:val="365F91" w:themeColor="accent1" w:themeShade="BF"/>
                <w:szCs w:val="24"/>
              </w:rPr>
              <w:t xml:space="preserve"> </w:t>
            </w:r>
            <w:r w:rsidRPr="00F62FC5">
              <w:rPr>
                <w:color w:val="365F91" w:themeColor="accent1" w:themeShade="BF"/>
                <w:szCs w:val="24"/>
              </w:rPr>
              <w:t xml:space="preserve">d. </w:t>
            </w:r>
            <w:r>
              <w:rPr>
                <w:color w:val="365F91" w:themeColor="accent1" w:themeShade="BF"/>
                <w:szCs w:val="24"/>
              </w:rPr>
              <w:t xml:space="preserve">pateikti Finansų ministerijai iš sutaupytų ir </w:t>
            </w:r>
            <w:proofErr w:type="spellStart"/>
            <w:r>
              <w:rPr>
                <w:color w:val="365F91" w:themeColor="accent1" w:themeShade="BF"/>
                <w:szCs w:val="24"/>
              </w:rPr>
              <w:t>virškontraktavimui</w:t>
            </w:r>
            <w:proofErr w:type="spellEnd"/>
            <w:r>
              <w:rPr>
                <w:color w:val="365F91" w:themeColor="accent1" w:themeShade="BF"/>
                <w:szCs w:val="24"/>
              </w:rPr>
              <w:t xml:space="preserve"> skirtų </w:t>
            </w:r>
            <w:r w:rsidR="004F3B5B">
              <w:rPr>
                <w:color w:val="365F91" w:themeColor="accent1" w:themeShade="BF"/>
                <w:szCs w:val="24"/>
              </w:rPr>
              <w:t xml:space="preserve">10 prioriteto </w:t>
            </w:r>
            <w:r>
              <w:rPr>
                <w:color w:val="365F91" w:themeColor="accent1" w:themeShade="BF"/>
                <w:szCs w:val="24"/>
              </w:rPr>
              <w:t xml:space="preserve">lėšų </w:t>
            </w:r>
            <w:r w:rsidR="004F3B5B">
              <w:rPr>
                <w:color w:val="365F91" w:themeColor="accent1" w:themeShade="BF"/>
                <w:szCs w:val="24"/>
              </w:rPr>
              <w:t xml:space="preserve">siūlomų finansuoti </w:t>
            </w:r>
            <w:r>
              <w:rPr>
                <w:color w:val="365F91" w:themeColor="accent1" w:themeShade="BF"/>
                <w:szCs w:val="24"/>
              </w:rPr>
              <w:t>projektų sąrašą</w:t>
            </w:r>
            <w:r w:rsidRPr="00F62FC5">
              <w:rPr>
                <w:color w:val="365F91" w:themeColor="accent1" w:themeShade="BF"/>
                <w:szCs w:val="24"/>
              </w:rPr>
              <w:t>.</w:t>
            </w:r>
          </w:p>
        </w:tc>
      </w:tr>
    </w:tbl>
    <w:p w:rsidR="009F17F3" w:rsidRPr="00C4777B" w:rsidRDefault="009F17F3" w:rsidP="009F17F3">
      <w:pPr>
        <w:pStyle w:val="tekstas"/>
        <w:rPr>
          <w:rFonts w:ascii="Times New Roman" w:hAnsi="Times New Roman"/>
          <w:color w:val="595959" w:themeColor="text1" w:themeTint="A6"/>
          <w:lang w:eastAsia="lt-LT"/>
        </w:rPr>
      </w:pPr>
    </w:p>
    <w:p w:rsidR="00303B08" w:rsidRDefault="00303B08" w:rsidP="00303B08">
      <w:pPr>
        <w:pStyle w:val="Antrat1"/>
        <w:spacing w:before="0" w:after="0"/>
        <w:ind w:left="426" w:hanging="284"/>
        <w:rPr>
          <w:rFonts w:ascii="Times New Roman" w:hAnsi="Times New Roman" w:cs="Times New Roman"/>
        </w:rPr>
      </w:pPr>
      <w:bookmarkStart w:id="32" w:name="_Toc69114259"/>
      <w:r>
        <w:rPr>
          <w:rFonts w:ascii="Times New Roman" w:hAnsi="Times New Roman" w:cs="Times New Roman"/>
        </w:rPr>
        <w:t>REACT-EU iniciatyva</w:t>
      </w:r>
      <w:bookmarkEnd w:id="32"/>
    </w:p>
    <w:p w:rsidR="00303B08" w:rsidRPr="00303B08" w:rsidRDefault="00303B08" w:rsidP="00303B08">
      <w:pPr>
        <w:rPr>
          <w:color w:val="595959" w:themeColor="text1" w:themeTint="A6"/>
          <w:szCs w:val="24"/>
          <w:lang w:eastAsia="lt-LT"/>
        </w:rPr>
      </w:pPr>
    </w:p>
    <w:p w:rsidR="00042BCB" w:rsidRDefault="00303B08" w:rsidP="0035267B">
      <w:pPr>
        <w:ind w:firstLine="426"/>
        <w:jc w:val="both"/>
        <w:rPr>
          <w:color w:val="595959" w:themeColor="text1" w:themeTint="A6"/>
          <w:szCs w:val="24"/>
          <w:lang w:eastAsia="lt-LT"/>
        </w:rPr>
      </w:pPr>
      <w:r w:rsidRPr="00303B08">
        <w:rPr>
          <w:color w:val="595959" w:themeColor="text1" w:themeTint="A6"/>
          <w:szCs w:val="24"/>
          <w:lang w:eastAsia="lt-LT"/>
        </w:rPr>
        <w:t xml:space="preserve">Susidarius ekstremaliai situacijai dėl </w:t>
      </w:r>
      <w:proofErr w:type="spellStart"/>
      <w:r w:rsidRPr="00303B08">
        <w:rPr>
          <w:color w:val="595959" w:themeColor="text1" w:themeTint="A6"/>
          <w:szCs w:val="24"/>
          <w:lang w:eastAsia="lt-LT"/>
        </w:rPr>
        <w:t>koronaviruso</w:t>
      </w:r>
      <w:proofErr w:type="spellEnd"/>
      <w:r w:rsidRPr="00303B08">
        <w:rPr>
          <w:color w:val="595959" w:themeColor="text1" w:themeTint="A6"/>
          <w:szCs w:val="24"/>
          <w:lang w:eastAsia="lt-LT"/>
        </w:rPr>
        <w:t xml:space="preserve"> pa</w:t>
      </w:r>
      <w:r w:rsidR="00AD15E4">
        <w:rPr>
          <w:color w:val="595959" w:themeColor="text1" w:themeTint="A6"/>
          <w:szCs w:val="24"/>
          <w:lang w:eastAsia="lt-LT"/>
        </w:rPr>
        <w:t>ndemijos</w:t>
      </w:r>
      <w:r w:rsidRPr="00303B08">
        <w:rPr>
          <w:color w:val="595959" w:themeColor="text1" w:themeTint="A6"/>
          <w:szCs w:val="24"/>
          <w:lang w:eastAsia="lt-LT"/>
        </w:rPr>
        <w:t xml:space="preserve">, </w:t>
      </w:r>
      <w:r>
        <w:rPr>
          <w:color w:val="595959" w:themeColor="text1" w:themeTint="A6"/>
          <w:szCs w:val="24"/>
          <w:lang w:eastAsia="lt-LT"/>
        </w:rPr>
        <w:t>EK</w:t>
      </w:r>
      <w:r w:rsidRPr="00303B08">
        <w:rPr>
          <w:color w:val="595959" w:themeColor="text1" w:themeTint="A6"/>
          <w:szCs w:val="24"/>
          <w:lang w:eastAsia="lt-LT"/>
        </w:rPr>
        <w:t xml:space="preserve"> pasiūlė naują „</w:t>
      </w:r>
      <w:proofErr w:type="spellStart"/>
      <w:r w:rsidRPr="00303B08">
        <w:rPr>
          <w:color w:val="595959" w:themeColor="text1" w:themeTint="A6"/>
          <w:szCs w:val="24"/>
          <w:lang w:eastAsia="lt-LT"/>
        </w:rPr>
        <w:t>React</w:t>
      </w:r>
      <w:proofErr w:type="spellEnd"/>
      <w:r w:rsidRPr="00303B08">
        <w:rPr>
          <w:color w:val="595959" w:themeColor="text1" w:themeTint="A6"/>
          <w:szCs w:val="24"/>
          <w:lang w:eastAsia="lt-LT"/>
        </w:rPr>
        <w:t xml:space="preserve">–EU“ iniciatyvą, </w:t>
      </w:r>
      <w:r>
        <w:rPr>
          <w:color w:val="595959" w:themeColor="text1" w:themeTint="A6"/>
          <w:szCs w:val="24"/>
          <w:lang w:eastAsia="lt-LT"/>
        </w:rPr>
        <w:t xml:space="preserve">kuri </w:t>
      </w:r>
      <w:r w:rsidRPr="00303B08">
        <w:rPr>
          <w:color w:val="595959" w:themeColor="text1" w:themeTint="A6"/>
          <w:szCs w:val="24"/>
          <w:lang w:eastAsia="lt-LT"/>
        </w:rPr>
        <w:t xml:space="preserve">skirta lėšas tikslingai nukreipti kovai su </w:t>
      </w:r>
      <w:proofErr w:type="spellStart"/>
      <w:r w:rsidRPr="00303B08">
        <w:rPr>
          <w:color w:val="595959" w:themeColor="text1" w:themeTint="A6"/>
          <w:szCs w:val="24"/>
          <w:lang w:eastAsia="lt-LT"/>
        </w:rPr>
        <w:t>Covid-19</w:t>
      </w:r>
      <w:proofErr w:type="spellEnd"/>
      <w:r w:rsidRPr="00303B08">
        <w:rPr>
          <w:color w:val="595959" w:themeColor="text1" w:themeTint="A6"/>
          <w:szCs w:val="24"/>
          <w:lang w:eastAsia="lt-LT"/>
        </w:rPr>
        <w:t xml:space="preserve"> pasekmėmis ir ekonomikos gaivinimui, užtikrinant jos atsparumą galimiems šokams ateityje. Atsižvelgiant į tai, 2020 m. gruodžio 3 d. įvykusiame 2014–2020 metų ES fondų investicijų veiksmų programos stebėsenos komiteto posėdyje buvo priimtas sprendimas iš dalies keisti Veiksmų programą, papildant ją 2 naujais prioritetais</w:t>
      </w:r>
      <w:r w:rsidR="00C72FA3">
        <w:rPr>
          <w:color w:val="595959" w:themeColor="text1" w:themeTint="A6"/>
          <w:szCs w:val="24"/>
          <w:lang w:eastAsia="lt-LT"/>
        </w:rPr>
        <w:t xml:space="preserve"> ir jų įgyvendinimui skiriant </w:t>
      </w:r>
      <w:r w:rsidR="008A1CD8">
        <w:rPr>
          <w:color w:val="595959" w:themeColor="text1" w:themeTint="A6"/>
          <w:szCs w:val="24"/>
          <w:lang w:eastAsia="lt-LT"/>
        </w:rPr>
        <w:t>273,7 mln.</w:t>
      </w:r>
      <w:r w:rsidR="00BA285E">
        <w:rPr>
          <w:color w:val="595959" w:themeColor="text1" w:themeTint="A6"/>
          <w:szCs w:val="24"/>
          <w:lang w:eastAsia="lt-LT"/>
        </w:rPr>
        <w:t xml:space="preserve"> </w:t>
      </w:r>
      <w:r w:rsidR="00AD15E4">
        <w:rPr>
          <w:color w:val="595959" w:themeColor="text1" w:themeTint="A6"/>
          <w:szCs w:val="24"/>
          <w:lang w:eastAsia="lt-LT"/>
        </w:rPr>
        <w:t>eurų</w:t>
      </w:r>
      <w:r w:rsidR="00BA285E">
        <w:rPr>
          <w:color w:val="595959" w:themeColor="text1" w:themeTint="A6"/>
          <w:szCs w:val="24"/>
          <w:lang w:eastAsia="lt-LT"/>
        </w:rPr>
        <w:t xml:space="preserve">. </w:t>
      </w:r>
      <w:r w:rsidR="00C72FA3">
        <w:rPr>
          <w:color w:val="595959" w:themeColor="text1" w:themeTint="A6"/>
          <w:szCs w:val="24"/>
          <w:lang w:eastAsia="lt-LT"/>
        </w:rPr>
        <w:t>Š</w:t>
      </w:r>
      <w:r w:rsidR="00BA285E">
        <w:rPr>
          <w:color w:val="595959" w:themeColor="text1" w:themeTint="A6"/>
          <w:szCs w:val="24"/>
          <w:lang w:eastAsia="lt-LT"/>
        </w:rPr>
        <w:t xml:space="preserve">ios investicijos </w:t>
      </w:r>
      <w:r w:rsidR="00C72FA3" w:rsidRPr="00C72FA3">
        <w:rPr>
          <w:color w:val="595959" w:themeColor="text1" w:themeTint="A6"/>
          <w:szCs w:val="24"/>
          <w:lang w:eastAsia="lt-LT"/>
        </w:rPr>
        <w:t xml:space="preserve">sudarys sąlygas </w:t>
      </w:r>
      <w:proofErr w:type="spellStart"/>
      <w:r w:rsidR="00C72FA3" w:rsidRPr="00C72FA3">
        <w:rPr>
          <w:color w:val="595959" w:themeColor="text1" w:themeTint="A6"/>
          <w:szCs w:val="24"/>
          <w:lang w:eastAsia="lt-LT"/>
        </w:rPr>
        <w:t>koronaviruso</w:t>
      </w:r>
      <w:proofErr w:type="spellEnd"/>
      <w:r w:rsidR="00C72FA3" w:rsidRPr="00C72FA3">
        <w:rPr>
          <w:color w:val="595959" w:themeColor="text1" w:themeTint="A6"/>
          <w:szCs w:val="24"/>
          <w:lang w:eastAsia="lt-LT"/>
        </w:rPr>
        <w:t xml:space="preserve"> padarinių švelninimui bei ekonomikos transformacijai, diegiant </w:t>
      </w:r>
      <w:proofErr w:type="spellStart"/>
      <w:r w:rsidR="00C72FA3" w:rsidRPr="00C72FA3">
        <w:rPr>
          <w:color w:val="595959" w:themeColor="text1" w:themeTint="A6"/>
          <w:szCs w:val="24"/>
          <w:lang w:eastAsia="lt-LT"/>
        </w:rPr>
        <w:t>inovatyvius</w:t>
      </w:r>
      <w:proofErr w:type="spellEnd"/>
      <w:r w:rsidR="00C72FA3" w:rsidRPr="00C72FA3">
        <w:rPr>
          <w:color w:val="595959" w:themeColor="text1" w:themeTint="A6"/>
          <w:szCs w:val="24"/>
          <w:lang w:eastAsia="lt-LT"/>
        </w:rPr>
        <w:t xml:space="preserve">, </w:t>
      </w:r>
      <w:r w:rsidR="00C72FA3" w:rsidRPr="00C72FA3">
        <w:rPr>
          <w:color w:val="595959" w:themeColor="text1" w:themeTint="A6"/>
          <w:szCs w:val="24"/>
          <w:lang w:eastAsia="lt-LT"/>
        </w:rPr>
        <w:lastRenderedPageBreak/>
        <w:t>skaitmeninius ir aplinkai draugiškus sprendimus</w:t>
      </w:r>
      <w:r w:rsidR="00C72FA3">
        <w:rPr>
          <w:color w:val="595959" w:themeColor="text1" w:themeTint="A6"/>
          <w:szCs w:val="24"/>
          <w:lang w:eastAsia="lt-LT"/>
        </w:rPr>
        <w:t>:</w:t>
      </w:r>
      <w:r w:rsidR="005E25CA" w:rsidRPr="005E25CA">
        <w:rPr>
          <w:color w:val="595959" w:themeColor="text1" w:themeTint="A6"/>
          <w:szCs w:val="24"/>
          <w:lang w:eastAsia="lt-LT"/>
        </w:rPr>
        <w:t xml:space="preserve"> dėmesys bus skiriamas pažangioms, mažiau invazinėms šiuolaikinėms diagnostikos ir gydymo technologijoms bei moderniai infrastruktūrai, kad </w:t>
      </w:r>
      <w:r w:rsidR="005E25CA">
        <w:rPr>
          <w:color w:val="595959" w:themeColor="text1" w:themeTint="A6"/>
          <w:szCs w:val="24"/>
          <w:lang w:eastAsia="lt-LT"/>
        </w:rPr>
        <w:t xml:space="preserve">gyventojams būtų užtikrintas </w:t>
      </w:r>
      <w:r w:rsidR="005E25CA" w:rsidRPr="005E25CA">
        <w:rPr>
          <w:color w:val="595959" w:themeColor="text1" w:themeTint="A6"/>
          <w:szCs w:val="24"/>
          <w:lang w:eastAsia="lt-LT"/>
        </w:rPr>
        <w:t>naujausių ir kokybiškų sveikatos paslaugų prieinamumas</w:t>
      </w:r>
      <w:r w:rsidR="005E25CA">
        <w:rPr>
          <w:color w:val="595959" w:themeColor="text1" w:themeTint="A6"/>
          <w:szCs w:val="24"/>
          <w:lang w:eastAsia="lt-LT"/>
        </w:rPr>
        <w:t>; skaitmeniniams</w:t>
      </w:r>
      <w:r w:rsidR="005E25CA" w:rsidRPr="005E25CA">
        <w:rPr>
          <w:color w:val="595959" w:themeColor="text1" w:themeTint="A6"/>
          <w:szCs w:val="24"/>
          <w:lang w:eastAsia="lt-LT"/>
        </w:rPr>
        <w:t xml:space="preserve"> sprendim</w:t>
      </w:r>
      <w:r w:rsidR="005E25CA">
        <w:rPr>
          <w:color w:val="595959" w:themeColor="text1" w:themeTint="A6"/>
          <w:szCs w:val="24"/>
          <w:lang w:eastAsia="lt-LT"/>
        </w:rPr>
        <w:t>ams</w:t>
      </w:r>
      <w:r w:rsidR="00BA285E">
        <w:rPr>
          <w:color w:val="595959" w:themeColor="text1" w:themeTint="A6"/>
          <w:szCs w:val="24"/>
          <w:lang w:eastAsia="lt-LT"/>
        </w:rPr>
        <w:t xml:space="preserve">, </w:t>
      </w:r>
      <w:r w:rsidR="00EA345D">
        <w:rPr>
          <w:color w:val="595959" w:themeColor="text1" w:themeTint="A6"/>
          <w:szCs w:val="24"/>
          <w:lang w:eastAsia="lt-LT"/>
        </w:rPr>
        <w:t xml:space="preserve">siekiant </w:t>
      </w:r>
      <w:r w:rsidR="00BA285E">
        <w:rPr>
          <w:color w:val="595959" w:themeColor="text1" w:themeTint="A6"/>
          <w:szCs w:val="24"/>
          <w:lang w:eastAsia="lt-LT"/>
        </w:rPr>
        <w:t>pa</w:t>
      </w:r>
      <w:r w:rsidR="005E25CA" w:rsidRPr="005E25CA">
        <w:rPr>
          <w:color w:val="595959" w:themeColor="text1" w:themeTint="A6"/>
          <w:szCs w:val="24"/>
          <w:lang w:eastAsia="lt-LT"/>
        </w:rPr>
        <w:t>di</w:t>
      </w:r>
      <w:r w:rsidR="00BA285E">
        <w:rPr>
          <w:color w:val="595959" w:themeColor="text1" w:themeTint="A6"/>
          <w:szCs w:val="24"/>
          <w:lang w:eastAsia="lt-LT"/>
        </w:rPr>
        <w:t>di</w:t>
      </w:r>
      <w:r w:rsidR="00EA345D">
        <w:rPr>
          <w:color w:val="595959" w:themeColor="text1" w:themeTint="A6"/>
          <w:szCs w:val="24"/>
          <w:lang w:eastAsia="lt-LT"/>
        </w:rPr>
        <w:t>n</w:t>
      </w:r>
      <w:r w:rsidR="005E25CA" w:rsidRPr="005E25CA">
        <w:rPr>
          <w:color w:val="595959" w:themeColor="text1" w:themeTint="A6"/>
          <w:szCs w:val="24"/>
          <w:lang w:eastAsia="lt-LT"/>
        </w:rPr>
        <w:t>t</w:t>
      </w:r>
      <w:r w:rsidR="00EA345D">
        <w:rPr>
          <w:color w:val="595959" w:themeColor="text1" w:themeTint="A6"/>
          <w:szCs w:val="24"/>
          <w:lang w:eastAsia="lt-LT"/>
        </w:rPr>
        <w:t>i</w:t>
      </w:r>
      <w:r w:rsidR="005E25CA" w:rsidRPr="005E25CA">
        <w:rPr>
          <w:color w:val="595959" w:themeColor="text1" w:themeTint="A6"/>
          <w:szCs w:val="24"/>
          <w:lang w:eastAsia="lt-LT"/>
        </w:rPr>
        <w:t xml:space="preserve"> įmonių konkurencingumą</w:t>
      </w:r>
      <w:r w:rsidR="005E25CA">
        <w:rPr>
          <w:color w:val="595959" w:themeColor="text1" w:themeTint="A6"/>
          <w:szCs w:val="24"/>
          <w:lang w:eastAsia="lt-LT"/>
        </w:rPr>
        <w:t>, produktyvumą</w:t>
      </w:r>
      <w:r w:rsidR="005E25CA" w:rsidRPr="005E25CA">
        <w:rPr>
          <w:color w:val="595959" w:themeColor="text1" w:themeTint="A6"/>
          <w:szCs w:val="24"/>
          <w:lang w:eastAsia="lt-LT"/>
        </w:rPr>
        <w:t xml:space="preserve"> ir atsparumą ekonomikos svyravimams</w:t>
      </w:r>
      <w:r w:rsidR="005E25CA">
        <w:rPr>
          <w:color w:val="595959" w:themeColor="text1" w:themeTint="A6"/>
          <w:szCs w:val="24"/>
          <w:lang w:eastAsia="lt-LT"/>
        </w:rPr>
        <w:t xml:space="preserve">; </w:t>
      </w:r>
      <w:r w:rsidR="005E25CA" w:rsidRPr="005E25CA">
        <w:rPr>
          <w:color w:val="595959" w:themeColor="text1" w:themeTint="A6"/>
          <w:szCs w:val="24"/>
          <w:lang w:eastAsia="lt-LT"/>
        </w:rPr>
        <w:t xml:space="preserve">MTEPI skatinimui ir </w:t>
      </w:r>
      <w:proofErr w:type="spellStart"/>
      <w:r w:rsidR="005E25CA" w:rsidRPr="005E25CA">
        <w:rPr>
          <w:color w:val="595959" w:themeColor="text1" w:themeTint="A6"/>
          <w:szCs w:val="24"/>
          <w:lang w:eastAsia="lt-LT"/>
        </w:rPr>
        <w:t>komercinimui</w:t>
      </w:r>
      <w:proofErr w:type="spellEnd"/>
      <w:r w:rsidR="005E25CA">
        <w:rPr>
          <w:color w:val="595959" w:themeColor="text1" w:themeTint="A6"/>
          <w:szCs w:val="24"/>
          <w:lang w:eastAsia="lt-LT"/>
        </w:rPr>
        <w:t xml:space="preserve">; </w:t>
      </w:r>
      <w:r w:rsidR="005E25CA" w:rsidRPr="005E25CA">
        <w:rPr>
          <w:color w:val="595959" w:themeColor="text1" w:themeTint="A6"/>
          <w:szCs w:val="24"/>
          <w:lang w:eastAsia="lt-LT"/>
        </w:rPr>
        <w:t>energijos vartojimo efektyvumo sprendima</w:t>
      </w:r>
      <w:r w:rsidR="005E25CA">
        <w:rPr>
          <w:color w:val="595959" w:themeColor="text1" w:themeTint="A6"/>
          <w:szCs w:val="24"/>
          <w:lang w:eastAsia="lt-LT"/>
        </w:rPr>
        <w:t>ms</w:t>
      </w:r>
      <w:r w:rsidR="00BA285E">
        <w:rPr>
          <w:color w:val="595959" w:themeColor="text1" w:themeTint="A6"/>
          <w:szCs w:val="24"/>
          <w:lang w:eastAsia="lt-LT"/>
        </w:rPr>
        <w:t xml:space="preserve"> </w:t>
      </w:r>
      <w:r w:rsidR="00C72FA3">
        <w:rPr>
          <w:color w:val="595959" w:themeColor="text1" w:themeTint="A6"/>
          <w:szCs w:val="24"/>
          <w:lang w:eastAsia="lt-LT"/>
        </w:rPr>
        <w:t xml:space="preserve">bei užimtumo </w:t>
      </w:r>
      <w:r w:rsidR="00C72FA3" w:rsidRPr="00C72FA3">
        <w:rPr>
          <w:color w:val="595959" w:themeColor="text1" w:themeTint="A6"/>
          <w:szCs w:val="24"/>
          <w:lang w:eastAsia="lt-LT"/>
        </w:rPr>
        <w:t>didinimui</w:t>
      </w:r>
      <w:r w:rsidR="00C72FA3">
        <w:rPr>
          <w:color w:val="595959" w:themeColor="text1" w:themeTint="A6"/>
          <w:szCs w:val="24"/>
          <w:lang w:eastAsia="lt-LT"/>
        </w:rPr>
        <w:t>,</w:t>
      </w:r>
      <w:r w:rsidR="00C72FA3" w:rsidRPr="00C72FA3">
        <w:rPr>
          <w:color w:val="595959" w:themeColor="text1" w:themeTint="A6"/>
          <w:szCs w:val="24"/>
          <w:lang w:eastAsia="lt-LT"/>
        </w:rPr>
        <w:t xml:space="preserve"> prisitaikymui </w:t>
      </w:r>
      <w:r w:rsidR="00C72FA3">
        <w:rPr>
          <w:color w:val="595959" w:themeColor="text1" w:themeTint="A6"/>
          <w:szCs w:val="24"/>
          <w:lang w:eastAsia="lt-LT"/>
        </w:rPr>
        <w:t>prie besi</w:t>
      </w:r>
      <w:r w:rsidR="00C72FA3" w:rsidRPr="00C72FA3">
        <w:rPr>
          <w:color w:val="595959" w:themeColor="text1" w:themeTint="A6"/>
          <w:szCs w:val="24"/>
          <w:lang w:eastAsia="lt-LT"/>
        </w:rPr>
        <w:t>keičiančios darbo rinkos</w:t>
      </w:r>
      <w:r w:rsidR="00C72FA3">
        <w:rPr>
          <w:color w:val="595959" w:themeColor="text1" w:themeTint="A6"/>
          <w:szCs w:val="24"/>
          <w:lang w:eastAsia="lt-LT"/>
        </w:rPr>
        <w:t xml:space="preserve"> ir </w:t>
      </w:r>
      <w:r w:rsidR="00C72FA3" w:rsidRPr="00C72FA3">
        <w:rPr>
          <w:color w:val="595959" w:themeColor="text1" w:themeTint="A6"/>
          <w:szCs w:val="24"/>
          <w:lang w:eastAsia="lt-LT"/>
        </w:rPr>
        <w:t>atsparumo</w:t>
      </w:r>
      <w:r w:rsidR="00C72FA3">
        <w:rPr>
          <w:color w:val="595959" w:themeColor="text1" w:themeTint="A6"/>
          <w:szCs w:val="24"/>
          <w:lang w:eastAsia="lt-LT"/>
        </w:rPr>
        <w:t xml:space="preserve"> stiprinimui siekiant įveikti </w:t>
      </w:r>
      <w:proofErr w:type="spellStart"/>
      <w:r w:rsidR="00C72FA3" w:rsidRPr="00C72FA3">
        <w:rPr>
          <w:color w:val="595959" w:themeColor="text1" w:themeTint="A6"/>
          <w:szCs w:val="24"/>
          <w:lang w:eastAsia="lt-LT"/>
        </w:rPr>
        <w:t>C</w:t>
      </w:r>
      <w:r w:rsidR="00AD15E4">
        <w:rPr>
          <w:color w:val="595959" w:themeColor="text1" w:themeTint="A6"/>
          <w:szCs w:val="24"/>
          <w:lang w:eastAsia="lt-LT"/>
        </w:rPr>
        <w:t>ovid</w:t>
      </w:r>
      <w:r w:rsidR="00C72FA3" w:rsidRPr="00C72FA3">
        <w:rPr>
          <w:color w:val="595959" w:themeColor="text1" w:themeTint="A6"/>
          <w:szCs w:val="24"/>
          <w:lang w:eastAsia="lt-LT"/>
        </w:rPr>
        <w:t>-19</w:t>
      </w:r>
      <w:proofErr w:type="spellEnd"/>
      <w:r w:rsidR="00C72FA3" w:rsidRPr="00C72FA3">
        <w:rPr>
          <w:color w:val="595959" w:themeColor="text1" w:themeTint="A6"/>
          <w:szCs w:val="24"/>
          <w:lang w:eastAsia="lt-LT"/>
        </w:rPr>
        <w:t xml:space="preserve"> pandemijos keliam</w:t>
      </w:r>
      <w:r w:rsidR="00C72FA3">
        <w:rPr>
          <w:color w:val="595959" w:themeColor="text1" w:themeTint="A6"/>
          <w:szCs w:val="24"/>
          <w:lang w:eastAsia="lt-LT"/>
        </w:rPr>
        <w:t xml:space="preserve">us iššūkius. </w:t>
      </w:r>
    </w:p>
    <w:p w:rsidR="00303B08" w:rsidRPr="00303B08" w:rsidRDefault="00303B08" w:rsidP="00303B08">
      <w:pPr>
        <w:ind w:firstLine="426"/>
        <w:jc w:val="both"/>
        <w:rPr>
          <w:color w:val="595959" w:themeColor="text1" w:themeTint="A6"/>
          <w:szCs w:val="24"/>
          <w:lang w:eastAsia="lt-LT"/>
        </w:rPr>
      </w:pPr>
      <w:r w:rsidRPr="00303B08">
        <w:rPr>
          <w:color w:val="595959" w:themeColor="text1" w:themeTint="A6"/>
          <w:szCs w:val="24"/>
          <w:lang w:eastAsia="lt-LT"/>
        </w:rPr>
        <w:t xml:space="preserve">Veiksmų programos </w:t>
      </w:r>
      <w:r w:rsidR="00D01E62" w:rsidRPr="00303B08">
        <w:rPr>
          <w:color w:val="595959" w:themeColor="text1" w:themeTint="A6"/>
          <w:szCs w:val="24"/>
          <w:lang w:eastAsia="lt-LT"/>
        </w:rPr>
        <w:t>keitim</w:t>
      </w:r>
      <w:r w:rsidR="00D01E62">
        <w:rPr>
          <w:color w:val="595959" w:themeColor="text1" w:themeTint="A6"/>
          <w:szCs w:val="24"/>
          <w:lang w:eastAsia="lt-LT"/>
        </w:rPr>
        <w:t xml:space="preserve">as </w:t>
      </w:r>
      <w:r w:rsidR="001C0B80">
        <w:rPr>
          <w:color w:val="595959" w:themeColor="text1" w:themeTint="A6"/>
          <w:szCs w:val="24"/>
          <w:lang w:eastAsia="lt-LT"/>
        </w:rPr>
        <w:t>dėl REACT-EU oficialiai patvirtintas š.m. balandžio 12 d.</w:t>
      </w:r>
    </w:p>
    <w:p w:rsidR="00303B08" w:rsidRPr="00303B08" w:rsidRDefault="00303B08" w:rsidP="00303B08">
      <w:pPr>
        <w:rPr>
          <w:color w:val="595959" w:themeColor="text1" w:themeTint="A6"/>
          <w:szCs w:val="24"/>
          <w:lang w:eastAsia="lt-LT"/>
        </w:rPr>
      </w:pPr>
    </w:p>
    <w:p w:rsidR="004F7027" w:rsidRDefault="00135619" w:rsidP="00207261">
      <w:pPr>
        <w:pStyle w:val="Antrat1"/>
        <w:spacing w:before="0" w:after="0"/>
        <w:ind w:left="426" w:hanging="284"/>
        <w:rPr>
          <w:rFonts w:ascii="Times New Roman" w:hAnsi="Times New Roman" w:cs="Times New Roman"/>
        </w:rPr>
      </w:pPr>
      <w:bookmarkStart w:id="33" w:name="_Toc69114260"/>
      <w:r w:rsidRPr="00DF3F93">
        <w:rPr>
          <w:rFonts w:ascii="Times New Roman" w:hAnsi="Times New Roman" w:cs="Times New Roman"/>
        </w:rPr>
        <w:t>Pasirengimas 2021–</w:t>
      </w:r>
      <w:r w:rsidR="002760BA" w:rsidRPr="00DF3F93">
        <w:rPr>
          <w:rFonts w:ascii="Times New Roman" w:hAnsi="Times New Roman" w:cs="Times New Roman"/>
        </w:rPr>
        <w:t>2027 m. periodui</w:t>
      </w:r>
      <w:bookmarkEnd w:id="33"/>
    </w:p>
    <w:p w:rsidR="00303B08" w:rsidRPr="00303B08" w:rsidRDefault="00303B08" w:rsidP="00303B08">
      <w:pPr>
        <w:rPr>
          <w:color w:val="595959" w:themeColor="text1" w:themeTint="A6"/>
          <w:szCs w:val="24"/>
          <w:lang w:eastAsia="lt-LT"/>
        </w:rPr>
      </w:pPr>
    </w:p>
    <w:p w:rsidR="00303B08" w:rsidRPr="00303B08" w:rsidRDefault="00D01E62" w:rsidP="00303B08">
      <w:pPr>
        <w:ind w:firstLine="567"/>
        <w:jc w:val="both"/>
        <w:rPr>
          <w:color w:val="595959" w:themeColor="text1" w:themeTint="A6"/>
          <w:szCs w:val="24"/>
          <w:lang w:eastAsia="lt-LT"/>
        </w:rPr>
      </w:pPr>
      <w:r>
        <w:rPr>
          <w:color w:val="595959" w:themeColor="text1" w:themeTint="A6"/>
          <w:szCs w:val="24"/>
          <w:lang w:eastAsia="lt-LT"/>
        </w:rPr>
        <w:t xml:space="preserve">2021 m. kovo 3 d. buvo sutarta </w:t>
      </w:r>
      <w:r w:rsidR="00303B08" w:rsidRPr="00303B08">
        <w:rPr>
          <w:color w:val="595959" w:themeColor="text1" w:themeTint="A6"/>
          <w:szCs w:val="24"/>
          <w:lang w:eastAsia="lt-LT"/>
        </w:rPr>
        <w:t>dėl 2021–2027 m. ES sanglaudos politikos reglamentų</w:t>
      </w:r>
      <w:r>
        <w:rPr>
          <w:color w:val="595959" w:themeColor="text1" w:themeTint="A6"/>
          <w:szCs w:val="24"/>
          <w:lang w:eastAsia="lt-LT"/>
        </w:rPr>
        <w:t>.</w:t>
      </w:r>
      <w:r w:rsidR="00303B08" w:rsidRPr="00303B08">
        <w:rPr>
          <w:color w:val="595959" w:themeColor="text1" w:themeTint="A6"/>
          <w:szCs w:val="24"/>
          <w:lang w:eastAsia="lt-LT"/>
        </w:rPr>
        <w:t xml:space="preserve"> Tik įsigaliojus minėtiems reglamentams (tikimasi 2021 m. </w:t>
      </w:r>
      <w:r>
        <w:rPr>
          <w:color w:val="595959" w:themeColor="text1" w:themeTint="A6"/>
          <w:szCs w:val="24"/>
          <w:lang w:eastAsia="lt-LT"/>
        </w:rPr>
        <w:t>birželio mėn.</w:t>
      </w:r>
      <w:r w:rsidR="00303B08" w:rsidRPr="00303B08">
        <w:rPr>
          <w:color w:val="595959" w:themeColor="text1" w:themeTint="A6"/>
          <w:szCs w:val="24"/>
          <w:lang w:eastAsia="lt-LT"/>
        </w:rPr>
        <w:t>), parengtą 2021–2027 m</w:t>
      </w:r>
      <w:r w:rsidR="00303B08">
        <w:rPr>
          <w:color w:val="595959" w:themeColor="text1" w:themeTint="A6"/>
          <w:szCs w:val="24"/>
          <w:lang w:eastAsia="lt-LT"/>
        </w:rPr>
        <w:t>. ES fondų investicijų program</w:t>
      </w:r>
      <w:r w:rsidR="00160C4C">
        <w:rPr>
          <w:color w:val="595959" w:themeColor="text1" w:themeTint="A6"/>
          <w:szCs w:val="24"/>
          <w:lang w:eastAsia="lt-LT"/>
        </w:rPr>
        <w:t xml:space="preserve">os projektą </w:t>
      </w:r>
      <w:r w:rsidR="00303B08" w:rsidRPr="00303B08">
        <w:rPr>
          <w:color w:val="595959" w:themeColor="text1" w:themeTint="A6"/>
          <w:szCs w:val="24"/>
          <w:lang w:eastAsia="lt-LT"/>
        </w:rPr>
        <w:t xml:space="preserve">oficialiai bus galima teikti derinti EK, kuri per 6 mėn. turės priimti tvirtinamąjį sprendimą. Atsižvelgiant į tai, prognozuojama Investicijų programos patvirtinimo data – 2021 m. </w:t>
      </w:r>
      <w:r w:rsidR="00FC63E7">
        <w:rPr>
          <w:color w:val="595959" w:themeColor="text1" w:themeTint="A6"/>
          <w:szCs w:val="24"/>
          <w:lang w:eastAsia="lt-LT"/>
        </w:rPr>
        <w:t>pabaiga- 2022 m, pradžia</w:t>
      </w:r>
      <w:r w:rsidR="00303B08" w:rsidRPr="00303B08">
        <w:rPr>
          <w:color w:val="595959" w:themeColor="text1" w:themeTint="A6"/>
          <w:szCs w:val="24"/>
          <w:lang w:eastAsia="lt-LT"/>
        </w:rPr>
        <w:t>. Pažymėtina, kad, tinkamų finansuoti Investicijų programos išlaidų pradžios data yra 2021 m. sausio 1 d.</w:t>
      </w:r>
    </w:p>
    <w:p w:rsidR="00160C4C" w:rsidRDefault="00303B08" w:rsidP="00303B08">
      <w:pPr>
        <w:ind w:firstLine="426"/>
        <w:jc w:val="both"/>
        <w:rPr>
          <w:color w:val="595959" w:themeColor="text1" w:themeTint="A6"/>
          <w:szCs w:val="24"/>
          <w:lang w:eastAsia="lt-LT"/>
        </w:rPr>
      </w:pPr>
      <w:r w:rsidRPr="00303B08">
        <w:rPr>
          <w:color w:val="595959" w:themeColor="text1" w:themeTint="A6"/>
          <w:szCs w:val="24"/>
          <w:lang w:eastAsia="lt-LT"/>
        </w:rPr>
        <w:t xml:space="preserve">2020 </w:t>
      </w:r>
      <w:r>
        <w:rPr>
          <w:color w:val="595959" w:themeColor="text1" w:themeTint="A6"/>
          <w:szCs w:val="24"/>
          <w:lang w:eastAsia="lt-LT"/>
        </w:rPr>
        <w:t>m. gruodžio 21 d. EK neformaliai suderinti</w:t>
      </w:r>
      <w:r w:rsidRPr="00303B08">
        <w:rPr>
          <w:color w:val="595959" w:themeColor="text1" w:themeTint="A6"/>
          <w:szCs w:val="24"/>
          <w:lang w:eastAsia="lt-LT"/>
        </w:rPr>
        <w:t xml:space="preserve"> pilna apimtimi buvo pateiktas trečiasis Investicijų programos projektas (teikti dokumentai skelbiami https://www.esinvesticijos.lt/lt//pasirengimas-2021-2027/2021-2027-m-es-fondu-investiciju-programos-rengimas) bei pirmasis Partnerystės sutarties projektas.</w:t>
      </w:r>
      <w:r w:rsidR="00160C4C">
        <w:rPr>
          <w:color w:val="595959" w:themeColor="text1" w:themeTint="A6"/>
          <w:szCs w:val="24"/>
          <w:lang w:eastAsia="lt-LT"/>
        </w:rPr>
        <w:t xml:space="preserve"> </w:t>
      </w:r>
      <w:r w:rsidR="000C5580">
        <w:rPr>
          <w:color w:val="595959" w:themeColor="text1" w:themeTint="A6"/>
          <w:szCs w:val="24"/>
          <w:lang w:eastAsia="lt-LT"/>
        </w:rPr>
        <w:t xml:space="preserve">Šiems dokumentams </w:t>
      </w:r>
      <w:r w:rsidR="00D01E62">
        <w:rPr>
          <w:color w:val="595959" w:themeColor="text1" w:themeTint="A6"/>
          <w:szCs w:val="24"/>
          <w:lang w:eastAsia="lt-LT"/>
        </w:rPr>
        <w:t xml:space="preserve">2021 m. vasario 19 d. buvo gautos pastabos, pagal kurias taisomi </w:t>
      </w:r>
      <w:r w:rsidR="00160C4C">
        <w:rPr>
          <w:color w:val="595959" w:themeColor="text1" w:themeTint="A6"/>
          <w:szCs w:val="24"/>
          <w:lang w:eastAsia="lt-LT"/>
        </w:rPr>
        <w:t>, Investicijų programos</w:t>
      </w:r>
      <w:r w:rsidR="000C5580">
        <w:rPr>
          <w:color w:val="595959" w:themeColor="text1" w:themeTint="A6"/>
          <w:szCs w:val="24"/>
          <w:lang w:eastAsia="lt-LT"/>
        </w:rPr>
        <w:t xml:space="preserve"> ir Partnerystės sutarties </w:t>
      </w:r>
      <w:r w:rsidR="00D01E62">
        <w:rPr>
          <w:color w:val="595959" w:themeColor="text1" w:themeTint="A6"/>
          <w:szCs w:val="24"/>
          <w:lang w:eastAsia="lt-LT"/>
        </w:rPr>
        <w:t xml:space="preserve">projektai, </w:t>
      </w:r>
      <w:r w:rsidR="00160C4C">
        <w:rPr>
          <w:color w:val="595959" w:themeColor="text1" w:themeTint="A6"/>
          <w:szCs w:val="24"/>
          <w:lang w:eastAsia="lt-LT"/>
        </w:rPr>
        <w:t xml:space="preserve">planuojama </w:t>
      </w:r>
      <w:r w:rsidR="00D01E62">
        <w:rPr>
          <w:color w:val="595959" w:themeColor="text1" w:themeTint="A6"/>
          <w:szCs w:val="24"/>
          <w:lang w:eastAsia="lt-LT"/>
        </w:rPr>
        <w:t xml:space="preserve">atnaujintus turėti </w:t>
      </w:r>
      <w:r w:rsidR="00160C4C">
        <w:rPr>
          <w:color w:val="595959" w:themeColor="text1" w:themeTint="A6"/>
          <w:szCs w:val="24"/>
          <w:lang w:eastAsia="lt-LT"/>
        </w:rPr>
        <w:t xml:space="preserve"> </w:t>
      </w:r>
      <w:r w:rsidR="00E65B15">
        <w:rPr>
          <w:color w:val="595959" w:themeColor="text1" w:themeTint="A6"/>
          <w:szCs w:val="24"/>
          <w:lang w:eastAsia="lt-LT"/>
        </w:rPr>
        <w:t xml:space="preserve">š. m. </w:t>
      </w:r>
      <w:r w:rsidR="00D01E62">
        <w:rPr>
          <w:color w:val="595959" w:themeColor="text1" w:themeTint="A6"/>
          <w:szCs w:val="24"/>
          <w:lang w:eastAsia="lt-LT"/>
        </w:rPr>
        <w:t xml:space="preserve">birželio </w:t>
      </w:r>
      <w:r w:rsidR="00160C4C">
        <w:rPr>
          <w:color w:val="595959" w:themeColor="text1" w:themeTint="A6"/>
          <w:szCs w:val="24"/>
          <w:lang w:eastAsia="lt-LT"/>
        </w:rPr>
        <w:t>mėn., kad ji</w:t>
      </w:r>
      <w:r w:rsidR="000C5580">
        <w:rPr>
          <w:color w:val="595959" w:themeColor="text1" w:themeTint="A6"/>
          <w:szCs w:val="24"/>
          <w:lang w:eastAsia="lt-LT"/>
        </w:rPr>
        <w:t>e galėtų būti pateikti</w:t>
      </w:r>
      <w:r w:rsidR="00160C4C">
        <w:rPr>
          <w:color w:val="595959" w:themeColor="text1" w:themeTint="A6"/>
          <w:szCs w:val="24"/>
          <w:lang w:eastAsia="lt-LT"/>
        </w:rPr>
        <w:t xml:space="preserve"> </w:t>
      </w:r>
      <w:r w:rsidR="00E65B15">
        <w:rPr>
          <w:color w:val="595959" w:themeColor="text1" w:themeTint="A6"/>
          <w:szCs w:val="24"/>
          <w:lang w:eastAsia="lt-LT"/>
        </w:rPr>
        <w:t xml:space="preserve">derinti </w:t>
      </w:r>
      <w:r w:rsidR="000C5580">
        <w:rPr>
          <w:color w:val="595959" w:themeColor="text1" w:themeTint="A6"/>
          <w:szCs w:val="24"/>
          <w:lang w:eastAsia="lt-LT"/>
        </w:rPr>
        <w:t xml:space="preserve">EK </w:t>
      </w:r>
      <w:r w:rsidR="00E65B15">
        <w:rPr>
          <w:color w:val="595959" w:themeColor="text1" w:themeTint="A6"/>
          <w:szCs w:val="24"/>
          <w:lang w:eastAsia="lt-LT"/>
        </w:rPr>
        <w:t xml:space="preserve">oficialiai </w:t>
      </w:r>
      <w:r w:rsidR="000C5580">
        <w:rPr>
          <w:color w:val="595959" w:themeColor="text1" w:themeTint="A6"/>
          <w:szCs w:val="24"/>
          <w:lang w:eastAsia="lt-LT"/>
        </w:rPr>
        <w:t xml:space="preserve">iš karto, </w:t>
      </w:r>
      <w:r w:rsidR="00E65B15">
        <w:rPr>
          <w:color w:val="595959" w:themeColor="text1" w:themeTint="A6"/>
          <w:szCs w:val="24"/>
          <w:lang w:eastAsia="lt-LT"/>
        </w:rPr>
        <w:t>kai tik bus patvirtin</w:t>
      </w:r>
      <w:r w:rsidR="00732B82">
        <w:rPr>
          <w:color w:val="595959" w:themeColor="text1" w:themeTint="A6"/>
          <w:szCs w:val="24"/>
          <w:lang w:eastAsia="lt-LT"/>
        </w:rPr>
        <w:t>t</w:t>
      </w:r>
      <w:r w:rsidR="00E65B15">
        <w:rPr>
          <w:color w:val="595959" w:themeColor="text1" w:themeTint="A6"/>
          <w:szCs w:val="24"/>
          <w:lang w:eastAsia="lt-LT"/>
        </w:rPr>
        <w:t>i minėti</w:t>
      </w:r>
      <w:r w:rsidR="000C5580">
        <w:rPr>
          <w:color w:val="595959" w:themeColor="text1" w:themeTint="A6"/>
          <w:szCs w:val="24"/>
          <w:lang w:eastAsia="lt-LT"/>
        </w:rPr>
        <w:t>eji</w:t>
      </w:r>
      <w:r w:rsidR="00160C4C">
        <w:rPr>
          <w:color w:val="595959" w:themeColor="text1" w:themeTint="A6"/>
          <w:szCs w:val="24"/>
          <w:lang w:eastAsia="lt-LT"/>
        </w:rPr>
        <w:t xml:space="preserve"> reglament</w:t>
      </w:r>
      <w:r w:rsidR="00E65B15">
        <w:rPr>
          <w:color w:val="595959" w:themeColor="text1" w:themeTint="A6"/>
          <w:szCs w:val="24"/>
          <w:lang w:eastAsia="lt-LT"/>
        </w:rPr>
        <w:t>ai</w:t>
      </w:r>
      <w:r w:rsidR="00AD15E4">
        <w:rPr>
          <w:color w:val="595959" w:themeColor="text1" w:themeTint="A6"/>
          <w:szCs w:val="24"/>
          <w:lang w:eastAsia="lt-LT"/>
        </w:rPr>
        <w:t>.</w:t>
      </w:r>
    </w:p>
    <w:p w:rsidR="00E65B15" w:rsidRDefault="000C5580" w:rsidP="00E65B15">
      <w:pPr>
        <w:ind w:firstLine="426"/>
        <w:jc w:val="both"/>
        <w:rPr>
          <w:color w:val="595959" w:themeColor="text1" w:themeTint="A6"/>
          <w:szCs w:val="24"/>
          <w:lang w:eastAsia="lt-LT"/>
        </w:rPr>
      </w:pPr>
      <w:r>
        <w:rPr>
          <w:color w:val="595959" w:themeColor="text1" w:themeTint="A6"/>
          <w:szCs w:val="24"/>
          <w:lang w:eastAsia="lt-LT"/>
        </w:rPr>
        <w:t>Kartu su Investicijų programa m</w:t>
      </w:r>
      <w:r w:rsidR="00E65B15" w:rsidRPr="00E65B15">
        <w:rPr>
          <w:color w:val="595959" w:themeColor="text1" w:themeTint="A6"/>
          <w:szCs w:val="24"/>
          <w:lang w:eastAsia="lt-LT"/>
        </w:rPr>
        <w:t>inisterijos buvo įpareigotos parengti reikiamas sąlygas įgyvendinančių kriterijų dokumentų projektus</w:t>
      </w:r>
      <w:r w:rsidR="00AD15E4">
        <w:rPr>
          <w:color w:val="595959" w:themeColor="text1" w:themeTint="A6"/>
          <w:szCs w:val="24"/>
          <w:lang w:eastAsia="lt-LT"/>
        </w:rPr>
        <w:t>.</w:t>
      </w:r>
      <w:r w:rsidR="00E65B15" w:rsidRPr="00E65B15">
        <w:rPr>
          <w:color w:val="595959" w:themeColor="text1" w:themeTint="A6"/>
          <w:szCs w:val="24"/>
          <w:lang w:eastAsia="lt-LT"/>
        </w:rPr>
        <w:t xml:space="preserve"> Pažymėtina, kad yra rizika, jog kai kurių ministerijų atsakomybėje (pvz., Aplinkos ministerijos, Vidaus reikalų ministerijos) esančių reikiamų sąlygų kriterijų įgyvendinimas nebus atliktas laiku. Siekiant pradėti naujojo laikotarpio investicijas laiku, yra ypatingai svarbu, kad visos ministerijos atsakingai ir tinkamai vykdytų įsipareigojimus dėl reikiamas sąlygas įgyvendinančių kriterijų dokumentų pateikimo laiku.</w:t>
      </w:r>
    </w:p>
    <w:p w:rsidR="00AD15E4" w:rsidRDefault="00AD15E4" w:rsidP="00AD15E4">
      <w:pPr>
        <w:jc w:val="both"/>
        <w:rPr>
          <w:color w:val="595959" w:themeColor="text1" w:themeTint="A6"/>
          <w:szCs w:val="24"/>
          <w:lang w:eastAsia="lt-LT"/>
        </w:rPr>
      </w:pPr>
    </w:p>
    <w:tbl>
      <w:tblPr>
        <w:tblStyle w:val="Lentelstinklelis7"/>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C04440" w:rsidRPr="00103DB9" w:rsidTr="00355ECB">
        <w:tc>
          <w:tcPr>
            <w:tcW w:w="9638" w:type="dxa"/>
            <w:tcBorders>
              <w:top w:val="nil"/>
              <w:left w:val="nil"/>
              <w:bottom w:val="nil"/>
              <w:right w:val="nil"/>
            </w:tcBorders>
            <w:shd w:val="clear" w:color="auto" w:fill="D9D9D9" w:themeFill="background1" w:themeFillShade="D9"/>
          </w:tcPr>
          <w:p w:rsidR="00C04440" w:rsidRPr="00103DB9" w:rsidRDefault="00C04440" w:rsidP="00355ECB">
            <w:pPr>
              <w:jc w:val="both"/>
              <w:rPr>
                <w:b/>
                <w:color w:val="365F91" w:themeColor="accent1" w:themeShade="BF"/>
              </w:rPr>
            </w:pPr>
            <w:r w:rsidRPr="00103DB9">
              <w:rPr>
                <w:b/>
                <w:color w:val="365F91" w:themeColor="accent1" w:themeShade="BF"/>
              </w:rPr>
              <w:t>Siūlymas ministerijoms:</w:t>
            </w:r>
          </w:p>
          <w:p w:rsidR="00C04440" w:rsidRPr="00103DB9" w:rsidRDefault="00C04440" w:rsidP="00355ECB">
            <w:pPr>
              <w:tabs>
                <w:tab w:val="left" w:pos="897"/>
              </w:tabs>
              <w:jc w:val="both"/>
              <w:rPr>
                <w:color w:val="365F91" w:themeColor="accent1" w:themeShade="BF"/>
              </w:rPr>
            </w:pPr>
            <w:r w:rsidRPr="00103DB9">
              <w:rPr>
                <w:color w:val="365F91" w:themeColor="accent1" w:themeShade="BF"/>
              </w:rPr>
              <w:t xml:space="preserve">- Plėtros programų ir jų priemonių projektus, rengiamus siekiant įgyvendinti reikiamas sąlygas, </w:t>
            </w:r>
            <w:r w:rsidR="000C15C4">
              <w:rPr>
                <w:color w:val="365F91" w:themeColor="accent1" w:themeShade="BF"/>
              </w:rPr>
              <w:t xml:space="preserve">suderinti su </w:t>
            </w:r>
            <w:r w:rsidRPr="00103DB9">
              <w:rPr>
                <w:color w:val="365F91" w:themeColor="accent1" w:themeShade="BF"/>
              </w:rPr>
              <w:t>Finansų ministerija</w:t>
            </w:r>
            <w:r w:rsidR="00A07297">
              <w:rPr>
                <w:color w:val="365F91" w:themeColor="accent1" w:themeShade="BF"/>
              </w:rPr>
              <w:t xml:space="preserve"> iki gegužės 31 d.</w:t>
            </w:r>
          </w:p>
          <w:p w:rsidR="00C04440" w:rsidRPr="00C73A7E" w:rsidRDefault="00C04440" w:rsidP="00C04440">
            <w:pPr>
              <w:tabs>
                <w:tab w:val="left" w:pos="567"/>
              </w:tabs>
              <w:ind w:left="227"/>
              <w:jc w:val="both"/>
              <w:rPr>
                <w:rFonts w:eastAsia="Calibri"/>
                <w:color w:val="365F91" w:themeColor="accent1" w:themeShade="BF"/>
                <w:sz w:val="22"/>
                <w:szCs w:val="22"/>
              </w:rPr>
            </w:pPr>
          </w:p>
          <w:p w:rsidR="00C04440" w:rsidRPr="00103DB9" w:rsidRDefault="00C04440" w:rsidP="00C04440">
            <w:pPr>
              <w:jc w:val="both"/>
              <w:rPr>
                <w:b/>
                <w:color w:val="365F91" w:themeColor="accent1" w:themeShade="BF"/>
              </w:rPr>
            </w:pPr>
            <w:r w:rsidRPr="00103DB9">
              <w:rPr>
                <w:b/>
                <w:color w:val="365F91" w:themeColor="accent1" w:themeShade="BF"/>
              </w:rPr>
              <w:t>Siūlymas Aplinkos ir Vidaus reikalų ministerijoms:</w:t>
            </w:r>
          </w:p>
          <w:p w:rsidR="00C04440" w:rsidRDefault="00C04440" w:rsidP="00C04440">
            <w:pPr>
              <w:tabs>
                <w:tab w:val="left" w:pos="897"/>
              </w:tabs>
              <w:jc w:val="both"/>
              <w:rPr>
                <w:color w:val="365F91" w:themeColor="accent1" w:themeShade="BF"/>
              </w:rPr>
            </w:pPr>
            <w:r w:rsidRPr="00103DB9">
              <w:rPr>
                <w:color w:val="365F91" w:themeColor="accent1" w:themeShade="BF"/>
              </w:rPr>
              <w:t>- Užtikrinti, kad dokumentų projektai (kurie nepatenka į plėtros programas ir priemonių planus)</w:t>
            </w:r>
            <w:r>
              <w:rPr>
                <w:color w:val="365F91" w:themeColor="accent1" w:themeShade="BF"/>
              </w:rPr>
              <w:t xml:space="preserve">, </w:t>
            </w:r>
            <w:r w:rsidRPr="00103DB9">
              <w:rPr>
                <w:color w:val="365F91" w:themeColor="accent1" w:themeShade="BF"/>
              </w:rPr>
              <w:t xml:space="preserve">reikalingi šioms ministerijoms priskirtų reikiamų sąlygų kriterijų įgyvendinimui, būtų parengti ir Finansų ministerijai pateikti </w:t>
            </w:r>
            <w:r w:rsidRPr="009F7915">
              <w:rPr>
                <w:color w:val="365F91" w:themeColor="accent1" w:themeShade="BF"/>
              </w:rPr>
              <w:t>derinti iki 2021 m. gegužės 31 d., išskirtinai</w:t>
            </w:r>
            <w:r>
              <w:rPr>
                <w:color w:val="365F91" w:themeColor="accent1" w:themeShade="BF"/>
              </w:rPr>
              <w:t>:</w:t>
            </w:r>
          </w:p>
          <w:p w:rsidR="00C04440" w:rsidRDefault="00C04440" w:rsidP="00C04440">
            <w:pPr>
              <w:tabs>
                <w:tab w:val="left" w:pos="897"/>
              </w:tabs>
              <w:jc w:val="both"/>
              <w:rPr>
                <w:color w:val="365F91" w:themeColor="accent1" w:themeShade="BF"/>
              </w:rPr>
            </w:pPr>
            <w:r>
              <w:rPr>
                <w:color w:val="365F91" w:themeColor="accent1" w:themeShade="BF"/>
              </w:rPr>
              <w:t xml:space="preserve">a. </w:t>
            </w:r>
            <w:r w:rsidRPr="00136068">
              <w:rPr>
                <w:color w:val="365F91" w:themeColor="accent1" w:themeShade="BF"/>
              </w:rPr>
              <w:t>Nacionalinė ilgalaikė renovacijos strategija</w:t>
            </w:r>
            <w:r>
              <w:rPr>
                <w:color w:val="365F91" w:themeColor="accent1" w:themeShade="BF"/>
              </w:rPr>
              <w:t xml:space="preserve"> (Aplinkos ministerijai);</w:t>
            </w:r>
          </w:p>
          <w:p w:rsidR="00C04440" w:rsidRDefault="00C04440" w:rsidP="00C04440">
            <w:pPr>
              <w:tabs>
                <w:tab w:val="left" w:pos="897"/>
              </w:tabs>
              <w:jc w:val="both"/>
              <w:rPr>
                <w:color w:val="365F91" w:themeColor="accent1" w:themeShade="BF"/>
              </w:rPr>
            </w:pPr>
            <w:r>
              <w:rPr>
                <w:color w:val="365F91" w:themeColor="accent1" w:themeShade="BF"/>
              </w:rPr>
              <w:t xml:space="preserve">b. </w:t>
            </w:r>
            <w:r w:rsidRPr="001B6953">
              <w:rPr>
                <w:color w:val="365F91" w:themeColor="accent1" w:themeShade="BF"/>
              </w:rPr>
              <w:t>Valstybinis atliekų prevencijos ir tvarkymo 2021–2027 m. planas</w:t>
            </w:r>
            <w:r>
              <w:rPr>
                <w:color w:val="365F91" w:themeColor="accent1" w:themeShade="BF"/>
              </w:rPr>
              <w:t xml:space="preserve"> (Aplinkos ministerijai)</w:t>
            </w:r>
            <w:r w:rsidR="00AE0220">
              <w:rPr>
                <w:color w:val="365F91" w:themeColor="accent1" w:themeShade="BF"/>
              </w:rPr>
              <w:t>;</w:t>
            </w:r>
          </w:p>
          <w:p w:rsidR="00C04440" w:rsidRPr="00C04440" w:rsidRDefault="00C04440" w:rsidP="00AE0220">
            <w:pPr>
              <w:tabs>
                <w:tab w:val="left" w:pos="897"/>
              </w:tabs>
              <w:jc w:val="both"/>
              <w:rPr>
                <w:color w:val="365F91" w:themeColor="accent1" w:themeShade="BF"/>
              </w:rPr>
            </w:pPr>
            <w:r>
              <w:rPr>
                <w:color w:val="365F91" w:themeColor="accent1" w:themeShade="BF"/>
              </w:rPr>
              <w:t xml:space="preserve">c. Nacionalinė rizikos analizė </w:t>
            </w:r>
            <w:r w:rsidR="00AE0220">
              <w:rPr>
                <w:color w:val="365F91" w:themeColor="accent1" w:themeShade="BF"/>
              </w:rPr>
              <w:t>ar ją atitinkantis dokumentas</w:t>
            </w:r>
            <w:r w:rsidR="00AE0220" w:rsidRPr="00AE0220">
              <w:rPr>
                <w:color w:val="365F91" w:themeColor="accent1" w:themeShade="BF"/>
              </w:rPr>
              <w:t>, įgyvendinant</w:t>
            </w:r>
            <w:r w:rsidR="00AE0220">
              <w:rPr>
                <w:color w:val="365F91" w:themeColor="accent1" w:themeShade="BF"/>
              </w:rPr>
              <w:t>is</w:t>
            </w:r>
            <w:r w:rsidR="00AE0220" w:rsidRPr="00AE0220">
              <w:rPr>
                <w:color w:val="365F91" w:themeColor="accent1" w:themeShade="BF"/>
              </w:rPr>
              <w:t xml:space="preserve"> išankstines sąlygas. </w:t>
            </w:r>
            <w:r>
              <w:rPr>
                <w:color w:val="365F91" w:themeColor="accent1" w:themeShade="BF"/>
              </w:rPr>
              <w:t>(Aplinkos ir Vidaus reikalų ministerijoms)</w:t>
            </w:r>
            <w:r w:rsidR="00AE0220">
              <w:rPr>
                <w:color w:val="365F91" w:themeColor="accent1" w:themeShade="BF"/>
              </w:rPr>
              <w:t>.</w:t>
            </w:r>
            <w:bookmarkStart w:id="34" w:name="_GoBack"/>
            <w:bookmarkEnd w:id="34"/>
          </w:p>
        </w:tc>
      </w:tr>
    </w:tbl>
    <w:p w:rsidR="00E65B15" w:rsidRDefault="00E65B15" w:rsidP="00E65B15">
      <w:pPr>
        <w:ind w:firstLine="426"/>
        <w:jc w:val="both"/>
        <w:rPr>
          <w:color w:val="595959" w:themeColor="text1" w:themeTint="A6"/>
          <w:szCs w:val="24"/>
          <w:lang w:eastAsia="lt-LT"/>
        </w:rPr>
      </w:pPr>
    </w:p>
    <w:p w:rsidR="006E3E71" w:rsidRPr="00207E9B" w:rsidRDefault="006E3E71" w:rsidP="006E3E71">
      <w:pPr>
        <w:ind w:firstLine="426"/>
        <w:jc w:val="both"/>
        <w:rPr>
          <w:color w:val="595959" w:themeColor="text1" w:themeTint="A6"/>
          <w:szCs w:val="24"/>
        </w:rPr>
      </w:pPr>
      <w:r w:rsidRPr="00207E9B">
        <w:rPr>
          <w:color w:val="595959" w:themeColor="text1" w:themeTint="A6"/>
          <w:szCs w:val="24"/>
        </w:rPr>
        <w:t>EK, re</w:t>
      </w:r>
      <w:r w:rsidR="0016679D">
        <w:rPr>
          <w:color w:val="595959" w:themeColor="text1" w:themeTint="A6"/>
          <w:szCs w:val="24"/>
        </w:rPr>
        <w:t xml:space="preserve">aguodama į </w:t>
      </w:r>
      <w:proofErr w:type="spellStart"/>
      <w:r w:rsidR="0016679D">
        <w:rPr>
          <w:color w:val="595959" w:themeColor="text1" w:themeTint="A6"/>
          <w:szCs w:val="24"/>
        </w:rPr>
        <w:t>Covid</w:t>
      </w:r>
      <w:r w:rsidRPr="00207E9B">
        <w:rPr>
          <w:color w:val="595959" w:themeColor="text1" w:themeTint="A6"/>
          <w:szCs w:val="24"/>
        </w:rPr>
        <w:t>-19</w:t>
      </w:r>
      <w:proofErr w:type="spellEnd"/>
      <w:r w:rsidRPr="00207E9B">
        <w:rPr>
          <w:color w:val="595959" w:themeColor="text1" w:themeTint="A6"/>
          <w:szCs w:val="24"/>
        </w:rPr>
        <w:t xml:space="preserve"> sukeltas pasekmes ekonomikai, pasiūlė dar vieną naują instrumentą – RRF. Šia priemone per struktūrines reformas ir joms įgyvendinti reikalingas investicijas gali būti skatinamos iš esmės visos valstybės viešosios politikos sritys, prioritetą teikiant žaliajai ir skaitmeninei pertvarkai. Suderėta suma Lietuvai – 2,225 mlrd. </w:t>
      </w:r>
      <w:r w:rsidR="0016679D">
        <w:rPr>
          <w:color w:val="595959" w:themeColor="text1" w:themeTint="A6"/>
          <w:szCs w:val="24"/>
        </w:rPr>
        <w:t>eurų</w:t>
      </w:r>
      <w:r w:rsidRPr="00207E9B">
        <w:rPr>
          <w:color w:val="595959" w:themeColor="text1" w:themeTint="A6"/>
          <w:szCs w:val="24"/>
        </w:rPr>
        <w:t xml:space="preserve"> dotacijų ir galimybė gauti iki 3 mlrd. </w:t>
      </w:r>
      <w:r w:rsidR="0016679D">
        <w:rPr>
          <w:color w:val="595959" w:themeColor="text1" w:themeTint="A6"/>
          <w:szCs w:val="24"/>
        </w:rPr>
        <w:t>eurų</w:t>
      </w:r>
      <w:r w:rsidRPr="00207E9B">
        <w:rPr>
          <w:color w:val="595959" w:themeColor="text1" w:themeTint="A6"/>
          <w:szCs w:val="24"/>
        </w:rPr>
        <w:t xml:space="preserve"> paskolų.</w:t>
      </w:r>
    </w:p>
    <w:p w:rsidR="006E3E71" w:rsidRPr="00207E9B" w:rsidRDefault="006E3E71" w:rsidP="006E3E71">
      <w:pPr>
        <w:ind w:firstLine="426"/>
        <w:jc w:val="both"/>
        <w:rPr>
          <w:color w:val="595959" w:themeColor="text1" w:themeTint="A6"/>
          <w:szCs w:val="24"/>
        </w:rPr>
      </w:pPr>
      <w:r w:rsidRPr="00207E9B">
        <w:rPr>
          <w:color w:val="595959" w:themeColor="text1" w:themeTint="A6"/>
          <w:szCs w:val="24"/>
        </w:rPr>
        <w:lastRenderedPageBreak/>
        <w:t>Pagrindinis RRF plano rengimo koordinatorius – Finansų ministerija, tačiau pagal atitinkamas atsakomybės sritis, pasiūlymus dėl reformų ir investicijų rengia visos ministerijos. Įvyko šie pagrindiniai RRF plano rengimo darbai:</w:t>
      </w:r>
    </w:p>
    <w:p w:rsidR="006E3E71" w:rsidRPr="00207E9B" w:rsidRDefault="006E3E71" w:rsidP="0016679D">
      <w:pPr>
        <w:numPr>
          <w:ilvl w:val="0"/>
          <w:numId w:val="14"/>
        </w:numPr>
        <w:tabs>
          <w:tab w:val="left" w:pos="426"/>
        </w:tabs>
        <w:spacing w:line="276" w:lineRule="auto"/>
        <w:ind w:left="0" w:firstLine="0"/>
        <w:jc w:val="both"/>
        <w:rPr>
          <w:color w:val="595959" w:themeColor="text1" w:themeTint="A6"/>
          <w:szCs w:val="24"/>
        </w:rPr>
      </w:pPr>
      <w:r w:rsidRPr="00207E9B">
        <w:rPr>
          <w:color w:val="595959" w:themeColor="text1" w:themeTint="A6"/>
          <w:szCs w:val="24"/>
        </w:rPr>
        <w:t xml:space="preserve">2020 m. lapkričio 12 d. įvyko pirmoji konferencija su EK, kurioje ministerijos pristatė pirminius planuojamų reformų ir investicijų pasiūlymus. Šios konferencijos pagrindu EK dar kartą atkreipė dėmesį, kad investicijų pagrįstumą vertins atsižvelgdama į visą reformų paketo pagrįstumą ir tvarumą. </w:t>
      </w:r>
    </w:p>
    <w:p w:rsidR="006E3E71" w:rsidRPr="00207E9B" w:rsidRDefault="006E3E71" w:rsidP="0016679D">
      <w:pPr>
        <w:numPr>
          <w:ilvl w:val="0"/>
          <w:numId w:val="14"/>
        </w:numPr>
        <w:tabs>
          <w:tab w:val="left" w:pos="426"/>
        </w:tabs>
        <w:spacing w:line="276" w:lineRule="auto"/>
        <w:ind w:left="0" w:firstLine="0"/>
        <w:jc w:val="both"/>
        <w:rPr>
          <w:color w:val="595959" w:themeColor="text1" w:themeTint="A6"/>
          <w:szCs w:val="24"/>
        </w:rPr>
      </w:pPr>
      <w:r w:rsidRPr="00207E9B">
        <w:rPr>
          <w:color w:val="595959" w:themeColor="text1" w:themeTint="A6"/>
          <w:szCs w:val="24"/>
        </w:rPr>
        <w:t>2020 m. lapkritį-gruodį pačios ministerijos organizavo reformų ir investicijų aprašymų aptarimus su socialiniais ekonominiais partneriais.</w:t>
      </w:r>
    </w:p>
    <w:p w:rsidR="006E3E71" w:rsidRPr="00207E9B" w:rsidRDefault="006E3E71" w:rsidP="0016679D">
      <w:pPr>
        <w:numPr>
          <w:ilvl w:val="0"/>
          <w:numId w:val="14"/>
        </w:numPr>
        <w:tabs>
          <w:tab w:val="left" w:pos="426"/>
        </w:tabs>
        <w:spacing w:line="276" w:lineRule="auto"/>
        <w:ind w:left="0" w:firstLine="0"/>
        <w:jc w:val="both"/>
        <w:rPr>
          <w:color w:val="595959" w:themeColor="text1" w:themeTint="A6"/>
          <w:szCs w:val="24"/>
        </w:rPr>
      </w:pPr>
      <w:r w:rsidRPr="00207E9B">
        <w:rPr>
          <w:color w:val="595959" w:themeColor="text1" w:themeTint="A6"/>
          <w:szCs w:val="24"/>
        </w:rPr>
        <w:t>2020 m gruodžio mėn. įvyko 4-ios</w:t>
      </w:r>
      <w:r>
        <w:rPr>
          <w:color w:val="595959" w:themeColor="text1" w:themeTint="A6"/>
          <w:szCs w:val="24"/>
        </w:rPr>
        <w:t xml:space="preserve"> </w:t>
      </w:r>
      <w:r w:rsidRPr="00207E9B">
        <w:rPr>
          <w:color w:val="595959" w:themeColor="text1" w:themeTint="A6"/>
          <w:szCs w:val="24"/>
        </w:rPr>
        <w:t xml:space="preserve">vaizdo konferencijos su EK, kuriose buvo neformaliai aptarti pirminiai atskirų plano komponentų: Inovacijos ir mokslas, Socialinė apsauga, Žalioji pertvarka, </w:t>
      </w:r>
      <w:proofErr w:type="spellStart"/>
      <w:r w:rsidRPr="00207E9B">
        <w:rPr>
          <w:color w:val="595959" w:themeColor="text1" w:themeTint="A6"/>
          <w:szCs w:val="24"/>
        </w:rPr>
        <w:t>Skaitmeninimas</w:t>
      </w:r>
      <w:proofErr w:type="spellEnd"/>
      <w:r w:rsidRPr="00207E9B">
        <w:rPr>
          <w:color w:val="595959" w:themeColor="text1" w:themeTint="A6"/>
          <w:szCs w:val="24"/>
        </w:rPr>
        <w:t xml:space="preserve"> ir Viešieji finansai reformų ir investicijų aprašymai. Dėl komponentų Švietimas ir Sveikata buvo gautos EK pastabos el. paštu. </w:t>
      </w:r>
    </w:p>
    <w:p w:rsidR="006E3E71" w:rsidRDefault="006E3E71" w:rsidP="006E3E71">
      <w:pPr>
        <w:ind w:firstLine="426"/>
        <w:jc w:val="both"/>
        <w:rPr>
          <w:color w:val="595959" w:themeColor="text1" w:themeTint="A6"/>
          <w:szCs w:val="24"/>
        </w:rPr>
      </w:pPr>
      <w:r w:rsidRPr="00207E9B">
        <w:rPr>
          <w:color w:val="595959" w:themeColor="text1" w:themeTint="A6"/>
          <w:szCs w:val="24"/>
        </w:rPr>
        <w:t xml:space="preserve">2021 m. sausio </w:t>
      </w:r>
      <w:r w:rsidR="00002CCC">
        <w:rPr>
          <w:color w:val="595959" w:themeColor="text1" w:themeTint="A6"/>
          <w:szCs w:val="24"/>
        </w:rPr>
        <w:t xml:space="preserve">22 </w:t>
      </w:r>
      <w:r w:rsidR="00E74CA4">
        <w:rPr>
          <w:color w:val="595959" w:themeColor="text1" w:themeTint="A6"/>
          <w:szCs w:val="24"/>
        </w:rPr>
        <w:t xml:space="preserve">d. </w:t>
      </w:r>
      <w:r w:rsidRPr="00207E9B">
        <w:rPr>
          <w:color w:val="595959" w:themeColor="text1" w:themeTint="A6"/>
          <w:szCs w:val="24"/>
        </w:rPr>
        <w:t>EK paskelb</w:t>
      </w:r>
      <w:r w:rsidR="00002CCC">
        <w:rPr>
          <w:color w:val="595959" w:themeColor="text1" w:themeTint="A6"/>
          <w:szCs w:val="24"/>
        </w:rPr>
        <w:t>ė</w:t>
      </w:r>
      <w:r w:rsidR="0016679D">
        <w:rPr>
          <w:color w:val="595959" w:themeColor="text1" w:themeTint="A6"/>
          <w:szCs w:val="24"/>
        </w:rPr>
        <w:t xml:space="preserve"> </w:t>
      </w:r>
      <w:r w:rsidRPr="00207E9B">
        <w:rPr>
          <w:color w:val="595959" w:themeColor="text1" w:themeTint="A6"/>
          <w:szCs w:val="24"/>
        </w:rPr>
        <w:t>atnaujintą metodinę medžiagą, reikalingą RRF plano rengimui, suorganiz</w:t>
      </w:r>
      <w:r w:rsidR="00E74CA4">
        <w:rPr>
          <w:color w:val="595959" w:themeColor="text1" w:themeTint="A6"/>
          <w:szCs w:val="24"/>
        </w:rPr>
        <w:t xml:space="preserve">avo </w:t>
      </w:r>
      <w:r w:rsidRPr="00207E9B">
        <w:rPr>
          <w:color w:val="595959" w:themeColor="text1" w:themeTint="A6"/>
          <w:szCs w:val="24"/>
        </w:rPr>
        <w:t>mokymus valstybėms narėms</w:t>
      </w:r>
      <w:r>
        <w:rPr>
          <w:color w:val="595959" w:themeColor="text1" w:themeTint="A6"/>
          <w:szCs w:val="24"/>
        </w:rPr>
        <w:t xml:space="preserve">. </w:t>
      </w:r>
      <w:r w:rsidR="002823D7">
        <w:rPr>
          <w:color w:val="595959" w:themeColor="text1" w:themeTint="A6"/>
          <w:szCs w:val="24"/>
        </w:rPr>
        <w:t xml:space="preserve">Š. m. kovo mėn. EK neformaliai derinti išsiųsti Sveikatos, Švietimo ir Socialinės apsaugos </w:t>
      </w:r>
      <w:r w:rsidR="00521296">
        <w:rPr>
          <w:color w:val="595959" w:themeColor="text1" w:themeTint="A6"/>
          <w:szCs w:val="24"/>
        </w:rPr>
        <w:t>komponentų aprašymų projektai</w:t>
      </w:r>
      <w:r w:rsidR="002823D7">
        <w:rPr>
          <w:color w:val="595959" w:themeColor="text1" w:themeTint="A6"/>
          <w:szCs w:val="24"/>
        </w:rPr>
        <w:t xml:space="preserve">. </w:t>
      </w:r>
      <w:r w:rsidR="00FC63E7">
        <w:rPr>
          <w:color w:val="595959" w:themeColor="text1" w:themeTint="A6"/>
          <w:szCs w:val="24"/>
        </w:rPr>
        <w:t>Pilnas</w:t>
      </w:r>
      <w:r w:rsidR="00002CCC">
        <w:rPr>
          <w:color w:val="595959" w:themeColor="text1" w:themeTint="A6"/>
          <w:szCs w:val="24"/>
        </w:rPr>
        <w:t xml:space="preserve"> </w:t>
      </w:r>
      <w:r w:rsidR="00FC63E7">
        <w:rPr>
          <w:color w:val="595959" w:themeColor="text1" w:themeTint="A6"/>
          <w:szCs w:val="24"/>
        </w:rPr>
        <w:t xml:space="preserve">plano projektas parengtas ir paskelbtas </w:t>
      </w:r>
      <w:r w:rsidR="00002CCC">
        <w:rPr>
          <w:color w:val="595959" w:themeColor="text1" w:themeTint="A6"/>
          <w:szCs w:val="24"/>
        </w:rPr>
        <w:t xml:space="preserve">2021 m. </w:t>
      </w:r>
      <w:r w:rsidR="002823D7">
        <w:rPr>
          <w:color w:val="595959" w:themeColor="text1" w:themeTint="A6"/>
          <w:szCs w:val="24"/>
        </w:rPr>
        <w:t xml:space="preserve">balandžio </w:t>
      </w:r>
      <w:r w:rsidR="00FC63E7">
        <w:rPr>
          <w:color w:val="595959" w:themeColor="text1" w:themeTint="A6"/>
          <w:szCs w:val="24"/>
        </w:rPr>
        <w:t>16 d.</w:t>
      </w:r>
    </w:p>
    <w:p w:rsidR="006E3E71" w:rsidRDefault="006E3E71" w:rsidP="006E3E71">
      <w:pPr>
        <w:ind w:firstLine="426"/>
        <w:jc w:val="both"/>
        <w:rPr>
          <w:color w:val="595959" w:themeColor="text1" w:themeTint="A6"/>
          <w:szCs w:val="24"/>
        </w:rPr>
      </w:pPr>
      <w:r w:rsidRPr="00207E9B">
        <w:rPr>
          <w:color w:val="595959" w:themeColor="text1" w:themeTint="A6"/>
          <w:szCs w:val="24"/>
        </w:rPr>
        <w:t xml:space="preserve">Galutinis terminas EK pateikti oficialiai derinti RRF planą yra 2021 m. balandžio 30 d. </w:t>
      </w:r>
    </w:p>
    <w:p w:rsidR="006E3E71" w:rsidRPr="00207E9B" w:rsidRDefault="006E3E71" w:rsidP="006E3E71">
      <w:pPr>
        <w:ind w:firstLine="426"/>
        <w:jc w:val="both"/>
        <w:rPr>
          <w:color w:val="595959" w:themeColor="text1" w:themeTint="A6"/>
          <w:szCs w:val="24"/>
        </w:rPr>
      </w:pPr>
    </w:p>
    <w:p w:rsidR="008555F5" w:rsidRPr="00C4777B" w:rsidRDefault="008555F5" w:rsidP="00C92FA0">
      <w:pPr>
        <w:jc w:val="both"/>
        <w:rPr>
          <w:color w:val="595959" w:themeColor="text1" w:themeTint="A6"/>
          <w:szCs w:val="24"/>
          <w:lang w:eastAsia="lt-LT"/>
        </w:rPr>
      </w:pPr>
    </w:p>
    <w:p w:rsidR="006B6766" w:rsidRPr="00C4777B" w:rsidRDefault="006B6766" w:rsidP="006B6766">
      <w:pPr>
        <w:pStyle w:val="tekstas"/>
        <w:rPr>
          <w:rFonts w:ascii="Times New Roman" w:hAnsi="Times New Roman"/>
          <w:color w:val="595959" w:themeColor="text1" w:themeTint="A6"/>
        </w:rPr>
      </w:pPr>
      <w:r w:rsidRPr="00C4777B">
        <w:rPr>
          <w:rFonts w:ascii="Times New Roman" w:hAnsi="Times New Roman"/>
          <w:color w:val="595959" w:themeColor="text1" w:themeTint="A6"/>
        </w:rPr>
        <w:t xml:space="preserve">Visa informacija, susijusi su naujojo laikotarpio Sanglaudos politikos investicijų programavimu, skelbiama internetinės svetainės skiltyje </w:t>
      </w:r>
      <w:r w:rsidRPr="00C4777B">
        <w:rPr>
          <w:rFonts w:ascii="Times New Roman" w:hAnsi="Times New Roman"/>
          <w:i/>
          <w:color w:val="595959" w:themeColor="text1" w:themeTint="A6"/>
        </w:rPr>
        <w:t>Pasirengimas 2021–2027 (</w:t>
      </w:r>
      <w:hyperlink r:id="rId42" w:history="1">
        <w:r w:rsidRPr="00C4777B">
          <w:rPr>
            <w:rStyle w:val="Hipersaitas"/>
            <w:rFonts w:ascii="Times New Roman" w:hAnsi="Times New Roman"/>
            <w:color w:val="595959" w:themeColor="text1" w:themeTint="A6"/>
          </w:rPr>
          <w:t>https://www.esinvesticijos.lt/lt/pasirengimas-2021</w:t>
        </w:r>
        <w:r w:rsidR="004A7D70" w:rsidRPr="00C4777B">
          <w:rPr>
            <w:color w:val="595959" w:themeColor="text1" w:themeTint="A6"/>
            <w:u w:val="single"/>
            <w:lang w:eastAsia="lt-LT"/>
          </w:rPr>
          <w:t>–</w:t>
        </w:r>
        <w:r w:rsidRPr="00C4777B">
          <w:rPr>
            <w:rStyle w:val="Hipersaitas"/>
            <w:rFonts w:ascii="Times New Roman" w:hAnsi="Times New Roman"/>
            <w:color w:val="595959" w:themeColor="text1" w:themeTint="A6"/>
          </w:rPr>
          <w:t>2027</w:t>
        </w:r>
      </w:hyperlink>
      <w:r w:rsidRPr="00C4777B">
        <w:rPr>
          <w:rFonts w:ascii="Times New Roman" w:hAnsi="Times New Roman"/>
          <w:color w:val="595959" w:themeColor="text1" w:themeTint="A6"/>
        </w:rPr>
        <w:t>), kuriame visos institucijos bei socialiniai–ekonominiai partneriai gali rasti visą koncentruotą, aktualią informaciją.</w:t>
      </w:r>
    </w:p>
    <w:p w:rsidR="006324E2" w:rsidRPr="00C4777B" w:rsidRDefault="006324E2" w:rsidP="006324E2">
      <w:pPr>
        <w:pStyle w:val="tekstas"/>
        <w:rPr>
          <w:rFonts w:ascii="Times New Roman" w:hAnsi="Times New Roman"/>
          <w:color w:val="595959" w:themeColor="text1" w:themeTint="A6"/>
        </w:rPr>
      </w:pPr>
    </w:p>
    <w:p w:rsidR="00C60C4F" w:rsidRPr="00DF3F93" w:rsidRDefault="00C60C4F" w:rsidP="006324E2">
      <w:pPr>
        <w:pStyle w:val="tekstas"/>
        <w:rPr>
          <w:rFonts w:ascii="Times New Roman" w:hAnsi="Times New Roman"/>
        </w:rPr>
      </w:pPr>
      <w:r w:rsidRPr="00DF3F93">
        <w:rPr>
          <w:rFonts w:ascii="Times New Roman" w:hAnsi="Times New Roman"/>
        </w:rPr>
        <w:br w:type="page"/>
      </w:r>
      <w:r w:rsidR="006324E2" w:rsidRPr="00DF3F93">
        <w:rPr>
          <w:rFonts w:ascii="Times New Roman" w:hAnsi="Times New Roman"/>
        </w:rPr>
        <w:lastRenderedPageBreak/>
        <w:t xml:space="preserve"> </w:t>
      </w:r>
    </w:p>
    <w:p w:rsidR="00007F90" w:rsidRPr="00DF3F93" w:rsidRDefault="00007F90" w:rsidP="00007F90">
      <w:pPr>
        <w:jc w:val="both"/>
        <w:rPr>
          <w:color w:val="666666"/>
          <w:szCs w:val="24"/>
        </w:rPr>
      </w:pPr>
    </w:p>
    <w:p w:rsidR="00007F90" w:rsidRPr="00DF3F93" w:rsidRDefault="00007F90" w:rsidP="00007F90">
      <w:pPr>
        <w:jc w:val="center"/>
        <w:rPr>
          <w:rFonts w:eastAsia="Calibri"/>
          <w:b/>
          <w:noProof/>
          <w:color w:val="0070C0"/>
          <w:szCs w:val="24"/>
          <w:lang w:eastAsia="lt-LT"/>
        </w:rPr>
      </w:pPr>
      <w:r w:rsidRPr="00DF3F93">
        <w:rPr>
          <w:rFonts w:eastAsia="Calibri"/>
          <w:b/>
          <w:noProof/>
          <w:color w:val="0070C0"/>
          <w:szCs w:val="24"/>
          <w:lang w:eastAsia="lt-LT"/>
        </w:rPr>
        <w:drawing>
          <wp:inline distT="0" distB="0" distL="0" distR="0" wp14:anchorId="1A9DD517" wp14:editId="3404A541">
            <wp:extent cx="2618483" cy="1350070"/>
            <wp:effectExtent l="0" t="0" r="0" b="254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20891" cy="1351311"/>
                    </a:xfrm>
                    <a:prstGeom prst="rect">
                      <a:avLst/>
                    </a:prstGeom>
                    <a:noFill/>
                    <a:ln>
                      <a:noFill/>
                    </a:ln>
                  </pic:spPr>
                </pic:pic>
              </a:graphicData>
            </a:graphic>
          </wp:inline>
        </w:drawing>
      </w:r>
      <w:r w:rsidRPr="00DF3F93">
        <w:rPr>
          <w:rFonts w:eastAsia="Calibri"/>
          <w:b/>
          <w:noProof/>
          <w:color w:val="0070C0"/>
          <w:szCs w:val="24"/>
          <w:lang w:eastAsia="lt-LT"/>
        </w:rPr>
        <w:drawing>
          <wp:inline distT="0" distB="0" distL="0" distR="0" wp14:anchorId="3144768C" wp14:editId="2A849AB9">
            <wp:extent cx="2134725" cy="1283967"/>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37033" cy="1285355"/>
                    </a:xfrm>
                    <a:prstGeom prst="rect">
                      <a:avLst/>
                    </a:prstGeom>
                    <a:noFill/>
                    <a:ln>
                      <a:noFill/>
                    </a:ln>
                  </pic:spPr>
                </pic:pic>
              </a:graphicData>
            </a:graphic>
          </wp:inline>
        </w:drawing>
      </w: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r w:rsidRPr="00DF3F93">
        <w:rPr>
          <w:rFonts w:eastAsia="Calibri"/>
          <w:b/>
          <w:noProof/>
          <w:color w:val="0070C0"/>
          <w:szCs w:val="24"/>
          <w:lang w:eastAsia="lt-LT"/>
        </w:rPr>
        <w:drawing>
          <wp:inline distT="0" distB="0" distL="0" distR="0" wp14:anchorId="3C307816" wp14:editId="2A7BA568">
            <wp:extent cx="2732567" cy="1351749"/>
            <wp:effectExtent l="0" t="0" r="0" b="127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25858" cy="1348430"/>
                    </a:xfrm>
                    <a:prstGeom prst="rect">
                      <a:avLst/>
                    </a:prstGeom>
                    <a:noFill/>
                    <a:ln>
                      <a:noFill/>
                    </a:ln>
                  </pic:spPr>
                </pic:pic>
              </a:graphicData>
            </a:graphic>
          </wp:inline>
        </w:drawing>
      </w: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rFonts w:eastAsia="Calibri"/>
          <w:b/>
          <w:noProof/>
          <w:color w:val="0070C0"/>
          <w:szCs w:val="24"/>
          <w:lang w:eastAsia="lt-LT"/>
        </w:rPr>
      </w:pPr>
    </w:p>
    <w:p w:rsidR="00007F90" w:rsidRPr="00DF3F93" w:rsidRDefault="00007F90" w:rsidP="00007F90">
      <w:pPr>
        <w:jc w:val="center"/>
        <w:rPr>
          <w:color w:val="666666"/>
          <w:szCs w:val="24"/>
        </w:rPr>
      </w:pPr>
      <w:r w:rsidRPr="00DF3F93">
        <w:rPr>
          <w:rFonts w:eastAsia="Calibri"/>
          <w:b/>
          <w:noProof/>
          <w:color w:val="0070C0"/>
          <w:szCs w:val="24"/>
          <w:lang w:eastAsia="lt-LT"/>
        </w:rPr>
        <w:drawing>
          <wp:inline distT="0" distB="0" distL="0" distR="0" wp14:anchorId="64855036" wp14:editId="696301C1">
            <wp:extent cx="1698683" cy="669851"/>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8292" cy="669697"/>
                    </a:xfrm>
                    <a:prstGeom prst="rect">
                      <a:avLst/>
                    </a:prstGeom>
                    <a:noFill/>
                    <a:ln>
                      <a:noFill/>
                    </a:ln>
                  </pic:spPr>
                </pic:pic>
              </a:graphicData>
            </a:graphic>
          </wp:inline>
        </w:drawing>
      </w:r>
    </w:p>
    <w:bookmarkEnd w:id="31"/>
    <w:p w:rsidR="009F53D9" w:rsidRPr="00DF3F93" w:rsidRDefault="009F53D9" w:rsidP="00A429C5">
      <w:pPr>
        <w:spacing w:after="200" w:line="276" w:lineRule="auto"/>
        <w:rPr>
          <w:color w:val="666666"/>
          <w:szCs w:val="24"/>
        </w:rPr>
      </w:pPr>
    </w:p>
    <w:sectPr w:rsidR="009F53D9" w:rsidRPr="00DF3F93" w:rsidSect="007459D9">
      <w:headerReference w:type="default" r:id="rId46"/>
      <w:footerReference w:type="default" r:id="rId47"/>
      <w:type w:val="continuous"/>
      <w:pgSz w:w="11906" w:h="16838"/>
      <w:pgMar w:top="1100"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E85EA1" w15:done="0"/>
  <w15:commentEx w15:paraId="6259D6C8" w15:done="0"/>
  <w15:commentEx w15:paraId="5D7E9640" w15:done="0"/>
  <w15:commentEx w15:paraId="5969BD19" w15:done="0"/>
  <w15:commentEx w15:paraId="03A41824" w15:done="0"/>
  <w15:commentEx w15:paraId="493EC40A" w15:done="0"/>
  <w15:commentEx w15:paraId="234D7A7F" w15:done="0"/>
  <w15:commentEx w15:paraId="75E75860" w15:done="0"/>
  <w15:commentEx w15:paraId="31F77513" w15:done="0"/>
  <w15:commentEx w15:paraId="5D099224" w15:done="0"/>
  <w15:commentEx w15:paraId="1EB9F839" w15:done="0"/>
  <w15:commentEx w15:paraId="290F6366" w15:done="0"/>
  <w15:commentEx w15:paraId="5E5C2235" w15:done="0"/>
  <w15:commentEx w15:paraId="1654B0BC" w15:done="0"/>
  <w15:commentEx w15:paraId="080151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FED" w:rsidRDefault="002A6FED" w:rsidP="00885DE2">
      <w:r>
        <w:separator/>
      </w:r>
    </w:p>
    <w:p w:rsidR="002A6FED" w:rsidRDefault="002A6FED"/>
  </w:endnote>
  <w:endnote w:type="continuationSeparator" w:id="0">
    <w:p w:rsidR="002A6FED" w:rsidRDefault="002A6FED" w:rsidP="00885DE2">
      <w:r>
        <w:continuationSeparator/>
      </w:r>
    </w:p>
    <w:p w:rsidR="002A6FED" w:rsidRDefault="002A6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47423"/>
      <w:docPartObj>
        <w:docPartGallery w:val="Page Numbers (Bottom of Page)"/>
        <w:docPartUnique/>
      </w:docPartObj>
    </w:sdtPr>
    <w:sdtEndPr/>
    <w:sdtContent>
      <w:p w:rsidR="00B9748D" w:rsidRDefault="00B9748D">
        <w:pPr>
          <w:pStyle w:val="Porat"/>
          <w:jc w:val="center"/>
        </w:pPr>
      </w:p>
      <w:p w:rsidR="00B9748D" w:rsidRDefault="00B9748D">
        <w:pPr>
          <w:pStyle w:val="Porat"/>
          <w:jc w:val="center"/>
        </w:pPr>
        <w:r>
          <w:fldChar w:fldCharType="begin"/>
        </w:r>
        <w:r>
          <w:instrText>PAGE   \* MERGEFORMAT</w:instrText>
        </w:r>
        <w:r>
          <w:fldChar w:fldCharType="separate"/>
        </w:r>
        <w:r w:rsidR="00AE0220">
          <w:rPr>
            <w:noProof/>
          </w:rPr>
          <w:t>34</w:t>
        </w:r>
        <w:r>
          <w:fldChar w:fldCharType="end"/>
        </w:r>
      </w:p>
    </w:sdtContent>
  </w:sdt>
  <w:p w:rsidR="00B9748D" w:rsidRDefault="00B9748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FED" w:rsidRDefault="002A6FED" w:rsidP="00885DE2">
      <w:r>
        <w:separator/>
      </w:r>
    </w:p>
    <w:p w:rsidR="002A6FED" w:rsidRDefault="002A6FED"/>
  </w:footnote>
  <w:footnote w:type="continuationSeparator" w:id="0">
    <w:p w:rsidR="002A6FED" w:rsidRDefault="002A6FED" w:rsidP="00885DE2">
      <w:r>
        <w:continuationSeparator/>
      </w:r>
    </w:p>
    <w:p w:rsidR="002A6FED" w:rsidRDefault="002A6FED"/>
  </w:footnote>
  <w:footnote w:id="1">
    <w:p w:rsidR="005065CD" w:rsidRPr="00B43899" w:rsidRDefault="005065CD" w:rsidP="00B43899">
      <w:pPr>
        <w:pStyle w:val="Puslapioinaostekstas"/>
        <w:rPr>
          <w:color w:val="595959" w:themeColor="text1" w:themeTint="A6"/>
        </w:rPr>
      </w:pPr>
      <w:r w:rsidRPr="00B43899">
        <w:rPr>
          <w:rStyle w:val="Puslapioinaosnuoroda"/>
          <w:color w:val="595959" w:themeColor="text1" w:themeTint="A6"/>
        </w:rPr>
        <w:footnoteRef/>
      </w:r>
      <w:r w:rsidRPr="00B43899">
        <w:rPr>
          <w:color w:val="595959" w:themeColor="text1" w:themeTint="A6"/>
        </w:rPr>
        <w:t xml:space="preserve"> Išsami informacija pateikta 6 prioritete, prie Susisiekimo ministerijos administruojamų priemonių</w:t>
      </w:r>
      <w:r>
        <w:rPr>
          <w:color w:val="595959" w:themeColor="text1" w:themeTint="A6"/>
        </w:rPr>
        <w:t>.</w:t>
      </w:r>
    </w:p>
  </w:footnote>
  <w:footnote w:id="2">
    <w:p w:rsidR="005065CD" w:rsidRPr="001A0CCC" w:rsidRDefault="005065CD" w:rsidP="006D4A86">
      <w:pPr>
        <w:pStyle w:val="Puslapioinaostekstas"/>
        <w:jc w:val="both"/>
        <w:rPr>
          <w:color w:val="595959" w:themeColor="text1" w:themeTint="A6"/>
        </w:rPr>
      </w:pPr>
      <w:r w:rsidRPr="001A0CCC">
        <w:rPr>
          <w:rStyle w:val="Puslapioinaosnuoroda"/>
          <w:color w:val="595959" w:themeColor="text1" w:themeTint="A6"/>
        </w:rPr>
        <w:footnoteRef/>
      </w:r>
      <w:r w:rsidRPr="001A0CCC">
        <w:rPr>
          <w:color w:val="595959" w:themeColor="text1" w:themeTint="A6"/>
        </w:rPr>
        <w:t xml:space="preserve"> Būdos ir Pravieniškių miškai (LTKAI0005), Būdos-Pravieniškių miškai (LTKAIB006), Salanto ir Blendžiavos upės (LTKRE0005) bei Neries upė (LTVIN0009). </w:t>
      </w:r>
    </w:p>
  </w:footnote>
  <w:footnote w:id="3">
    <w:p w:rsidR="005065CD" w:rsidRPr="0023485F" w:rsidRDefault="005065CD" w:rsidP="0023485F">
      <w:pPr>
        <w:pStyle w:val="Puslapioinaostekstas"/>
        <w:jc w:val="both"/>
        <w:rPr>
          <w:color w:val="595959" w:themeColor="text1" w:themeTint="A6"/>
        </w:rPr>
      </w:pPr>
      <w:r w:rsidRPr="0023485F">
        <w:rPr>
          <w:rStyle w:val="Puslapioinaosnuoroda"/>
          <w:color w:val="595959" w:themeColor="text1" w:themeTint="A6"/>
        </w:rPr>
        <w:footnoteRef/>
      </w:r>
      <w:r w:rsidRPr="0023485F">
        <w:rPr>
          <w:color w:val="595959" w:themeColor="text1" w:themeTint="A6"/>
        </w:rPr>
        <w:t xml:space="preserve"> Patikslinti dvi išvadas</w:t>
      </w:r>
      <w:r>
        <w:rPr>
          <w:color w:val="595959" w:themeColor="text1" w:themeTint="A6"/>
        </w:rPr>
        <w:t xml:space="preserve">: </w:t>
      </w:r>
      <w:r w:rsidRPr="00AA4A80">
        <w:rPr>
          <w:color w:val="595959" w:themeColor="text1" w:themeTint="A6"/>
        </w:rPr>
        <w:t>dėl ruožo Kaišiadorys-Radviliškis (patenka Būdos-Pravieniškių miškai ir Neris) ir ruožo Šiauliai-Klaipėda (pate</w:t>
      </w:r>
      <w:r>
        <w:rPr>
          <w:color w:val="595959" w:themeColor="text1" w:themeTint="A6"/>
        </w:rPr>
        <w:t>nka Salanto ir Blendžiavos upės (</w:t>
      </w:r>
      <w:r w:rsidRPr="0023485F">
        <w:rPr>
          <w:color w:val="595959" w:themeColor="text1" w:themeTint="A6"/>
        </w:rPr>
        <w:t>istoriškai susiklostė, kad išvados buvo teikiamos ats</w:t>
      </w:r>
      <w:r w:rsidRPr="00AE021E">
        <w:rPr>
          <w:color w:val="595959" w:themeColor="text1" w:themeTint="A6"/>
        </w:rPr>
        <w:t>kirie</w:t>
      </w:r>
      <w:r>
        <w:rPr>
          <w:color w:val="595959" w:themeColor="text1" w:themeTint="A6"/>
        </w:rPr>
        <w:t>ms</w:t>
      </w:r>
      <w:r w:rsidRPr="00AE021E">
        <w:rPr>
          <w:color w:val="595959" w:themeColor="text1" w:themeTint="A6"/>
        </w:rPr>
        <w:t xml:space="preserve"> ruoža</w:t>
      </w:r>
      <w:r>
        <w:rPr>
          <w:color w:val="595959" w:themeColor="text1" w:themeTint="A6"/>
        </w:rPr>
        <w:t xml:space="preserve">ms). </w:t>
      </w:r>
    </w:p>
    <w:p w:rsidR="005065CD" w:rsidRDefault="005065CD" w:rsidP="00C250D8">
      <w:pPr>
        <w:pStyle w:val="Puslapioinaostekstas"/>
      </w:pPr>
    </w:p>
    <w:p w:rsidR="005065CD" w:rsidRDefault="005065CD">
      <w:pPr>
        <w:pStyle w:val="Puslapioinaostekstas"/>
      </w:pPr>
    </w:p>
  </w:footnote>
  <w:footnote w:id="4">
    <w:p w:rsidR="00B9748D" w:rsidRPr="001A0CCC" w:rsidRDefault="00B9748D" w:rsidP="001A0CCC">
      <w:pPr>
        <w:pStyle w:val="Puslapioinaostekstas"/>
        <w:rPr>
          <w:color w:val="595959" w:themeColor="text1" w:themeTint="A6"/>
        </w:rPr>
      </w:pPr>
      <w:r w:rsidRPr="001A0CCC">
        <w:rPr>
          <w:rStyle w:val="Puslapioinaosnuoroda"/>
          <w:color w:val="595959" w:themeColor="text1" w:themeTint="A6"/>
        </w:rPr>
        <w:footnoteRef/>
      </w:r>
      <w:r w:rsidRPr="001A0CCC">
        <w:rPr>
          <w:color w:val="595959" w:themeColor="text1" w:themeTint="A6"/>
        </w:rPr>
        <w:t xml:space="preserve"> Didelės apimties projektas ,,Ruožo Kaišiadorys–Klaipėda (Draugystės st.) elektrifikavimas“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48D" w:rsidRDefault="00B9748D" w:rsidP="00B86403">
    <w:pPr>
      <w:pStyle w:val="Antrats"/>
      <w:jc w:val="center"/>
    </w:pPr>
  </w:p>
  <w:p w:rsidR="00B9748D" w:rsidRDefault="00B974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3928"/>
    <w:multiLevelType w:val="hybridMultilevel"/>
    <w:tmpl w:val="DB587B1E"/>
    <w:lvl w:ilvl="0" w:tplc="7116E6B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7FA252D"/>
    <w:multiLevelType w:val="hybridMultilevel"/>
    <w:tmpl w:val="DE843302"/>
    <w:lvl w:ilvl="0" w:tplc="7116E6B2">
      <w:numFmt w:val="bullet"/>
      <w:lvlText w:val="-"/>
      <w:lvlJc w:val="left"/>
      <w:pPr>
        <w:ind w:left="1146" w:hanging="360"/>
      </w:pPr>
      <w:rPr>
        <w:rFonts w:ascii="Times New Roman" w:eastAsiaTheme="minorHAnsi"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nsid w:val="0DA6540C"/>
    <w:multiLevelType w:val="hybridMultilevel"/>
    <w:tmpl w:val="F9920E86"/>
    <w:lvl w:ilvl="0" w:tplc="8586087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F5601EB"/>
    <w:multiLevelType w:val="hybridMultilevel"/>
    <w:tmpl w:val="A97434BC"/>
    <w:lvl w:ilvl="0" w:tplc="4EC072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7AA6AF5"/>
    <w:multiLevelType w:val="hybridMultilevel"/>
    <w:tmpl w:val="D8A24F30"/>
    <w:lvl w:ilvl="0" w:tplc="4EC072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AC3379D"/>
    <w:multiLevelType w:val="hybridMultilevel"/>
    <w:tmpl w:val="939C341C"/>
    <w:lvl w:ilvl="0" w:tplc="7116E6B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CED31D9"/>
    <w:multiLevelType w:val="hybridMultilevel"/>
    <w:tmpl w:val="71E841D0"/>
    <w:lvl w:ilvl="0" w:tplc="12301B66">
      <w:start w:val="1"/>
      <w:numFmt w:val="upperRoman"/>
      <w:pStyle w:val="Antrat1"/>
      <w:lvlText w:val="%1."/>
      <w:lvlJc w:val="right"/>
      <w:pPr>
        <w:ind w:left="234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F5B701C"/>
    <w:multiLevelType w:val="hybridMultilevel"/>
    <w:tmpl w:val="87A8A2DC"/>
    <w:lvl w:ilvl="0" w:tplc="7116E6B2">
      <w:numFmt w:val="bullet"/>
      <w:lvlText w:val="-"/>
      <w:lvlJc w:val="left"/>
      <w:pPr>
        <w:ind w:left="2629" w:hanging="360"/>
      </w:pPr>
      <w:rPr>
        <w:rFonts w:ascii="Times New Roman" w:eastAsiaTheme="minorHAnsi" w:hAnsi="Times New Roman" w:cs="Times New Roman" w:hint="default"/>
      </w:rPr>
    </w:lvl>
    <w:lvl w:ilvl="1" w:tplc="04270003" w:tentative="1">
      <w:start w:val="1"/>
      <w:numFmt w:val="bullet"/>
      <w:lvlText w:val="o"/>
      <w:lvlJc w:val="left"/>
      <w:pPr>
        <w:ind w:left="3349" w:hanging="360"/>
      </w:pPr>
      <w:rPr>
        <w:rFonts w:ascii="Courier New" w:hAnsi="Courier New" w:cs="Courier New" w:hint="default"/>
      </w:rPr>
    </w:lvl>
    <w:lvl w:ilvl="2" w:tplc="04270005" w:tentative="1">
      <w:start w:val="1"/>
      <w:numFmt w:val="bullet"/>
      <w:lvlText w:val=""/>
      <w:lvlJc w:val="left"/>
      <w:pPr>
        <w:ind w:left="4069" w:hanging="360"/>
      </w:pPr>
      <w:rPr>
        <w:rFonts w:ascii="Wingdings" w:hAnsi="Wingdings" w:hint="default"/>
      </w:rPr>
    </w:lvl>
    <w:lvl w:ilvl="3" w:tplc="04270001" w:tentative="1">
      <w:start w:val="1"/>
      <w:numFmt w:val="bullet"/>
      <w:lvlText w:val=""/>
      <w:lvlJc w:val="left"/>
      <w:pPr>
        <w:ind w:left="4789" w:hanging="360"/>
      </w:pPr>
      <w:rPr>
        <w:rFonts w:ascii="Symbol" w:hAnsi="Symbol" w:hint="default"/>
      </w:rPr>
    </w:lvl>
    <w:lvl w:ilvl="4" w:tplc="04270003" w:tentative="1">
      <w:start w:val="1"/>
      <w:numFmt w:val="bullet"/>
      <w:lvlText w:val="o"/>
      <w:lvlJc w:val="left"/>
      <w:pPr>
        <w:ind w:left="5509" w:hanging="360"/>
      </w:pPr>
      <w:rPr>
        <w:rFonts w:ascii="Courier New" w:hAnsi="Courier New" w:cs="Courier New" w:hint="default"/>
      </w:rPr>
    </w:lvl>
    <w:lvl w:ilvl="5" w:tplc="04270005" w:tentative="1">
      <w:start w:val="1"/>
      <w:numFmt w:val="bullet"/>
      <w:lvlText w:val=""/>
      <w:lvlJc w:val="left"/>
      <w:pPr>
        <w:ind w:left="6229" w:hanging="360"/>
      </w:pPr>
      <w:rPr>
        <w:rFonts w:ascii="Wingdings" w:hAnsi="Wingdings" w:hint="default"/>
      </w:rPr>
    </w:lvl>
    <w:lvl w:ilvl="6" w:tplc="04270001" w:tentative="1">
      <w:start w:val="1"/>
      <w:numFmt w:val="bullet"/>
      <w:lvlText w:val=""/>
      <w:lvlJc w:val="left"/>
      <w:pPr>
        <w:ind w:left="6949" w:hanging="360"/>
      </w:pPr>
      <w:rPr>
        <w:rFonts w:ascii="Symbol" w:hAnsi="Symbol" w:hint="default"/>
      </w:rPr>
    </w:lvl>
    <w:lvl w:ilvl="7" w:tplc="04270003" w:tentative="1">
      <w:start w:val="1"/>
      <w:numFmt w:val="bullet"/>
      <w:lvlText w:val="o"/>
      <w:lvlJc w:val="left"/>
      <w:pPr>
        <w:ind w:left="7669" w:hanging="360"/>
      </w:pPr>
      <w:rPr>
        <w:rFonts w:ascii="Courier New" w:hAnsi="Courier New" w:cs="Courier New" w:hint="default"/>
      </w:rPr>
    </w:lvl>
    <w:lvl w:ilvl="8" w:tplc="04270005" w:tentative="1">
      <w:start w:val="1"/>
      <w:numFmt w:val="bullet"/>
      <w:lvlText w:val=""/>
      <w:lvlJc w:val="left"/>
      <w:pPr>
        <w:ind w:left="8389" w:hanging="360"/>
      </w:pPr>
      <w:rPr>
        <w:rFonts w:ascii="Wingdings" w:hAnsi="Wingdings" w:hint="default"/>
      </w:rPr>
    </w:lvl>
  </w:abstractNum>
  <w:abstractNum w:abstractNumId="8">
    <w:nsid w:val="2FE6496B"/>
    <w:multiLevelType w:val="hybridMultilevel"/>
    <w:tmpl w:val="EE408C2A"/>
    <w:lvl w:ilvl="0" w:tplc="7116E6B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42A5A7B"/>
    <w:multiLevelType w:val="hybridMultilevel"/>
    <w:tmpl w:val="1AEAD8A2"/>
    <w:lvl w:ilvl="0" w:tplc="2F64812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9C15606"/>
    <w:multiLevelType w:val="hybridMultilevel"/>
    <w:tmpl w:val="F28A310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3113730"/>
    <w:multiLevelType w:val="hybridMultilevel"/>
    <w:tmpl w:val="F0208ED6"/>
    <w:lvl w:ilvl="0" w:tplc="7116E6B2">
      <w:numFmt w:val="bullet"/>
      <w:lvlText w:val="-"/>
      <w:lvlJc w:val="left"/>
      <w:pPr>
        <w:ind w:left="1146" w:hanging="360"/>
      </w:pPr>
      <w:rPr>
        <w:rFonts w:ascii="Times New Roman" w:eastAsiaTheme="minorHAnsi" w:hAnsi="Times New Roman" w:cs="Times New Roman" w:hint="default"/>
      </w:rPr>
    </w:lvl>
    <w:lvl w:ilvl="1" w:tplc="7116E6B2">
      <w:numFmt w:val="bullet"/>
      <w:lvlText w:val="-"/>
      <w:lvlJc w:val="left"/>
      <w:pPr>
        <w:ind w:left="1866" w:hanging="360"/>
      </w:pPr>
      <w:rPr>
        <w:rFonts w:ascii="Times New Roman" w:eastAsiaTheme="minorHAnsi" w:hAnsi="Times New Roman" w:cs="Times New Roman"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2">
    <w:nsid w:val="43623F28"/>
    <w:multiLevelType w:val="hybridMultilevel"/>
    <w:tmpl w:val="282A5524"/>
    <w:lvl w:ilvl="0" w:tplc="7116E6B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37066B5"/>
    <w:multiLevelType w:val="hybridMultilevel"/>
    <w:tmpl w:val="04A47B62"/>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48D97DBF"/>
    <w:multiLevelType w:val="hybridMultilevel"/>
    <w:tmpl w:val="882A40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797887"/>
    <w:multiLevelType w:val="hybridMultilevel"/>
    <w:tmpl w:val="2F0A0248"/>
    <w:lvl w:ilvl="0" w:tplc="7116E6B2">
      <w:numFmt w:val="bullet"/>
      <w:lvlText w:val="-"/>
      <w:lvlJc w:val="left"/>
      <w:pPr>
        <w:ind w:left="928" w:hanging="360"/>
      </w:pPr>
      <w:rPr>
        <w:rFonts w:ascii="Times New Roman" w:eastAsiaTheme="minorHAnsi" w:hAnsi="Times New Roman" w:cs="Times New Roman" w:hint="default"/>
      </w:rPr>
    </w:lvl>
    <w:lvl w:ilvl="1" w:tplc="027209EC">
      <w:start w:val="2020"/>
      <w:numFmt w:val="bullet"/>
      <w:lvlText w:val="•"/>
      <w:lvlJc w:val="left"/>
      <w:pPr>
        <w:ind w:left="1500" w:hanging="42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99805F3"/>
    <w:multiLevelType w:val="hybridMultilevel"/>
    <w:tmpl w:val="E2F0A164"/>
    <w:lvl w:ilvl="0" w:tplc="7116E6B2">
      <w:numFmt w:val="bullet"/>
      <w:lvlText w:val="-"/>
      <w:lvlJc w:val="left"/>
      <w:pPr>
        <w:ind w:left="1146" w:hanging="360"/>
      </w:pPr>
      <w:rPr>
        <w:rFonts w:ascii="Times New Roman" w:eastAsiaTheme="minorHAnsi" w:hAnsi="Times New Roman" w:cs="Times New Roman" w:hint="default"/>
      </w:rPr>
    </w:lvl>
    <w:lvl w:ilvl="1" w:tplc="04270003">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7">
    <w:nsid w:val="49D8382E"/>
    <w:multiLevelType w:val="hybridMultilevel"/>
    <w:tmpl w:val="E1CAC3BC"/>
    <w:lvl w:ilvl="0" w:tplc="7116E6B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AFE3543"/>
    <w:multiLevelType w:val="hybridMultilevel"/>
    <w:tmpl w:val="21BA2F80"/>
    <w:lvl w:ilvl="0" w:tplc="7116E6B2">
      <w:numFmt w:val="bullet"/>
      <w:lvlText w:val="-"/>
      <w:lvlJc w:val="left"/>
      <w:pPr>
        <w:ind w:left="1998"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BAA0801"/>
    <w:multiLevelType w:val="hybridMultilevel"/>
    <w:tmpl w:val="94922896"/>
    <w:lvl w:ilvl="0" w:tplc="7116E6B2">
      <w:numFmt w:val="bullet"/>
      <w:lvlText w:val="-"/>
      <w:lvlJc w:val="left"/>
      <w:pPr>
        <w:ind w:left="1146" w:hanging="360"/>
      </w:pPr>
      <w:rPr>
        <w:rFonts w:ascii="Times New Roman" w:eastAsiaTheme="minorHAnsi" w:hAnsi="Times New Roman" w:cs="Times New Roman" w:hint="default"/>
      </w:rPr>
    </w:lvl>
    <w:lvl w:ilvl="1" w:tplc="04270003">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0">
    <w:nsid w:val="4D881465"/>
    <w:multiLevelType w:val="hybridMultilevel"/>
    <w:tmpl w:val="36E0BE48"/>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1">
    <w:nsid w:val="56926F6A"/>
    <w:multiLevelType w:val="hybridMultilevel"/>
    <w:tmpl w:val="5518DB3E"/>
    <w:lvl w:ilvl="0" w:tplc="355468E4">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9AF620C"/>
    <w:multiLevelType w:val="hybridMultilevel"/>
    <w:tmpl w:val="5CB64D0C"/>
    <w:lvl w:ilvl="0" w:tplc="7116E6B2">
      <w:numFmt w:val="bullet"/>
      <w:lvlText w:val="-"/>
      <w:lvlJc w:val="left"/>
      <w:pPr>
        <w:ind w:left="720" w:hanging="360"/>
      </w:pPr>
      <w:rPr>
        <w:rFonts w:ascii="Times New Roman" w:eastAsiaTheme="minorHAnsi" w:hAnsi="Times New Roman" w:cs="Times New Roman" w:hint="default"/>
      </w:rPr>
    </w:lvl>
    <w:lvl w:ilvl="1" w:tplc="7116E6B2">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BB87C04"/>
    <w:multiLevelType w:val="hybridMultilevel"/>
    <w:tmpl w:val="0CB49DAC"/>
    <w:lvl w:ilvl="0" w:tplc="7116E6B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nsid w:val="5C9E561B"/>
    <w:multiLevelType w:val="hybridMultilevel"/>
    <w:tmpl w:val="08144FF4"/>
    <w:lvl w:ilvl="0" w:tplc="7116E6B2">
      <w:numFmt w:val="bullet"/>
      <w:lvlText w:val="-"/>
      <w:lvlJc w:val="left"/>
      <w:pPr>
        <w:ind w:left="1146" w:hanging="360"/>
      </w:pPr>
      <w:rPr>
        <w:rFonts w:ascii="Times New Roman" w:eastAsiaTheme="minorHAnsi" w:hAnsi="Times New Roman" w:cs="Times New Roman" w:hint="default"/>
      </w:rPr>
    </w:lvl>
    <w:lvl w:ilvl="1" w:tplc="04270003">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5">
    <w:nsid w:val="5D640A3C"/>
    <w:multiLevelType w:val="hybridMultilevel"/>
    <w:tmpl w:val="462ECB42"/>
    <w:lvl w:ilvl="0" w:tplc="EDB25892">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E2F039C"/>
    <w:multiLevelType w:val="hybridMultilevel"/>
    <w:tmpl w:val="CAD26220"/>
    <w:lvl w:ilvl="0" w:tplc="7116E6B2">
      <w:numFmt w:val="bullet"/>
      <w:lvlText w:val="-"/>
      <w:lvlJc w:val="left"/>
      <w:pPr>
        <w:ind w:left="1998" w:hanging="360"/>
      </w:pPr>
      <w:rPr>
        <w:rFonts w:ascii="Times New Roman" w:eastAsiaTheme="minorHAnsi" w:hAnsi="Times New Roman" w:cs="Times New Roman" w:hint="default"/>
      </w:rPr>
    </w:lvl>
    <w:lvl w:ilvl="1" w:tplc="04270003" w:tentative="1">
      <w:start w:val="1"/>
      <w:numFmt w:val="bullet"/>
      <w:lvlText w:val="o"/>
      <w:lvlJc w:val="left"/>
      <w:pPr>
        <w:ind w:left="2718" w:hanging="360"/>
      </w:pPr>
      <w:rPr>
        <w:rFonts w:ascii="Courier New" w:hAnsi="Courier New" w:cs="Courier New" w:hint="default"/>
      </w:rPr>
    </w:lvl>
    <w:lvl w:ilvl="2" w:tplc="04270005" w:tentative="1">
      <w:start w:val="1"/>
      <w:numFmt w:val="bullet"/>
      <w:lvlText w:val=""/>
      <w:lvlJc w:val="left"/>
      <w:pPr>
        <w:ind w:left="3438" w:hanging="360"/>
      </w:pPr>
      <w:rPr>
        <w:rFonts w:ascii="Wingdings" w:hAnsi="Wingdings" w:hint="default"/>
      </w:rPr>
    </w:lvl>
    <w:lvl w:ilvl="3" w:tplc="04270001" w:tentative="1">
      <w:start w:val="1"/>
      <w:numFmt w:val="bullet"/>
      <w:lvlText w:val=""/>
      <w:lvlJc w:val="left"/>
      <w:pPr>
        <w:ind w:left="4158" w:hanging="360"/>
      </w:pPr>
      <w:rPr>
        <w:rFonts w:ascii="Symbol" w:hAnsi="Symbol" w:hint="default"/>
      </w:rPr>
    </w:lvl>
    <w:lvl w:ilvl="4" w:tplc="04270003" w:tentative="1">
      <w:start w:val="1"/>
      <w:numFmt w:val="bullet"/>
      <w:lvlText w:val="o"/>
      <w:lvlJc w:val="left"/>
      <w:pPr>
        <w:ind w:left="4878" w:hanging="360"/>
      </w:pPr>
      <w:rPr>
        <w:rFonts w:ascii="Courier New" w:hAnsi="Courier New" w:cs="Courier New" w:hint="default"/>
      </w:rPr>
    </w:lvl>
    <w:lvl w:ilvl="5" w:tplc="04270005" w:tentative="1">
      <w:start w:val="1"/>
      <w:numFmt w:val="bullet"/>
      <w:lvlText w:val=""/>
      <w:lvlJc w:val="left"/>
      <w:pPr>
        <w:ind w:left="5598" w:hanging="360"/>
      </w:pPr>
      <w:rPr>
        <w:rFonts w:ascii="Wingdings" w:hAnsi="Wingdings" w:hint="default"/>
      </w:rPr>
    </w:lvl>
    <w:lvl w:ilvl="6" w:tplc="04270001" w:tentative="1">
      <w:start w:val="1"/>
      <w:numFmt w:val="bullet"/>
      <w:lvlText w:val=""/>
      <w:lvlJc w:val="left"/>
      <w:pPr>
        <w:ind w:left="6318" w:hanging="360"/>
      </w:pPr>
      <w:rPr>
        <w:rFonts w:ascii="Symbol" w:hAnsi="Symbol" w:hint="default"/>
      </w:rPr>
    </w:lvl>
    <w:lvl w:ilvl="7" w:tplc="04270003" w:tentative="1">
      <w:start w:val="1"/>
      <w:numFmt w:val="bullet"/>
      <w:lvlText w:val="o"/>
      <w:lvlJc w:val="left"/>
      <w:pPr>
        <w:ind w:left="7038" w:hanging="360"/>
      </w:pPr>
      <w:rPr>
        <w:rFonts w:ascii="Courier New" w:hAnsi="Courier New" w:cs="Courier New" w:hint="default"/>
      </w:rPr>
    </w:lvl>
    <w:lvl w:ilvl="8" w:tplc="04270005" w:tentative="1">
      <w:start w:val="1"/>
      <w:numFmt w:val="bullet"/>
      <w:lvlText w:val=""/>
      <w:lvlJc w:val="left"/>
      <w:pPr>
        <w:ind w:left="7758" w:hanging="360"/>
      </w:pPr>
      <w:rPr>
        <w:rFonts w:ascii="Wingdings" w:hAnsi="Wingdings" w:hint="default"/>
      </w:rPr>
    </w:lvl>
  </w:abstractNum>
  <w:abstractNum w:abstractNumId="27">
    <w:nsid w:val="5E7B6166"/>
    <w:multiLevelType w:val="hybridMultilevel"/>
    <w:tmpl w:val="7326DB5E"/>
    <w:lvl w:ilvl="0" w:tplc="F9944C8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EDB4EFC"/>
    <w:multiLevelType w:val="hybridMultilevel"/>
    <w:tmpl w:val="DEB8CD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6441D20"/>
    <w:multiLevelType w:val="hybridMultilevel"/>
    <w:tmpl w:val="1198599A"/>
    <w:lvl w:ilvl="0" w:tplc="7116E6B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6D0A68B6"/>
    <w:multiLevelType w:val="hybridMultilevel"/>
    <w:tmpl w:val="5D2CC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36E0D11"/>
    <w:multiLevelType w:val="hybridMultilevel"/>
    <w:tmpl w:val="D480E664"/>
    <w:lvl w:ilvl="0" w:tplc="E62CD80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76101E87"/>
    <w:multiLevelType w:val="hybridMultilevel"/>
    <w:tmpl w:val="A9D84F6C"/>
    <w:lvl w:ilvl="0" w:tplc="E5E2A808">
      <w:numFmt w:val="bullet"/>
      <w:lvlText w:val="-"/>
      <w:lvlJc w:val="left"/>
      <w:pPr>
        <w:ind w:left="405" w:hanging="360"/>
      </w:pPr>
      <w:rPr>
        <w:rFonts w:ascii="Times New Roman" w:eastAsia="Times New Roman"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3">
    <w:nsid w:val="76FB4922"/>
    <w:multiLevelType w:val="hybridMultilevel"/>
    <w:tmpl w:val="81D8A290"/>
    <w:lvl w:ilvl="0" w:tplc="63CAA86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4"/>
  </w:num>
  <w:num w:numId="4">
    <w:abstractNumId w:val="10"/>
  </w:num>
  <w:num w:numId="5">
    <w:abstractNumId w:val="4"/>
  </w:num>
  <w:num w:numId="6">
    <w:abstractNumId w:val="6"/>
    <w:lvlOverride w:ilvl="0">
      <w:startOverride w:val="1"/>
    </w:lvlOverride>
  </w:num>
  <w:num w:numId="7">
    <w:abstractNumId w:val="6"/>
  </w:num>
  <w:num w:numId="8">
    <w:abstractNumId w:val="27"/>
  </w:num>
  <w:num w:numId="9">
    <w:abstractNumId w:val="2"/>
  </w:num>
  <w:num w:numId="10">
    <w:abstractNumId w:val="32"/>
  </w:num>
  <w:num w:numId="11">
    <w:abstractNumId w:val="9"/>
  </w:num>
  <w:num w:numId="12">
    <w:abstractNumId w:val="31"/>
  </w:num>
  <w:num w:numId="13">
    <w:abstractNumId w:val="30"/>
  </w:num>
  <w:num w:numId="14">
    <w:abstractNumId w:val="33"/>
  </w:num>
  <w:num w:numId="15">
    <w:abstractNumId w:val="8"/>
  </w:num>
  <w:num w:numId="16">
    <w:abstractNumId w:val="7"/>
  </w:num>
  <w:num w:numId="17">
    <w:abstractNumId w:val="5"/>
  </w:num>
  <w:num w:numId="18">
    <w:abstractNumId w:val="0"/>
  </w:num>
  <w:num w:numId="19">
    <w:abstractNumId w:val="12"/>
  </w:num>
  <w:num w:numId="20">
    <w:abstractNumId w:val="15"/>
  </w:num>
  <w:num w:numId="21">
    <w:abstractNumId w:val="26"/>
  </w:num>
  <w:num w:numId="22">
    <w:abstractNumId w:val="16"/>
  </w:num>
  <w:num w:numId="23">
    <w:abstractNumId w:val="19"/>
  </w:num>
  <w:num w:numId="24">
    <w:abstractNumId w:val="28"/>
  </w:num>
  <w:num w:numId="25">
    <w:abstractNumId w:val="23"/>
  </w:num>
  <w:num w:numId="26">
    <w:abstractNumId w:val="29"/>
  </w:num>
  <w:num w:numId="27">
    <w:abstractNumId w:val="1"/>
  </w:num>
  <w:num w:numId="28">
    <w:abstractNumId w:val="17"/>
  </w:num>
  <w:num w:numId="29">
    <w:abstractNumId w:val="22"/>
  </w:num>
  <w:num w:numId="30">
    <w:abstractNumId w:val="24"/>
  </w:num>
  <w:num w:numId="31">
    <w:abstractNumId w:val="11"/>
  </w:num>
  <w:num w:numId="32">
    <w:abstractNumId w:val="20"/>
  </w:num>
  <w:num w:numId="33">
    <w:abstractNumId w:val="3"/>
  </w:num>
  <w:num w:numId="34">
    <w:abstractNumId w:val="21"/>
  </w:num>
  <w:num w:numId="35">
    <w:abstractNumId w:val="25"/>
  </w:num>
  <w:num w:numId="3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A36"/>
    <w:rsid w:val="00000086"/>
    <w:rsid w:val="00000A8B"/>
    <w:rsid w:val="00001867"/>
    <w:rsid w:val="00001905"/>
    <w:rsid w:val="0000192D"/>
    <w:rsid w:val="00001A53"/>
    <w:rsid w:val="0000262B"/>
    <w:rsid w:val="00002CCC"/>
    <w:rsid w:val="0000367F"/>
    <w:rsid w:val="000038D6"/>
    <w:rsid w:val="00004454"/>
    <w:rsid w:val="00005647"/>
    <w:rsid w:val="000058CC"/>
    <w:rsid w:val="0000592B"/>
    <w:rsid w:val="00005D87"/>
    <w:rsid w:val="000061AD"/>
    <w:rsid w:val="0000643A"/>
    <w:rsid w:val="0000692F"/>
    <w:rsid w:val="0000760A"/>
    <w:rsid w:val="00007F90"/>
    <w:rsid w:val="000102C5"/>
    <w:rsid w:val="000104C4"/>
    <w:rsid w:val="00010C7F"/>
    <w:rsid w:val="00010CFA"/>
    <w:rsid w:val="00010F32"/>
    <w:rsid w:val="00011121"/>
    <w:rsid w:val="0001113C"/>
    <w:rsid w:val="000112AF"/>
    <w:rsid w:val="00011729"/>
    <w:rsid w:val="0001197F"/>
    <w:rsid w:val="0001198C"/>
    <w:rsid w:val="00011E10"/>
    <w:rsid w:val="00012338"/>
    <w:rsid w:val="0001242D"/>
    <w:rsid w:val="00012D02"/>
    <w:rsid w:val="0001301A"/>
    <w:rsid w:val="00013643"/>
    <w:rsid w:val="0001398C"/>
    <w:rsid w:val="00013F4B"/>
    <w:rsid w:val="0001517B"/>
    <w:rsid w:val="000153B4"/>
    <w:rsid w:val="00015444"/>
    <w:rsid w:val="00015BAD"/>
    <w:rsid w:val="00016210"/>
    <w:rsid w:val="000164B1"/>
    <w:rsid w:val="000165E2"/>
    <w:rsid w:val="00016996"/>
    <w:rsid w:val="0001708F"/>
    <w:rsid w:val="000172D5"/>
    <w:rsid w:val="0001737F"/>
    <w:rsid w:val="000174B6"/>
    <w:rsid w:val="000175D7"/>
    <w:rsid w:val="0001784F"/>
    <w:rsid w:val="00017AE5"/>
    <w:rsid w:val="00017C89"/>
    <w:rsid w:val="000209FC"/>
    <w:rsid w:val="00020BAB"/>
    <w:rsid w:val="00020BE0"/>
    <w:rsid w:val="00020D31"/>
    <w:rsid w:val="0002138B"/>
    <w:rsid w:val="00021951"/>
    <w:rsid w:val="00022531"/>
    <w:rsid w:val="000226EE"/>
    <w:rsid w:val="00022718"/>
    <w:rsid w:val="00022B97"/>
    <w:rsid w:val="0002379C"/>
    <w:rsid w:val="00023C54"/>
    <w:rsid w:val="00023E5E"/>
    <w:rsid w:val="00024153"/>
    <w:rsid w:val="0002426C"/>
    <w:rsid w:val="000245F8"/>
    <w:rsid w:val="00024CF4"/>
    <w:rsid w:val="0002540D"/>
    <w:rsid w:val="00025633"/>
    <w:rsid w:val="00025986"/>
    <w:rsid w:val="00026181"/>
    <w:rsid w:val="00026605"/>
    <w:rsid w:val="00026979"/>
    <w:rsid w:val="00026A23"/>
    <w:rsid w:val="00026D35"/>
    <w:rsid w:val="00026DCF"/>
    <w:rsid w:val="00026E21"/>
    <w:rsid w:val="000270EE"/>
    <w:rsid w:val="0002759C"/>
    <w:rsid w:val="000276A8"/>
    <w:rsid w:val="000277AC"/>
    <w:rsid w:val="000277FF"/>
    <w:rsid w:val="00027B58"/>
    <w:rsid w:val="00027DC5"/>
    <w:rsid w:val="00027E8A"/>
    <w:rsid w:val="000305AE"/>
    <w:rsid w:val="00030721"/>
    <w:rsid w:val="000309AE"/>
    <w:rsid w:val="00030B2B"/>
    <w:rsid w:val="00030E87"/>
    <w:rsid w:val="000319F9"/>
    <w:rsid w:val="00031D09"/>
    <w:rsid w:val="00031E0B"/>
    <w:rsid w:val="000325DD"/>
    <w:rsid w:val="000326F4"/>
    <w:rsid w:val="00033060"/>
    <w:rsid w:val="00033398"/>
    <w:rsid w:val="00033C1B"/>
    <w:rsid w:val="00033DA1"/>
    <w:rsid w:val="0003408E"/>
    <w:rsid w:val="0003449B"/>
    <w:rsid w:val="0003478D"/>
    <w:rsid w:val="00034A12"/>
    <w:rsid w:val="00034BB3"/>
    <w:rsid w:val="00035123"/>
    <w:rsid w:val="000354C0"/>
    <w:rsid w:val="0003583B"/>
    <w:rsid w:val="00035A9F"/>
    <w:rsid w:val="00035C9C"/>
    <w:rsid w:val="00035E4D"/>
    <w:rsid w:val="00036131"/>
    <w:rsid w:val="000361F4"/>
    <w:rsid w:val="000372DD"/>
    <w:rsid w:val="00037E5E"/>
    <w:rsid w:val="00037F30"/>
    <w:rsid w:val="0004050A"/>
    <w:rsid w:val="000406F5"/>
    <w:rsid w:val="000408D4"/>
    <w:rsid w:val="00042BCB"/>
    <w:rsid w:val="00042D8E"/>
    <w:rsid w:val="00042FE6"/>
    <w:rsid w:val="000433B6"/>
    <w:rsid w:val="000435B9"/>
    <w:rsid w:val="00043745"/>
    <w:rsid w:val="00044A18"/>
    <w:rsid w:val="00044BF8"/>
    <w:rsid w:val="00044E0F"/>
    <w:rsid w:val="00044F50"/>
    <w:rsid w:val="00045D29"/>
    <w:rsid w:val="00045F66"/>
    <w:rsid w:val="00046004"/>
    <w:rsid w:val="0004611B"/>
    <w:rsid w:val="0004665E"/>
    <w:rsid w:val="000466F5"/>
    <w:rsid w:val="000468BB"/>
    <w:rsid w:val="00046983"/>
    <w:rsid w:val="000471B8"/>
    <w:rsid w:val="00047362"/>
    <w:rsid w:val="0004739D"/>
    <w:rsid w:val="0004758C"/>
    <w:rsid w:val="000478EC"/>
    <w:rsid w:val="00047E42"/>
    <w:rsid w:val="000500A6"/>
    <w:rsid w:val="000509AB"/>
    <w:rsid w:val="00050A45"/>
    <w:rsid w:val="00050C53"/>
    <w:rsid w:val="000514FF"/>
    <w:rsid w:val="00051619"/>
    <w:rsid w:val="00051BE5"/>
    <w:rsid w:val="00051CA2"/>
    <w:rsid w:val="00051F96"/>
    <w:rsid w:val="00052893"/>
    <w:rsid w:val="00052F98"/>
    <w:rsid w:val="00053130"/>
    <w:rsid w:val="0005332A"/>
    <w:rsid w:val="000534E5"/>
    <w:rsid w:val="00053534"/>
    <w:rsid w:val="00053645"/>
    <w:rsid w:val="0005370A"/>
    <w:rsid w:val="00053C6A"/>
    <w:rsid w:val="00053DB6"/>
    <w:rsid w:val="000540BD"/>
    <w:rsid w:val="000548EF"/>
    <w:rsid w:val="00054913"/>
    <w:rsid w:val="00054C4D"/>
    <w:rsid w:val="00055BCB"/>
    <w:rsid w:val="00055E9D"/>
    <w:rsid w:val="000561BA"/>
    <w:rsid w:val="000562E8"/>
    <w:rsid w:val="0005635C"/>
    <w:rsid w:val="000564EB"/>
    <w:rsid w:val="00056557"/>
    <w:rsid w:val="00056949"/>
    <w:rsid w:val="00056DC0"/>
    <w:rsid w:val="000572F7"/>
    <w:rsid w:val="000575C5"/>
    <w:rsid w:val="00057D22"/>
    <w:rsid w:val="00057DF3"/>
    <w:rsid w:val="00060F38"/>
    <w:rsid w:val="000617F5"/>
    <w:rsid w:val="00061C76"/>
    <w:rsid w:val="00061EB0"/>
    <w:rsid w:val="000620F0"/>
    <w:rsid w:val="0006214E"/>
    <w:rsid w:val="000628F2"/>
    <w:rsid w:val="00062E17"/>
    <w:rsid w:val="00063419"/>
    <w:rsid w:val="000635ED"/>
    <w:rsid w:val="00063A24"/>
    <w:rsid w:val="00063EF4"/>
    <w:rsid w:val="00064037"/>
    <w:rsid w:val="000644F2"/>
    <w:rsid w:val="000648A5"/>
    <w:rsid w:val="00064A47"/>
    <w:rsid w:val="00065231"/>
    <w:rsid w:val="000652F9"/>
    <w:rsid w:val="0006540D"/>
    <w:rsid w:val="000656BB"/>
    <w:rsid w:val="00065EBA"/>
    <w:rsid w:val="000663F5"/>
    <w:rsid w:val="00066926"/>
    <w:rsid w:val="00066F8D"/>
    <w:rsid w:val="000672AC"/>
    <w:rsid w:val="0007040F"/>
    <w:rsid w:val="000704F3"/>
    <w:rsid w:val="00070DE6"/>
    <w:rsid w:val="0007132A"/>
    <w:rsid w:val="00071373"/>
    <w:rsid w:val="000718C2"/>
    <w:rsid w:val="000719C4"/>
    <w:rsid w:val="000719D4"/>
    <w:rsid w:val="000722AF"/>
    <w:rsid w:val="0007282F"/>
    <w:rsid w:val="00072883"/>
    <w:rsid w:val="00072EA2"/>
    <w:rsid w:val="00072FD5"/>
    <w:rsid w:val="00073427"/>
    <w:rsid w:val="00073432"/>
    <w:rsid w:val="000734D2"/>
    <w:rsid w:val="00073F49"/>
    <w:rsid w:val="0007415C"/>
    <w:rsid w:val="00074546"/>
    <w:rsid w:val="0007544B"/>
    <w:rsid w:val="00075538"/>
    <w:rsid w:val="00075889"/>
    <w:rsid w:val="000758EC"/>
    <w:rsid w:val="00076115"/>
    <w:rsid w:val="00076783"/>
    <w:rsid w:val="00076A27"/>
    <w:rsid w:val="00076C3E"/>
    <w:rsid w:val="00076DE0"/>
    <w:rsid w:val="00077876"/>
    <w:rsid w:val="00077B03"/>
    <w:rsid w:val="00077B70"/>
    <w:rsid w:val="00080A4E"/>
    <w:rsid w:val="00080B81"/>
    <w:rsid w:val="00080EFF"/>
    <w:rsid w:val="00081321"/>
    <w:rsid w:val="000813C4"/>
    <w:rsid w:val="00081B8D"/>
    <w:rsid w:val="000826EE"/>
    <w:rsid w:val="00082902"/>
    <w:rsid w:val="00082E20"/>
    <w:rsid w:val="00083426"/>
    <w:rsid w:val="00083900"/>
    <w:rsid w:val="00084269"/>
    <w:rsid w:val="000844C6"/>
    <w:rsid w:val="0008477E"/>
    <w:rsid w:val="00084B50"/>
    <w:rsid w:val="00084B53"/>
    <w:rsid w:val="00084F7F"/>
    <w:rsid w:val="000852CA"/>
    <w:rsid w:val="0008562D"/>
    <w:rsid w:val="0008564C"/>
    <w:rsid w:val="00085A1E"/>
    <w:rsid w:val="00085CCF"/>
    <w:rsid w:val="0008601D"/>
    <w:rsid w:val="000868D4"/>
    <w:rsid w:val="00086AA8"/>
    <w:rsid w:val="00086CF9"/>
    <w:rsid w:val="000871A8"/>
    <w:rsid w:val="0008720D"/>
    <w:rsid w:val="00087DEF"/>
    <w:rsid w:val="0009043F"/>
    <w:rsid w:val="000904FD"/>
    <w:rsid w:val="00090809"/>
    <w:rsid w:val="00090893"/>
    <w:rsid w:val="000909CF"/>
    <w:rsid w:val="00090B5E"/>
    <w:rsid w:val="00090C5D"/>
    <w:rsid w:val="00091124"/>
    <w:rsid w:val="00091548"/>
    <w:rsid w:val="00091716"/>
    <w:rsid w:val="00091A08"/>
    <w:rsid w:val="00091CB0"/>
    <w:rsid w:val="00091D81"/>
    <w:rsid w:val="000924FC"/>
    <w:rsid w:val="00092B25"/>
    <w:rsid w:val="00092E74"/>
    <w:rsid w:val="000930DD"/>
    <w:rsid w:val="00093918"/>
    <w:rsid w:val="000939BB"/>
    <w:rsid w:val="00093FBE"/>
    <w:rsid w:val="000940B1"/>
    <w:rsid w:val="000947E8"/>
    <w:rsid w:val="000948C9"/>
    <w:rsid w:val="00094ABF"/>
    <w:rsid w:val="00094DCD"/>
    <w:rsid w:val="00095032"/>
    <w:rsid w:val="000950EE"/>
    <w:rsid w:val="0009510C"/>
    <w:rsid w:val="00095317"/>
    <w:rsid w:val="000954B9"/>
    <w:rsid w:val="00095E81"/>
    <w:rsid w:val="00095F43"/>
    <w:rsid w:val="00096C30"/>
    <w:rsid w:val="00097180"/>
    <w:rsid w:val="00097564"/>
    <w:rsid w:val="000975A5"/>
    <w:rsid w:val="00097652"/>
    <w:rsid w:val="0009776B"/>
    <w:rsid w:val="00097D5D"/>
    <w:rsid w:val="000A0269"/>
    <w:rsid w:val="000A04A2"/>
    <w:rsid w:val="000A0541"/>
    <w:rsid w:val="000A0917"/>
    <w:rsid w:val="000A0922"/>
    <w:rsid w:val="000A0B43"/>
    <w:rsid w:val="000A0C09"/>
    <w:rsid w:val="000A0C4D"/>
    <w:rsid w:val="000A0D10"/>
    <w:rsid w:val="000A0E2E"/>
    <w:rsid w:val="000A1574"/>
    <w:rsid w:val="000A17E4"/>
    <w:rsid w:val="000A1C84"/>
    <w:rsid w:val="000A221E"/>
    <w:rsid w:val="000A23FE"/>
    <w:rsid w:val="000A2415"/>
    <w:rsid w:val="000A2B78"/>
    <w:rsid w:val="000A2CCA"/>
    <w:rsid w:val="000A31B8"/>
    <w:rsid w:val="000A3260"/>
    <w:rsid w:val="000A335F"/>
    <w:rsid w:val="000A336F"/>
    <w:rsid w:val="000A3461"/>
    <w:rsid w:val="000A34AD"/>
    <w:rsid w:val="000A3A87"/>
    <w:rsid w:val="000A3CEE"/>
    <w:rsid w:val="000A4573"/>
    <w:rsid w:val="000A4A70"/>
    <w:rsid w:val="000A563F"/>
    <w:rsid w:val="000A5838"/>
    <w:rsid w:val="000A5C43"/>
    <w:rsid w:val="000A5D83"/>
    <w:rsid w:val="000A63E6"/>
    <w:rsid w:val="000A68B8"/>
    <w:rsid w:val="000A6CA8"/>
    <w:rsid w:val="000A71BF"/>
    <w:rsid w:val="000A7340"/>
    <w:rsid w:val="000A788A"/>
    <w:rsid w:val="000A7929"/>
    <w:rsid w:val="000A7F83"/>
    <w:rsid w:val="000B00FE"/>
    <w:rsid w:val="000B0356"/>
    <w:rsid w:val="000B0A89"/>
    <w:rsid w:val="000B0E1B"/>
    <w:rsid w:val="000B117F"/>
    <w:rsid w:val="000B148A"/>
    <w:rsid w:val="000B1A94"/>
    <w:rsid w:val="000B1B2F"/>
    <w:rsid w:val="000B20A1"/>
    <w:rsid w:val="000B2202"/>
    <w:rsid w:val="000B2663"/>
    <w:rsid w:val="000B274F"/>
    <w:rsid w:val="000B285E"/>
    <w:rsid w:val="000B2B31"/>
    <w:rsid w:val="000B2E6D"/>
    <w:rsid w:val="000B3A28"/>
    <w:rsid w:val="000B3D46"/>
    <w:rsid w:val="000B3E6F"/>
    <w:rsid w:val="000B5082"/>
    <w:rsid w:val="000B549E"/>
    <w:rsid w:val="000B59A2"/>
    <w:rsid w:val="000B6072"/>
    <w:rsid w:val="000B6579"/>
    <w:rsid w:val="000B66F2"/>
    <w:rsid w:val="000B695A"/>
    <w:rsid w:val="000B6BCB"/>
    <w:rsid w:val="000B7133"/>
    <w:rsid w:val="000B725C"/>
    <w:rsid w:val="000B72B4"/>
    <w:rsid w:val="000B7F6C"/>
    <w:rsid w:val="000C00AF"/>
    <w:rsid w:val="000C0722"/>
    <w:rsid w:val="000C0CDE"/>
    <w:rsid w:val="000C0EE7"/>
    <w:rsid w:val="000C1001"/>
    <w:rsid w:val="000C1074"/>
    <w:rsid w:val="000C15C4"/>
    <w:rsid w:val="000C1B7A"/>
    <w:rsid w:val="000C1CE1"/>
    <w:rsid w:val="000C1DD1"/>
    <w:rsid w:val="000C23B5"/>
    <w:rsid w:val="000C2CB8"/>
    <w:rsid w:val="000C2F19"/>
    <w:rsid w:val="000C34C8"/>
    <w:rsid w:val="000C3954"/>
    <w:rsid w:val="000C3B29"/>
    <w:rsid w:val="000C3F66"/>
    <w:rsid w:val="000C43A6"/>
    <w:rsid w:val="000C44F4"/>
    <w:rsid w:val="000C45F4"/>
    <w:rsid w:val="000C4B38"/>
    <w:rsid w:val="000C4C16"/>
    <w:rsid w:val="000C51D2"/>
    <w:rsid w:val="000C5580"/>
    <w:rsid w:val="000C558A"/>
    <w:rsid w:val="000C57CC"/>
    <w:rsid w:val="000C58BB"/>
    <w:rsid w:val="000C593A"/>
    <w:rsid w:val="000C5DE1"/>
    <w:rsid w:val="000C60E5"/>
    <w:rsid w:val="000C61CC"/>
    <w:rsid w:val="000C62AE"/>
    <w:rsid w:val="000C6E6E"/>
    <w:rsid w:val="000C7211"/>
    <w:rsid w:val="000C7298"/>
    <w:rsid w:val="000C7711"/>
    <w:rsid w:val="000D0954"/>
    <w:rsid w:val="000D09C5"/>
    <w:rsid w:val="000D0C33"/>
    <w:rsid w:val="000D0D0C"/>
    <w:rsid w:val="000D107D"/>
    <w:rsid w:val="000D1308"/>
    <w:rsid w:val="000D13DF"/>
    <w:rsid w:val="000D13F9"/>
    <w:rsid w:val="000D18C0"/>
    <w:rsid w:val="000D19A0"/>
    <w:rsid w:val="000D1A53"/>
    <w:rsid w:val="000D1AA2"/>
    <w:rsid w:val="000D1AA6"/>
    <w:rsid w:val="000D1D56"/>
    <w:rsid w:val="000D1D7C"/>
    <w:rsid w:val="000D209E"/>
    <w:rsid w:val="000D3113"/>
    <w:rsid w:val="000D31EC"/>
    <w:rsid w:val="000D3F84"/>
    <w:rsid w:val="000D3FD5"/>
    <w:rsid w:val="000D40CB"/>
    <w:rsid w:val="000D43A9"/>
    <w:rsid w:val="000D45E0"/>
    <w:rsid w:val="000D45F3"/>
    <w:rsid w:val="000D4928"/>
    <w:rsid w:val="000D4B13"/>
    <w:rsid w:val="000D4CEA"/>
    <w:rsid w:val="000D4DF9"/>
    <w:rsid w:val="000D4E4B"/>
    <w:rsid w:val="000D5DC1"/>
    <w:rsid w:val="000D60C5"/>
    <w:rsid w:val="000D61AF"/>
    <w:rsid w:val="000D6638"/>
    <w:rsid w:val="000D68A8"/>
    <w:rsid w:val="000D691B"/>
    <w:rsid w:val="000D6BBE"/>
    <w:rsid w:val="000D6CD6"/>
    <w:rsid w:val="000D7106"/>
    <w:rsid w:val="000D7777"/>
    <w:rsid w:val="000D78DD"/>
    <w:rsid w:val="000D7D76"/>
    <w:rsid w:val="000E00DC"/>
    <w:rsid w:val="000E05AC"/>
    <w:rsid w:val="000E086E"/>
    <w:rsid w:val="000E134F"/>
    <w:rsid w:val="000E19F5"/>
    <w:rsid w:val="000E20AC"/>
    <w:rsid w:val="000E2D43"/>
    <w:rsid w:val="000E2D44"/>
    <w:rsid w:val="000E300B"/>
    <w:rsid w:val="000E3183"/>
    <w:rsid w:val="000E3377"/>
    <w:rsid w:val="000E378A"/>
    <w:rsid w:val="000E4034"/>
    <w:rsid w:val="000E52E6"/>
    <w:rsid w:val="000E531D"/>
    <w:rsid w:val="000E58A1"/>
    <w:rsid w:val="000E58EE"/>
    <w:rsid w:val="000E5A04"/>
    <w:rsid w:val="000E5A3A"/>
    <w:rsid w:val="000E5DB0"/>
    <w:rsid w:val="000E6459"/>
    <w:rsid w:val="000E6639"/>
    <w:rsid w:val="000E6900"/>
    <w:rsid w:val="000E6F6A"/>
    <w:rsid w:val="000E73BB"/>
    <w:rsid w:val="000E7866"/>
    <w:rsid w:val="000E78EE"/>
    <w:rsid w:val="000E78F3"/>
    <w:rsid w:val="000E7D08"/>
    <w:rsid w:val="000E7F29"/>
    <w:rsid w:val="000F063D"/>
    <w:rsid w:val="000F090C"/>
    <w:rsid w:val="000F0E27"/>
    <w:rsid w:val="000F0FBA"/>
    <w:rsid w:val="000F2185"/>
    <w:rsid w:val="000F22B7"/>
    <w:rsid w:val="000F2C09"/>
    <w:rsid w:val="000F34CA"/>
    <w:rsid w:val="000F352D"/>
    <w:rsid w:val="000F353C"/>
    <w:rsid w:val="000F3F41"/>
    <w:rsid w:val="000F40E3"/>
    <w:rsid w:val="000F4230"/>
    <w:rsid w:val="000F4483"/>
    <w:rsid w:val="000F4641"/>
    <w:rsid w:val="000F46ED"/>
    <w:rsid w:val="000F5159"/>
    <w:rsid w:val="000F59D2"/>
    <w:rsid w:val="000F62E8"/>
    <w:rsid w:val="000F648D"/>
    <w:rsid w:val="000F6A28"/>
    <w:rsid w:val="000F6A97"/>
    <w:rsid w:val="000F6C44"/>
    <w:rsid w:val="000F6D24"/>
    <w:rsid w:val="000F6F26"/>
    <w:rsid w:val="000F701E"/>
    <w:rsid w:val="000F7101"/>
    <w:rsid w:val="000F746B"/>
    <w:rsid w:val="000F750E"/>
    <w:rsid w:val="000F75A7"/>
    <w:rsid w:val="000F7AA4"/>
    <w:rsid w:val="001004A9"/>
    <w:rsid w:val="001007A9"/>
    <w:rsid w:val="00100C9D"/>
    <w:rsid w:val="00100D2D"/>
    <w:rsid w:val="00100F76"/>
    <w:rsid w:val="0010181F"/>
    <w:rsid w:val="001018C0"/>
    <w:rsid w:val="00101A01"/>
    <w:rsid w:val="0010258D"/>
    <w:rsid w:val="001026EE"/>
    <w:rsid w:val="001026FD"/>
    <w:rsid w:val="00102707"/>
    <w:rsid w:val="00102DE8"/>
    <w:rsid w:val="00102E65"/>
    <w:rsid w:val="00102FF0"/>
    <w:rsid w:val="00103021"/>
    <w:rsid w:val="0010394A"/>
    <w:rsid w:val="00103ACF"/>
    <w:rsid w:val="0010403D"/>
    <w:rsid w:val="00104118"/>
    <w:rsid w:val="001046F3"/>
    <w:rsid w:val="0010470F"/>
    <w:rsid w:val="00104CB5"/>
    <w:rsid w:val="00105449"/>
    <w:rsid w:val="00105616"/>
    <w:rsid w:val="00105646"/>
    <w:rsid w:val="00105A8E"/>
    <w:rsid w:val="001062BF"/>
    <w:rsid w:val="00106330"/>
    <w:rsid w:val="00106792"/>
    <w:rsid w:val="0010694A"/>
    <w:rsid w:val="00106FF7"/>
    <w:rsid w:val="00107081"/>
    <w:rsid w:val="001074AE"/>
    <w:rsid w:val="00107D56"/>
    <w:rsid w:val="00107F5E"/>
    <w:rsid w:val="00110367"/>
    <w:rsid w:val="00110664"/>
    <w:rsid w:val="0011075C"/>
    <w:rsid w:val="00110AD0"/>
    <w:rsid w:val="00110F88"/>
    <w:rsid w:val="00110FD8"/>
    <w:rsid w:val="00111FAD"/>
    <w:rsid w:val="00112326"/>
    <w:rsid w:val="00112455"/>
    <w:rsid w:val="00112877"/>
    <w:rsid w:val="00112979"/>
    <w:rsid w:val="00112D87"/>
    <w:rsid w:val="00112FA7"/>
    <w:rsid w:val="00113149"/>
    <w:rsid w:val="00113171"/>
    <w:rsid w:val="0011343C"/>
    <w:rsid w:val="0011385C"/>
    <w:rsid w:val="00113957"/>
    <w:rsid w:val="00113CD6"/>
    <w:rsid w:val="00113DB8"/>
    <w:rsid w:val="00113F16"/>
    <w:rsid w:val="001147B5"/>
    <w:rsid w:val="001149EE"/>
    <w:rsid w:val="00114EFE"/>
    <w:rsid w:val="0011505C"/>
    <w:rsid w:val="001154C4"/>
    <w:rsid w:val="00115610"/>
    <w:rsid w:val="00115943"/>
    <w:rsid w:val="001159B4"/>
    <w:rsid w:val="00115EFF"/>
    <w:rsid w:val="00115F21"/>
    <w:rsid w:val="001167B6"/>
    <w:rsid w:val="00117707"/>
    <w:rsid w:val="001179A8"/>
    <w:rsid w:val="00117B40"/>
    <w:rsid w:val="00117BBF"/>
    <w:rsid w:val="00120354"/>
    <w:rsid w:val="00120446"/>
    <w:rsid w:val="0012087B"/>
    <w:rsid w:val="00120A6E"/>
    <w:rsid w:val="00120F5A"/>
    <w:rsid w:val="00120F6E"/>
    <w:rsid w:val="0012127A"/>
    <w:rsid w:val="00121504"/>
    <w:rsid w:val="00121F18"/>
    <w:rsid w:val="001222E3"/>
    <w:rsid w:val="00122388"/>
    <w:rsid w:val="001225F4"/>
    <w:rsid w:val="0012290C"/>
    <w:rsid w:val="00122F67"/>
    <w:rsid w:val="0012319B"/>
    <w:rsid w:val="00123380"/>
    <w:rsid w:val="001233E3"/>
    <w:rsid w:val="00123C75"/>
    <w:rsid w:val="0012414F"/>
    <w:rsid w:val="00124292"/>
    <w:rsid w:val="00124404"/>
    <w:rsid w:val="00124E34"/>
    <w:rsid w:val="00124F7F"/>
    <w:rsid w:val="00125045"/>
    <w:rsid w:val="00125571"/>
    <w:rsid w:val="001259A4"/>
    <w:rsid w:val="00125D21"/>
    <w:rsid w:val="00125D38"/>
    <w:rsid w:val="00126130"/>
    <w:rsid w:val="0012624E"/>
    <w:rsid w:val="00126CF4"/>
    <w:rsid w:val="00126D4B"/>
    <w:rsid w:val="00126FF6"/>
    <w:rsid w:val="00127750"/>
    <w:rsid w:val="001278F0"/>
    <w:rsid w:val="00127C9A"/>
    <w:rsid w:val="0013060F"/>
    <w:rsid w:val="00130924"/>
    <w:rsid w:val="0013146C"/>
    <w:rsid w:val="00132565"/>
    <w:rsid w:val="001325CE"/>
    <w:rsid w:val="0013264D"/>
    <w:rsid w:val="001326D9"/>
    <w:rsid w:val="00132EE5"/>
    <w:rsid w:val="001333FD"/>
    <w:rsid w:val="00133FBD"/>
    <w:rsid w:val="001343CE"/>
    <w:rsid w:val="00134448"/>
    <w:rsid w:val="00134509"/>
    <w:rsid w:val="0013455D"/>
    <w:rsid w:val="00134652"/>
    <w:rsid w:val="001346EF"/>
    <w:rsid w:val="001347DE"/>
    <w:rsid w:val="00134A9A"/>
    <w:rsid w:val="00134A9D"/>
    <w:rsid w:val="00134D2C"/>
    <w:rsid w:val="00135619"/>
    <w:rsid w:val="00135F30"/>
    <w:rsid w:val="00135F37"/>
    <w:rsid w:val="0013679D"/>
    <w:rsid w:val="0013704D"/>
    <w:rsid w:val="0013780C"/>
    <w:rsid w:val="00137994"/>
    <w:rsid w:val="001400E4"/>
    <w:rsid w:val="00140646"/>
    <w:rsid w:val="001409D4"/>
    <w:rsid w:val="00140EB5"/>
    <w:rsid w:val="00141335"/>
    <w:rsid w:val="00141359"/>
    <w:rsid w:val="00141755"/>
    <w:rsid w:val="001419F4"/>
    <w:rsid w:val="0014204A"/>
    <w:rsid w:val="0014307F"/>
    <w:rsid w:val="0014330F"/>
    <w:rsid w:val="00143839"/>
    <w:rsid w:val="00143ACE"/>
    <w:rsid w:val="0014483E"/>
    <w:rsid w:val="001448F5"/>
    <w:rsid w:val="00144B35"/>
    <w:rsid w:val="00144B76"/>
    <w:rsid w:val="00144C56"/>
    <w:rsid w:val="00144C97"/>
    <w:rsid w:val="00144CFA"/>
    <w:rsid w:val="00144DA5"/>
    <w:rsid w:val="00145365"/>
    <w:rsid w:val="001453B1"/>
    <w:rsid w:val="0014577B"/>
    <w:rsid w:val="0014597B"/>
    <w:rsid w:val="00145E6F"/>
    <w:rsid w:val="00145EC7"/>
    <w:rsid w:val="00146642"/>
    <w:rsid w:val="00146705"/>
    <w:rsid w:val="00146EED"/>
    <w:rsid w:val="00147189"/>
    <w:rsid w:val="00147884"/>
    <w:rsid w:val="0014795B"/>
    <w:rsid w:val="00147D13"/>
    <w:rsid w:val="00147DCD"/>
    <w:rsid w:val="0015005B"/>
    <w:rsid w:val="0015062E"/>
    <w:rsid w:val="001508A6"/>
    <w:rsid w:val="00150BA3"/>
    <w:rsid w:val="00150C17"/>
    <w:rsid w:val="00151342"/>
    <w:rsid w:val="001515A3"/>
    <w:rsid w:val="001515AC"/>
    <w:rsid w:val="001519FB"/>
    <w:rsid w:val="00151FAE"/>
    <w:rsid w:val="00152052"/>
    <w:rsid w:val="001525C4"/>
    <w:rsid w:val="001526C0"/>
    <w:rsid w:val="00152910"/>
    <w:rsid w:val="001529E2"/>
    <w:rsid w:val="0015338C"/>
    <w:rsid w:val="0015343C"/>
    <w:rsid w:val="001539CD"/>
    <w:rsid w:val="00154001"/>
    <w:rsid w:val="0015434C"/>
    <w:rsid w:val="00154700"/>
    <w:rsid w:val="001547CA"/>
    <w:rsid w:val="001550C6"/>
    <w:rsid w:val="00155125"/>
    <w:rsid w:val="0015531C"/>
    <w:rsid w:val="001554A6"/>
    <w:rsid w:val="00155832"/>
    <w:rsid w:val="00155C15"/>
    <w:rsid w:val="001561E6"/>
    <w:rsid w:val="00156342"/>
    <w:rsid w:val="00156662"/>
    <w:rsid w:val="00156832"/>
    <w:rsid w:val="001569C0"/>
    <w:rsid w:val="00156A0C"/>
    <w:rsid w:val="00156D9B"/>
    <w:rsid w:val="00156DD9"/>
    <w:rsid w:val="001574D0"/>
    <w:rsid w:val="00160412"/>
    <w:rsid w:val="00160494"/>
    <w:rsid w:val="0016076D"/>
    <w:rsid w:val="00160C4C"/>
    <w:rsid w:val="00160D9B"/>
    <w:rsid w:val="0016138C"/>
    <w:rsid w:val="001616A3"/>
    <w:rsid w:val="001617B3"/>
    <w:rsid w:val="00161843"/>
    <w:rsid w:val="00161BE8"/>
    <w:rsid w:val="00162012"/>
    <w:rsid w:val="001622F6"/>
    <w:rsid w:val="001624C7"/>
    <w:rsid w:val="00162867"/>
    <w:rsid w:val="00162A31"/>
    <w:rsid w:val="00162A74"/>
    <w:rsid w:val="00162BAD"/>
    <w:rsid w:val="00162CFC"/>
    <w:rsid w:val="00162F14"/>
    <w:rsid w:val="00162F20"/>
    <w:rsid w:val="00163257"/>
    <w:rsid w:val="001638D4"/>
    <w:rsid w:val="001639F6"/>
    <w:rsid w:val="00163CC0"/>
    <w:rsid w:val="0016457F"/>
    <w:rsid w:val="001647B3"/>
    <w:rsid w:val="00164BCB"/>
    <w:rsid w:val="00164CED"/>
    <w:rsid w:val="00164DAF"/>
    <w:rsid w:val="0016561A"/>
    <w:rsid w:val="00165BAD"/>
    <w:rsid w:val="00166266"/>
    <w:rsid w:val="001662C5"/>
    <w:rsid w:val="00166383"/>
    <w:rsid w:val="001664F0"/>
    <w:rsid w:val="0016679D"/>
    <w:rsid w:val="00166A7F"/>
    <w:rsid w:val="00166C68"/>
    <w:rsid w:val="00166D77"/>
    <w:rsid w:val="001673DE"/>
    <w:rsid w:val="0016744A"/>
    <w:rsid w:val="001677B0"/>
    <w:rsid w:val="00170590"/>
    <w:rsid w:val="0017075D"/>
    <w:rsid w:val="001711BE"/>
    <w:rsid w:val="00171217"/>
    <w:rsid w:val="00171769"/>
    <w:rsid w:val="001717B0"/>
    <w:rsid w:val="001719E6"/>
    <w:rsid w:val="00171C63"/>
    <w:rsid w:val="0017241C"/>
    <w:rsid w:val="001726AE"/>
    <w:rsid w:val="001727E6"/>
    <w:rsid w:val="0017297C"/>
    <w:rsid w:val="00172E0E"/>
    <w:rsid w:val="001730A6"/>
    <w:rsid w:val="001741B6"/>
    <w:rsid w:val="00174A8C"/>
    <w:rsid w:val="00174CA1"/>
    <w:rsid w:val="00174D8E"/>
    <w:rsid w:val="00175078"/>
    <w:rsid w:val="00175861"/>
    <w:rsid w:val="00175FF2"/>
    <w:rsid w:val="001761B3"/>
    <w:rsid w:val="001762F6"/>
    <w:rsid w:val="00176970"/>
    <w:rsid w:val="00176A64"/>
    <w:rsid w:val="00176AB9"/>
    <w:rsid w:val="00176B4A"/>
    <w:rsid w:val="00176C75"/>
    <w:rsid w:val="00176D2A"/>
    <w:rsid w:val="0017737D"/>
    <w:rsid w:val="00180117"/>
    <w:rsid w:val="001803D3"/>
    <w:rsid w:val="00180694"/>
    <w:rsid w:val="00180938"/>
    <w:rsid w:val="00180CB0"/>
    <w:rsid w:val="00180DE1"/>
    <w:rsid w:val="001811C2"/>
    <w:rsid w:val="00181662"/>
    <w:rsid w:val="001817D5"/>
    <w:rsid w:val="001818E0"/>
    <w:rsid w:val="001819E1"/>
    <w:rsid w:val="00181FD3"/>
    <w:rsid w:val="001821E6"/>
    <w:rsid w:val="0018247A"/>
    <w:rsid w:val="001832C0"/>
    <w:rsid w:val="0018397A"/>
    <w:rsid w:val="00183BDD"/>
    <w:rsid w:val="0018406B"/>
    <w:rsid w:val="001840C8"/>
    <w:rsid w:val="0018422D"/>
    <w:rsid w:val="001845FF"/>
    <w:rsid w:val="0018477F"/>
    <w:rsid w:val="00185654"/>
    <w:rsid w:val="00185743"/>
    <w:rsid w:val="00185F34"/>
    <w:rsid w:val="0018613E"/>
    <w:rsid w:val="0018660C"/>
    <w:rsid w:val="001868F2"/>
    <w:rsid w:val="00187028"/>
    <w:rsid w:val="00187059"/>
    <w:rsid w:val="0018714C"/>
    <w:rsid w:val="001871EE"/>
    <w:rsid w:val="00187496"/>
    <w:rsid w:val="001876D9"/>
    <w:rsid w:val="00187953"/>
    <w:rsid w:val="00187C30"/>
    <w:rsid w:val="001909EC"/>
    <w:rsid w:val="00190F27"/>
    <w:rsid w:val="00190FF1"/>
    <w:rsid w:val="001910CE"/>
    <w:rsid w:val="00191B70"/>
    <w:rsid w:val="00191CB1"/>
    <w:rsid w:val="0019264E"/>
    <w:rsid w:val="00192BEC"/>
    <w:rsid w:val="001930E9"/>
    <w:rsid w:val="00193104"/>
    <w:rsid w:val="00193668"/>
    <w:rsid w:val="00193AEC"/>
    <w:rsid w:val="00193C82"/>
    <w:rsid w:val="00194115"/>
    <w:rsid w:val="001944AF"/>
    <w:rsid w:val="001957F8"/>
    <w:rsid w:val="0019629E"/>
    <w:rsid w:val="00196426"/>
    <w:rsid w:val="00196532"/>
    <w:rsid w:val="00197829"/>
    <w:rsid w:val="00197952"/>
    <w:rsid w:val="00197B91"/>
    <w:rsid w:val="00197C63"/>
    <w:rsid w:val="00197D5C"/>
    <w:rsid w:val="00197DDC"/>
    <w:rsid w:val="001A00DC"/>
    <w:rsid w:val="001A06A7"/>
    <w:rsid w:val="001A07C5"/>
    <w:rsid w:val="001A0CCC"/>
    <w:rsid w:val="001A1048"/>
    <w:rsid w:val="001A19A8"/>
    <w:rsid w:val="001A1EC3"/>
    <w:rsid w:val="001A1FCA"/>
    <w:rsid w:val="001A2063"/>
    <w:rsid w:val="001A2101"/>
    <w:rsid w:val="001A2317"/>
    <w:rsid w:val="001A23B9"/>
    <w:rsid w:val="001A2739"/>
    <w:rsid w:val="001A27F2"/>
    <w:rsid w:val="001A2B7B"/>
    <w:rsid w:val="001A301D"/>
    <w:rsid w:val="001A30F7"/>
    <w:rsid w:val="001A3418"/>
    <w:rsid w:val="001A365A"/>
    <w:rsid w:val="001A3C28"/>
    <w:rsid w:val="001A3D3E"/>
    <w:rsid w:val="001A484B"/>
    <w:rsid w:val="001A48EC"/>
    <w:rsid w:val="001A4D04"/>
    <w:rsid w:val="001A4D29"/>
    <w:rsid w:val="001A4D77"/>
    <w:rsid w:val="001A4E4D"/>
    <w:rsid w:val="001A51A9"/>
    <w:rsid w:val="001A534B"/>
    <w:rsid w:val="001A6299"/>
    <w:rsid w:val="001A63BB"/>
    <w:rsid w:val="001A63D4"/>
    <w:rsid w:val="001A7051"/>
    <w:rsid w:val="001A7174"/>
    <w:rsid w:val="001B0BE9"/>
    <w:rsid w:val="001B10D8"/>
    <w:rsid w:val="001B11A6"/>
    <w:rsid w:val="001B1456"/>
    <w:rsid w:val="001B1655"/>
    <w:rsid w:val="001B1659"/>
    <w:rsid w:val="001B181B"/>
    <w:rsid w:val="001B1A7C"/>
    <w:rsid w:val="001B1D69"/>
    <w:rsid w:val="001B2278"/>
    <w:rsid w:val="001B23CE"/>
    <w:rsid w:val="001B245A"/>
    <w:rsid w:val="001B26EA"/>
    <w:rsid w:val="001B2A46"/>
    <w:rsid w:val="001B3690"/>
    <w:rsid w:val="001B3DDC"/>
    <w:rsid w:val="001B3F92"/>
    <w:rsid w:val="001B4313"/>
    <w:rsid w:val="001B4771"/>
    <w:rsid w:val="001B4A8D"/>
    <w:rsid w:val="001B4D96"/>
    <w:rsid w:val="001B4DDA"/>
    <w:rsid w:val="001B4EAA"/>
    <w:rsid w:val="001B5055"/>
    <w:rsid w:val="001B5960"/>
    <w:rsid w:val="001B60BE"/>
    <w:rsid w:val="001B61CB"/>
    <w:rsid w:val="001B62DA"/>
    <w:rsid w:val="001B643B"/>
    <w:rsid w:val="001B66B4"/>
    <w:rsid w:val="001B68C7"/>
    <w:rsid w:val="001B68D6"/>
    <w:rsid w:val="001B6988"/>
    <w:rsid w:val="001B6EE7"/>
    <w:rsid w:val="001B70E9"/>
    <w:rsid w:val="001B7517"/>
    <w:rsid w:val="001B7835"/>
    <w:rsid w:val="001B79D2"/>
    <w:rsid w:val="001B7C0F"/>
    <w:rsid w:val="001B7DD2"/>
    <w:rsid w:val="001C0373"/>
    <w:rsid w:val="001C03DD"/>
    <w:rsid w:val="001C0904"/>
    <w:rsid w:val="001C0B80"/>
    <w:rsid w:val="001C0D00"/>
    <w:rsid w:val="001C147F"/>
    <w:rsid w:val="001C15CE"/>
    <w:rsid w:val="001C1872"/>
    <w:rsid w:val="001C2944"/>
    <w:rsid w:val="001C2F31"/>
    <w:rsid w:val="001C2F3C"/>
    <w:rsid w:val="001C383D"/>
    <w:rsid w:val="001C3D79"/>
    <w:rsid w:val="001C3F22"/>
    <w:rsid w:val="001C4325"/>
    <w:rsid w:val="001C4977"/>
    <w:rsid w:val="001C4A10"/>
    <w:rsid w:val="001C4C98"/>
    <w:rsid w:val="001C4F2F"/>
    <w:rsid w:val="001C52A0"/>
    <w:rsid w:val="001C52A1"/>
    <w:rsid w:val="001C554F"/>
    <w:rsid w:val="001C5C85"/>
    <w:rsid w:val="001C6370"/>
    <w:rsid w:val="001C6B5A"/>
    <w:rsid w:val="001C74DC"/>
    <w:rsid w:val="001C7605"/>
    <w:rsid w:val="001C7954"/>
    <w:rsid w:val="001C7ABF"/>
    <w:rsid w:val="001C7DDA"/>
    <w:rsid w:val="001C7DF6"/>
    <w:rsid w:val="001D01B4"/>
    <w:rsid w:val="001D0325"/>
    <w:rsid w:val="001D075C"/>
    <w:rsid w:val="001D080D"/>
    <w:rsid w:val="001D0859"/>
    <w:rsid w:val="001D0EC0"/>
    <w:rsid w:val="001D0F90"/>
    <w:rsid w:val="001D1A2B"/>
    <w:rsid w:val="001D2052"/>
    <w:rsid w:val="001D2187"/>
    <w:rsid w:val="001D2A6B"/>
    <w:rsid w:val="001D3045"/>
    <w:rsid w:val="001D3241"/>
    <w:rsid w:val="001D3246"/>
    <w:rsid w:val="001D3B23"/>
    <w:rsid w:val="001D3E5C"/>
    <w:rsid w:val="001D3E90"/>
    <w:rsid w:val="001D45D6"/>
    <w:rsid w:val="001D495D"/>
    <w:rsid w:val="001D4BAC"/>
    <w:rsid w:val="001D4F93"/>
    <w:rsid w:val="001D52BA"/>
    <w:rsid w:val="001D572F"/>
    <w:rsid w:val="001D5EA8"/>
    <w:rsid w:val="001D5FD3"/>
    <w:rsid w:val="001D679F"/>
    <w:rsid w:val="001D6C78"/>
    <w:rsid w:val="001D70E5"/>
    <w:rsid w:val="001D73A7"/>
    <w:rsid w:val="001D7532"/>
    <w:rsid w:val="001D757F"/>
    <w:rsid w:val="001D75D9"/>
    <w:rsid w:val="001D7D43"/>
    <w:rsid w:val="001E0188"/>
    <w:rsid w:val="001E034E"/>
    <w:rsid w:val="001E04D6"/>
    <w:rsid w:val="001E0C1F"/>
    <w:rsid w:val="001E0D87"/>
    <w:rsid w:val="001E0E9B"/>
    <w:rsid w:val="001E1465"/>
    <w:rsid w:val="001E1E22"/>
    <w:rsid w:val="001E1ECD"/>
    <w:rsid w:val="001E201D"/>
    <w:rsid w:val="001E220F"/>
    <w:rsid w:val="001E27E2"/>
    <w:rsid w:val="001E2A30"/>
    <w:rsid w:val="001E2D7D"/>
    <w:rsid w:val="001E35E9"/>
    <w:rsid w:val="001E3784"/>
    <w:rsid w:val="001E3BEA"/>
    <w:rsid w:val="001E44F9"/>
    <w:rsid w:val="001E46E9"/>
    <w:rsid w:val="001E48D5"/>
    <w:rsid w:val="001E4ACE"/>
    <w:rsid w:val="001E53AA"/>
    <w:rsid w:val="001E5415"/>
    <w:rsid w:val="001E5468"/>
    <w:rsid w:val="001E5FDE"/>
    <w:rsid w:val="001E60CB"/>
    <w:rsid w:val="001E6672"/>
    <w:rsid w:val="001E66F8"/>
    <w:rsid w:val="001E6876"/>
    <w:rsid w:val="001E716C"/>
    <w:rsid w:val="001E7F51"/>
    <w:rsid w:val="001F0005"/>
    <w:rsid w:val="001F0260"/>
    <w:rsid w:val="001F06FB"/>
    <w:rsid w:val="001F08CC"/>
    <w:rsid w:val="001F11B0"/>
    <w:rsid w:val="001F1302"/>
    <w:rsid w:val="001F211F"/>
    <w:rsid w:val="001F215A"/>
    <w:rsid w:val="001F241F"/>
    <w:rsid w:val="001F254E"/>
    <w:rsid w:val="001F2585"/>
    <w:rsid w:val="001F2C3B"/>
    <w:rsid w:val="001F2F5E"/>
    <w:rsid w:val="001F3087"/>
    <w:rsid w:val="001F3196"/>
    <w:rsid w:val="001F32FF"/>
    <w:rsid w:val="001F345D"/>
    <w:rsid w:val="001F3594"/>
    <w:rsid w:val="001F36FD"/>
    <w:rsid w:val="001F4269"/>
    <w:rsid w:val="001F446F"/>
    <w:rsid w:val="001F48E5"/>
    <w:rsid w:val="001F52AB"/>
    <w:rsid w:val="001F5670"/>
    <w:rsid w:val="001F6149"/>
    <w:rsid w:val="001F6E3D"/>
    <w:rsid w:val="001F6E5D"/>
    <w:rsid w:val="001F71CA"/>
    <w:rsid w:val="001F745A"/>
    <w:rsid w:val="001F798F"/>
    <w:rsid w:val="001F7AFD"/>
    <w:rsid w:val="001F7C7A"/>
    <w:rsid w:val="001F7C83"/>
    <w:rsid w:val="001F7F6F"/>
    <w:rsid w:val="0020012D"/>
    <w:rsid w:val="00200217"/>
    <w:rsid w:val="00200324"/>
    <w:rsid w:val="002004D0"/>
    <w:rsid w:val="00200B79"/>
    <w:rsid w:val="00200CF0"/>
    <w:rsid w:val="00200E31"/>
    <w:rsid w:val="00200EAB"/>
    <w:rsid w:val="002010C0"/>
    <w:rsid w:val="002011B7"/>
    <w:rsid w:val="0020179B"/>
    <w:rsid w:val="00201E6B"/>
    <w:rsid w:val="0020212F"/>
    <w:rsid w:val="00202925"/>
    <w:rsid w:val="00202CA1"/>
    <w:rsid w:val="0020402F"/>
    <w:rsid w:val="002040B5"/>
    <w:rsid w:val="002045D8"/>
    <w:rsid w:val="00204A82"/>
    <w:rsid w:val="00205638"/>
    <w:rsid w:val="00205776"/>
    <w:rsid w:val="00205E86"/>
    <w:rsid w:val="00206C31"/>
    <w:rsid w:val="0020704C"/>
    <w:rsid w:val="00207261"/>
    <w:rsid w:val="0020754E"/>
    <w:rsid w:val="00207F4E"/>
    <w:rsid w:val="00207F62"/>
    <w:rsid w:val="00210639"/>
    <w:rsid w:val="00210876"/>
    <w:rsid w:val="00210B4D"/>
    <w:rsid w:val="00210C2E"/>
    <w:rsid w:val="00211C85"/>
    <w:rsid w:val="00211C98"/>
    <w:rsid w:val="00212068"/>
    <w:rsid w:val="0021213A"/>
    <w:rsid w:val="002121E2"/>
    <w:rsid w:val="002122CC"/>
    <w:rsid w:val="00212C08"/>
    <w:rsid w:val="00212C9D"/>
    <w:rsid w:val="00212E55"/>
    <w:rsid w:val="00212E66"/>
    <w:rsid w:val="00213176"/>
    <w:rsid w:val="002132B0"/>
    <w:rsid w:val="0021339C"/>
    <w:rsid w:val="00213EB0"/>
    <w:rsid w:val="00213F14"/>
    <w:rsid w:val="00214032"/>
    <w:rsid w:val="002147D9"/>
    <w:rsid w:val="0021483E"/>
    <w:rsid w:val="002148A2"/>
    <w:rsid w:val="002157D9"/>
    <w:rsid w:val="00215B56"/>
    <w:rsid w:val="00215B8B"/>
    <w:rsid w:val="0021694B"/>
    <w:rsid w:val="0021699C"/>
    <w:rsid w:val="00216D3C"/>
    <w:rsid w:val="00217253"/>
    <w:rsid w:val="0021773D"/>
    <w:rsid w:val="00217928"/>
    <w:rsid w:val="00217C67"/>
    <w:rsid w:val="00217CE3"/>
    <w:rsid w:val="00217E7C"/>
    <w:rsid w:val="0022022E"/>
    <w:rsid w:val="002202D0"/>
    <w:rsid w:val="00220858"/>
    <w:rsid w:val="00220BEA"/>
    <w:rsid w:val="00220C24"/>
    <w:rsid w:val="00220D40"/>
    <w:rsid w:val="00221BD1"/>
    <w:rsid w:val="00221E5F"/>
    <w:rsid w:val="00221FB6"/>
    <w:rsid w:val="00222782"/>
    <w:rsid w:val="0022302E"/>
    <w:rsid w:val="0022377F"/>
    <w:rsid w:val="002239B8"/>
    <w:rsid w:val="00223DF0"/>
    <w:rsid w:val="002241CB"/>
    <w:rsid w:val="00224241"/>
    <w:rsid w:val="002246DF"/>
    <w:rsid w:val="002246FA"/>
    <w:rsid w:val="00224955"/>
    <w:rsid w:val="00224B58"/>
    <w:rsid w:val="00224B6B"/>
    <w:rsid w:val="002250E1"/>
    <w:rsid w:val="0022547C"/>
    <w:rsid w:val="002254A0"/>
    <w:rsid w:val="002255C3"/>
    <w:rsid w:val="0022571A"/>
    <w:rsid w:val="002257F8"/>
    <w:rsid w:val="00225BE9"/>
    <w:rsid w:val="00225CA0"/>
    <w:rsid w:val="00226724"/>
    <w:rsid w:val="00226791"/>
    <w:rsid w:val="0022746C"/>
    <w:rsid w:val="00227751"/>
    <w:rsid w:val="0022784D"/>
    <w:rsid w:val="00227CC3"/>
    <w:rsid w:val="00227DB8"/>
    <w:rsid w:val="00227EAE"/>
    <w:rsid w:val="00230062"/>
    <w:rsid w:val="0023024D"/>
    <w:rsid w:val="002302BC"/>
    <w:rsid w:val="00230C27"/>
    <w:rsid w:val="00230E38"/>
    <w:rsid w:val="00231145"/>
    <w:rsid w:val="002312BE"/>
    <w:rsid w:val="002313F5"/>
    <w:rsid w:val="002315BE"/>
    <w:rsid w:val="00231775"/>
    <w:rsid w:val="002322AD"/>
    <w:rsid w:val="00232F80"/>
    <w:rsid w:val="0023485F"/>
    <w:rsid w:val="0023589A"/>
    <w:rsid w:val="00235966"/>
    <w:rsid w:val="00235A38"/>
    <w:rsid w:val="00235BAA"/>
    <w:rsid w:val="00235DE7"/>
    <w:rsid w:val="002362BC"/>
    <w:rsid w:val="00236573"/>
    <w:rsid w:val="002366BD"/>
    <w:rsid w:val="00237527"/>
    <w:rsid w:val="00237D4B"/>
    <w:rsid w:val="00237F56"/>
    <w:rsid w:val="00240304"/>
    <w:rsid w:val="00240584"/>
    <w:rsid w:val="00240753"/>
    <w:rsid w:val="00240928"/>
    <w:rsid w:val="00240980"/>
    <w:rsid w:val="00240D0B"/>
    <w:rsid w:val="0024152D"/>
    <w:rsid w:val="0024162E"/>
    <w:rsid w:val="002417E9"/>
    <w:rsid w:val="002419EC"/>
    <w:rsid w:val="00241A57"/>
    <w:rsid w:val="00241B30"/>
    <w:rsid w:val="00241D3E"/>
    <w:rsid w:val="00241FE1"/>
    <w:rsid w:val="00242404"/>
    <w:rsid w:val="00242661"/>
    <w:rsid w:val="00242795"/>
    <w:rsid w:val="00242A8C"/>
    <w:rsid w:val="00242D6C"/>
    <w:rsid w:val="00243E04"/>
    <w:rsid w:val="0024472B"/>
    <w:rsid w:val="00244A15"/>
    <w:rsid w:val="00244B2A"/>
    <w:rsid w:val="00244F4E"/>
    <w:rsid w:val="002452D7"/>
    <w:rsid w:val="0024536B"/>
    <w:rsid w:val="0024566C"/>
    <w:rsid w:val="00245891"/>
    <w:rsid w:val="002458A9"/>
    <w:rsid w:val="00245CF8"/>
    <w:rsid w:val="00245FF1"/>
    <w:rsid w:val="00246040"/>
    <w:rsid w:val="00246140"/>
    <w:rsid w:val="002464C1"/>
    <w:rsid w:val="00246567"/>
    <w:rsid w:val="002465E2"/>
    <w:rsid w:val="002468A1"/>
    <w:rsid w:val="00246F54"/>
    <w:rsid w:val="00247047"/>
    <w:rsid w:val="0024779C"/>
    <w:rsid w:val="00247841"/>
    <w:rsid w:val="002479ED"/>
    <w:rsid w:val="002502A6"/>
    <w:rsid w:val="002507E8"/>
    <w:rsid w:val="00250E1A"/>
    <w:rsid w:val="00250E40"/>
    <w:rsid w:val="0025104F"/>
    <w:rsid w:val="002510B1"/>
    <w:rsid w:val="0025111E"/>
    <w:rsid w:val="00251559"/>
    <w:rsid w:val="00251717"/>
    <w:rsid w:val="00251AA5"/>
    <w:rsid w:val="00251D94"/>
    <w:rsid w:val="00251E77"/>
    <w:rsid w:val="00251F86"/>
    <w:rsid w:val="002525F6"/>
    <w:rsid w:val="0025297E"/>
    <w:rsid w:val="00252C86"/>
    <w:rsid w:val="00252FF3"/>
    <w:rsid w:val="002536AE"/>
    <w:rsid w:val="00253966"/>
    <w:rsid w:val="00254019"/>
    <w:rsid w:val="0025411B"/>
    <w:rsid w:val="00254506"/>
    <w:rsid w:val="002546F8"/>
    <w:rsid w:val="00254CA7"/>
    <w:rsid w:val="00255044"/>
    <w:rsid w:val="0025505B"/>
    <w:rsid w:val="0025505F"/>
    <w:rsid w:val="00255415"/>
    <w:rsid w:val="00255EC9"/>
    <w:rsid w:val="0025623E"/>
    <w:rsid w:val="002562D7"/>
    <w:rsid w:val="00256661"/>
    <w:rsid w:val="00256AB7"/>
    <w:rsid w:val="00256BDD"/>
    <w:rsid w:val="00256E87"/>
    <w:rsid w:val="00256EB1"/>
    <w:rsid w:val="0025721E"/>
    <w:rsid w:val="0025754A"/>
    <w:rsid w:val="00257657"/>
    <w:rsid w:val="00257A74"/>
    <w:rsid w:val="00257FEA"/>
    <w:rsid w:val="0026015A"/>
    <w:rsid w:val="0026041A"/>
    <w:rsid w:val="00260659"/>
    <w:rsid w:val="0026070E"/>
    <w:rsid w:val="00260AF8"/>
    <w:rsid w:val="00260D7C"/>
    <w:rsid w:val="002613DA"/>
    <w:rsid w:val="00261D00"/>
    <w:rsid w:val="00261DFE"/>
    <w:rsid w:val="00262765"/>
    <w:rsid w:val="0026300D"/>
    <w:rsid w:val="002633B5"/>
    <w:rsid w:val="002636E7"/>
    <w:rsid w:val="002638CD"/>
    <w:rsid w:val="00263AB1"/>
    <w:rsid w:val="00263EA1"/>
    <w:rsid w:val="00264870"/>
    <w:rsid w:val="00264CC7"/>
    <w:rsid w:val="00264F29"/>
    <w:rsid w:val="00265A85"/>
    <w:rsid w:val="00265ACA"/>
    <w:rsid w:val="00266A96"/>
    <w:rsid w:val="00266B4C"/>
    <w:rsid w:val="00266EC8"/>
    <w:rsid w:val="00267084"/>
    <w:rsid w:val="00267BC0"/>
    <w:rsid w:val="00267F8A"/>
    <w:rsid w:val="0027075E"/>
    <w:rsid w:val="00270B59"/>
    <w:rsid w:val="002711E4"/>
    <w:rsid w:val="002715CF"/>
    <w:rsid w:val="002717C5"/>
    <w:rsid w:val="00271BC4"/>
    <w:rsid w:val="00272219"/>
    <w:rsid w:val="00272681"/>
    <w:rsid w:val="002729BE"/>
    <w:rsid w:val="00272A88"/>
    <w:rsid w:val="00273324"/>
    <w:rsid w:val="002743FE"/>
    <w:rsid w:val="002747E4"/>
    <w:rsid w:val="002749FF"/>
    <w:rsid w:val="00274C90"/>
    <w:rsid w:val="002750B5"/>
    <w:rsid w:val="0027536F"/>
    <w:rsid w:val="0027573C"/>
    <w:rsid w:val="00275CA2"/>
    <w:rsid w:val="002760BA"/>
    <w:rsid w:val="00276F89"/>
    <w:rsid w:val="00277806"/>
    <w:rsid w:val="00277858"/>
    <w:rsid w:val="00277932"/>
    <w:rsid w:val="00277A0C"/>
    <w:rsid w:val="00277B87"/>
    <w:rsid w:val="002801DC"/>
    <w:rsid w:val="00280855"/>
    <w:rsid w:val="00280AA8"/>
    <w:rsid w:val="00280BF9"/>
    <w:rsid w:val="00280C71"/>
    <w:rsid w:val="00280D29"/>
    <w:rsid w:val="00280FF5"/>
    <w:rsid w:val="0028102C"/>
    <w:rsid w:val="002810F2"/>
    <w:rsid w:val="00281271"/>
    <w:rsid w:val="00281664"/>
    <w:rsid w:val="002816FA"/>
    <w:rsid w:val="00281736"/>
    <w:rsid w:val="00281963"/>
    <w:rsid w:val="00281BF2"/>
    <w:rsid w:val="00281D3D"/>
    <w:rsid w:val="00281F4E"/>
    <w:rsid w:val="002823D7"/>
    <w:rsid w:val="00282BF9"/>
    <w:rsid w:val="00282DFA"/>
    <w:rsid w:val="002830B5"/>
    <w:rsid w:val="00283223"/>
    <w:rsid w:val="00283A8F"/>
    <w:rsid w:val="00283B51"/>
    <w:rsid w:val="00283C07"/>
    <w:rsid w:val="00283CF0"/>
    <w:rsid w:val="0028409F"/>
    <w:rsid w:val="00284507"/>
    <w:rsid w:val="00284927"/>
    <w:rsid w:val="0028505D"/>
    <w:rsid w:val="002855FC"/>
    <w:rsid w:val="002856C0"/>
    <w:rsid w:val="00285916"/>
    <w:rsid w:val="00285CC0"/>
    <w:rsid w:val="00285E0A"/>
    <w:rsid w:val="00285ECB"/>
    <w:rsid w:val="0028606E"/>
    <w:rsid w:val="002863D5"/>
    <w:rsid w:val="00286A1B"/>
    <w:rsid w:val="00286C0F"/>
    <w:rsid w:val="00286FAB"/>
    <w:rsid w:val="00287BEF"/>
    <w:rsid w:val="00287D37"/>
    <w:rsid w:val="0029086D"/>
    <w:rsid w:val="00290E3A"/>
    <w:rsid w:val="0029162C"/>
    <w:rsid w:val="002916C4"/>
    <w:rsid w:val="00291BD6"/>
    <w:rsid w:val="00291BF5"/>
    <w:rsid w:val="00291EB9"/>
    <w:rsid w:val="002920BE"/>
    <w:rsid w:val="00292D89"/>
    <w:rsid w:val="00292E19"/>
    <w:rsid w:val="00292FB9"/>
    <w:rsid w:val="002938E0"/>
    <w:rsid w:val="00293B58"/>
    <w:rsid w:val="00293BE2"/>
    <w:rsid w:val="00293F36"/>
    <w:rsid w:val="0029437D"/>
    <w:rsid w:val="002943CB"/>
    <w:rsid w:val="002944A8"/>
    <w:rsid w:val="00294647"/>
    <w:rsid w:val="002946AC"/>
    <w:rsid w:val="00294930"/>
    <w:rsid w:val="00294AFB"/>
    <w:rsid w:val="00294C36"/>
    <w:rsid w:val="002952F0"/>
    <w:rsid w:val="00295E84"/>
    <w:rsid w:val="00295ECB"/>
    <w:rsid w:val="00296332"/>
    <w:rsid w:val="00296850"/>
    <w:rsid w:val="0029781C"/>
    <w:rsid w:val="002A0070"/>
    <w:rsid w:val="002A0208"/>
    <w:rsid w:val="002A02A3"/>
    <w:rsid w:val="002A03D5"/>
    <w:rsid w:val="002A0973"/>
    <w:rsid w:val="002A0D84"/>
    <w:rsid w:val="002A0EBC"/>
    <w:rsid w:val="002A1B6A"/>
    <w:rsid w:val="002A1F88"/>
    <w:rsid w:val="002A2A51"/>
    <w:rsid w:val="002A30F7"/>
    <w:rsid w:val="002A3332"/>
    <w:rsid w:val="002A3CC0"/>
    <w:rsid w:val="002A3E0C"/>
    <w:rsid w:val="002A407C"/>
    <w:rsid w:val="002A437F"/>
    <w:rsid w:val="002A49B9"/>
    <w:rsid w:val="002A4A40"/>
    <w:rsid w:val="002A4B79"/>
    <w:rsid w:val="002A4E7F"/>
    <w:rsid w:val="002A4EF9"/>
    <w:rsid w:val="002A518C"/>
    <w:rsid w:val="002A5825"/>
    <w:rsid w:val="002A5DA9"/>
    <w:rsid w:val="002A5E6F"/>
    <w:rsid w:val="002A6017"/>
    <w:rsid w:val="002A6108"/>
    <w:rsid w:val="002A69D6"/>
    <w:rsid w:val="002A6FED"/>
    <w:rsid w:val="002A710D"/>
    <w:rsid w:val="002A7760"/>
    <w:rsid w:val="002A7F42"/>
    <w:rsid w:val="002B0217"/>
    <w:rsid w:val="002B02A4"/>
    <w:rsid w:val="002B056D"/>
    <w:rsid w:val="002B0B74"/>
    <w:rsid w:val="002B0CEC"/>
    <w:rsid w:val="002B11B9"/>
    <w:rsid w:val="002B13F9"/>
    <w:rsid w:val="002B1433"/>
    <w:rsid w:val="002B149C"/>
    <w:rsid w:val="002B1727"/>
    <w:rsid w:val="002B1A87"/>
    <w:rsid w:val="002B2445"/>
    <w:rsid w:val="002B276B"/>
    <w:rsid w:val="002B2987"/>
    <w:rsid w:val="002B2EEE"/>
    <w:rsid w:val="002B3830"/>
    <w:rsid w:val="002B3B27"/>
    <w:rsid w:val="002B3B4F"/>
    <w:rsid w:val="002B3D1C"/>
    <w:rsid w:val="002B40B5"/>
    <w:rsid w:val="002B43F5"/>
    <w:rsid w:val="002B467F"/>
    <w:rsid w:val="002B49FC"/>
    <w:rsid w:val="002B4B4D"/>
    <w:rsid w:val="002B4D00"/>
    <w:rsid w:val="002B535E"/>
    <w:rsid w:val="002B562C"/>
    <w:rsid w:val="002B56D7"/>
    <w:rsid w:val="002B587B"/>
    <w:rsid w:val="002B58A9"/>
    <w:rsid w:val="002B5A81"/>
    <w:rsid w:val="002B5AF2"/>
    <w:rsid w:val="002B6443"/>
    <w:rsid w:val="002B66CE"/>
    <w:rsid w:val="002B6E33"/>
    <w:rsid w:val="002B7968"/>
    <w:rsid w:val="002B7F48"/>
    <w:rsid w:val="002C0D17"/>
    <w:rsid w:val="002C13DD"/>
    <w:rsid w:val="002C1ABE"/>
    <w:rsid w:val="002C1D2A"/>
    <w:rsid w:val="002C1E96"/>
    <w:rsid w:val="002C214D"/>
    <w:rsid w:val="002C26DE"/>
    <w:rsid w:val="002C2940"/>
    <w:rsid w:val="002C2E64"/>
    <w:rsid w:val="002C3009"/>
    <w:rsid w:val="002C37F4"/>
    <w:rsid w:val="002C3850"/>
    <w:rsid w:val="002C38AC"/>
    <w:rsid w:val="002C3D5D"/>
    <w:rsid w:val="002C3DB6"/>
    <w:rsid w:val="002C3E2D"/>
    <w:rsid w:val="002C3F06"/>
    <w:rsid w:val="002C3FB4"/>
    <w:rsid w:val="002C4D76"/>
    <w:rsid w:val="002C51F5"/>
    <w:rsid w:val="002C6099"/>
    <w:rsid w:val="002C636B"/>
    <w:rsid w:val="002C7543"/>
    <w:rsid w:val="002C75BD"/>
    <w:rsid w:val="002C789D"/>
    <w:rsid w:val="002C7F15"/>
    <w:rsid w:val="002D008F"/>
    <w:rsid w:val="002D0A51"/>
    <w:rsid w:val="002D0C55"/>
    <w:rsid w:val="002D1084"/>
    <w:rsid w:val="002D11F3"/>
    <w:rsid w:val="002D1347"/>
    <w:rsid w:val="002D177D"/>
    <w:rsid w:val="002D181F"/>
    <w:rsid w:val="002D1D9A"/>
    <w:rsid w:val="002D23F0"/>
    <w:rsid w:val="002D27A6"/>
    <w:rsid w:val="002D2A87"/>
    <w:rsid w:val="002D2C9E"/>
    <w:rsid w:val="002D3120"/>
    <w:rsid w:val="002D326D"/>
    <w:rsid w:val="002D32F2"/>
    <w:rsid w:val="002D3801"/>
    <w:rsid w:val="002D3956"/>
    <w:rsid w:val="002D3D45"/>
    <w:rsid w:val="002D3F49"/>
    <w:rsid w:val="002D41E2"/>
    <w:rsid w:val="002D43D9"/>
    <w:rsid w:val="002D47E7"/>
    <w:rsid w:val="002D4D02"/>
    <w:rsid w:val="002D4DB3"/>
    <w:rsid w:val="002D4E35"/>
    <w:rsid w:val="002D507D"/>
    <w:rsid w:val="002D52C5"/>
    <w:rsid w:val="002D58EE"/>
    <w:rsid w:val="002D5972"/>
    <w:rsid w:val="002D59C3"/>
    <w:rsid w:val="002D6066"/>
    <w:rsid w:val="002D663D"/>
    <w:rsid w:val="002D6BD9"/>
    <w:rsid w:val="002D6DCA"/>
    <w:rsid w:val="002D6E41"/>
    <w:rsid w:val="002D6EF7"/>
    <w:rsid w:val="002D75E0"/>
    <w:rsid w:val="002D7D3F"/>
    <w:rsid w:val="002E05C1"/>
    <w:rsid w:val="002E08E2"/>
    <w:rsid w:val="002E09D8"/>
    <w:rsid w:val="002E12CE"/>
    <w:rsid w:val="002E12F5"/>
    <w:rsid w:val="002E1F96"/>
    <w:rsid w:val="002E2A3C"/>
    <w:rsid w:val="002E2B46"/>
    <w:rsid w:val="002E2FBC"/>
    <w:rsid w:val="002E356D"/>
    <w:rsid w:val="002E3A12"/>
    <w:rsid w:val="002E3B59"/>
    <w:rsid w:val="002E3D4F"/>
    <w:rsid w:val="002E3FD5"/>
    <w:rsid w:val="002E411D"/>
    <w:rsid w:val="002E4FFD"/>
    <w:rsid w:val="002E51B6"/>
    <w:rsid w:val="002E553D"/>
    <w:rsid w:val="002E588D"/>
    <w:rsid w:val="002E58C9"/>
    <w:rsid w:val="002E5AF1"/>
    <w:rsid w:val="002E5B8A"/>
    <w:rsid w:val="002E5F43"/>
    <w:rsid w:val="002E62DD"/>
    <w:rsid w:val="002E64FA"/>
    <w:rsid w:val="002E6890"/>
    <w:rsid w:val="002E6DDB"/>
    <w:rsid w:val="002E6EB9"/>
    <w:rsid w:val="002E7440"/>
    <w:rsid w:val="002E7769"/>
    <w:rsid w:val="002E7FB3"/>
    <w:rsid w:val="002F0AE3"/>
    <w:rsid w:val="002F0C55"/>
    <w:rsid w:val="002F0E62"/>
    <w:rsid w:val="002F1702"/>
    <w:rsid w:val="002F1EB2"/>
    <w:rsid w:val="002F2226"/>
    <w:rsid w:val="002F2A7D"/>
    <w:rsid w:val="002F3011"/>
    <w:rsid w:val="002F324B"/>
    <w:rsid w:val="002F35F0"/>
    <w:rsid w:val="002F37BD"/>
    <w:rsid w:val="002F39C2"/>
    <w:rsid w:val="002F39D9"/>
    <w:rsid w:val="002F3DDB"/>
    <w:rsid w:val="002F414B"/>
    <w:rsid w:val="002F4413"/>
    <w:rsid w:val="002F455C"/>
    <w:rsid w:val="002F571F"/>
    <w:rsid w:val="002F584B"/>
    <w:rsid w:val="002F587E"/>
    <w:rsid w:val="002F5A4E"/>
    <w:rsid w:val="002F5C50"/>
    <w:rsid w:val="002F5D29"/>
    <w:rsid w:val="002F6102"/>
    <w:rsid w:val="002F625A"/>
    <w:rsid w:val="002F650B"/>
    <w:rsid w:val="002F7281"/>
    <w:rsid w:val="002F7CCB"/>
    <w:rsid w:val="00300694"/>
    <w:rsid w:val="00300A76"/>
    <w:rsid w:val="00300CDF"/>
    <w:rsid w:val="003010FD"/>
    <w:rsid w:val="00301671"/>
    <w:rsid w:val="003016C7"/>
    <w:rsid w:val="00301B2F"/>
    <w:rsid w:val="00301DB5"/>
    <w:rsid w:val="00301E0F"/>
    <w:rsid w:val="00302465"/>
    <w:rsid w:val="00302974"/>
    <w:rsid w:val="00302C04"/>
    <w:rsid w:val="00303B08"/>
    <w:rsid w:val="00303C94"/>
    <w:rsid w:val="00303D19"/>
    <w:rsid w:val="00304160"/>
    <w:rsid w:val="003041B0"/>
    <w:rsid w:val="003043F4"/>
    <w:rsid w:val="0030462D"/>
    <w:rsid w:val="00304924"/>
    <w:rsid w:val="00304941"/>
    <w:rsid w:val="00304E76"/>
    <w:rsid w:val="0030506E"/>
    <w:rsid w:val="00305097"/>
    <w:rsid w:val="00305103"/>
    <w:rsid w:val="00305455"/>
    <w:rsid w:val="00305A54"/>
    <w:rsid w:val="00305AD4"/>
    <w:rsid w:val="003061F0"/>
    <w:rsid w:val="003062BD"/>
    <w:rsid w:val="00307066"/>
    <w:rsid w:val="003073CD"/>
    <w:rsid w:val="0030744A"/>
    <w:rsid w:val="00307857"/>
    <w:rsid w:val="00307F64"/>
    <w:rsid w:val="00310410"/>
    <w:rsid w:val="00310841"/>
    <w:rsid w:val="00310BB5"/>
    <w:rsid w:val="00310C4E"/>
    <w:rsid w:val="00310D66"/>
    <w:rsid w:val="0031171B"/>
    <w:rsid w:val="00311860"/>
    <w:rsid w:val="003120FA"/>
    <w:rsid w:val="00312240"/>
    <w:rsid w:val="00312AD7"/>
    <w:rsid w:val="00312BE0"/>
    <w:rsid w:val="00312C78"/>
    <w:rsid w:val="00313028"/>
    <w:rsid w:val="003130CA"/>
    <w:rsid w:val="00313516"/>
    <w:rsid w:val="003138B6"/>
    <w:rsid w:val="00313B4E"/>
    <w:rsid w:val="00314318"/>
    <w:rsid w:val="003143EF"/>
    <w:rsid w:val="0031447F"/>
    <w:rsid w:val="00314522"/>
    <w:rsid w:val="00314679"/>
    <w:rsid w:val="00314A41"/>
    <w:rsid w:val="00314B63"/>
    <w:rsid w:val="00314D04"/>
    <w:rsid w:val="00315F53"/>
    <w:rsid w:val="00316544"/>
    <w:rsid w:val="003169B5"/>
    <w:rsid w:val="00316E62"/>
    <w:rsid w:val="00316F01"/>
    <w:rsid w:val="00316FA0"/>
    <w:rsid w:val="00317686"/>
    <w:rsid w:val="00317770"/>
    <w:rsid w:val="00317F55"/>
    <w:rsid w:val="003206B5"/>
    <w:rsid w:val="003207A3"/>
    <w:rsid w:val="0032086D"/>
    <w:rsid w:val="00320926"/>
    <w:rsid w:val="00320B35"/>
    <w:rsid w:val="00321417"/>
    <w:rsid w:val="00321647"/>
    <w:rsid w:val="0032184F"/>
    <w:rsid w:val="0032256B"/>
    <w:rsid w:val="00322D0E"/>
    <w:rsid w:val="00323E21"/>
    <w:rsid w:val="00324019"/>
    <w:rsid w:val="003241CF"/>
    <w:rsid w:val="00324223"/>
    <w:rsid w:val="00324376"/>
    <w:rsid w:val="00324F9B"/>
    <w:rsid w:val="003250FA"/>
    <w:rsid w:val="003252C2"/>
    <w:rsid w:val="00325A7F"/>
    <w:rsid w:val="00325C0A"/>
    <w:rsid w:val="0032619B"/>
    <w:rsid w:val="003261FB"/>
    <w:rsid w:val="003262DF"/>
    <w:rsid w:val="00326408"/>
    <w:rsid w:val="003266E1"/>
    <w:rsid w:val="00327D9A"/>
    <w:rsid w:val="00327F66"/>
    <w:rsid w:val="00330FBD"/>
    <w:rsid w:val="00332258"/>
    <w:rsid w:val="003322C3"/>
    <w:rsid w:val="0033252E"/>
    <w:rsid w:val="0033293D"/>
    <w:rsid w:val="00332AC2"/>
    <w:rsid w:val="00333038"/>
    <w:rsid w:val="003333CD"/>
    <w:rsid w:val="0033383F"/>
    <w:rsid w:val="00333E36"/>
    <w:rsid w:val="00333FC2"/>
    <w:rsid w:val="003342A0"/>
    <w:rsid w:val="00334584"/>
    <w:rsid w:val="0033499B"/>
    <w:rsid w:val="00334AD3"/>
    <w:rsid w:val="00334DB0"/>
    <w:rsid w:val="00335742"/>
    <w:rsid w:val="0033590E"/>
    <w:rsid w:val="00335ACD"/>
    <w:rsid w:val="00335BBA"/>
    <w:rsid w:val="00335E22"/>
    <w:rsid w:val="00336264"/>
    <w:rsid w:val="00336780"/>
    <w:rsid w:val="003367CA"/>
    <w:rsid w:val="0033694F"/>
    <w:rsid w:val="00336BBB"/>
    <w:rsid w:val="00336BE4"/>
    <w:rsid w:val="0033758C"/>
    <w:rsid w:val="0033774C"/>
    <w:rsid w:val="00340010"/>
    <w:rsid w:val="003400EB"/>
    <w:rsid w:val="0034049F"/>
    <w:rsid w:val="003404D0"/>
    <w:rsid w:val="00340EEA"/>
    <w:rsid w:val="0034108A"/>
    <w:rsid w:val="00341541"/>
    <w:rsid w:val="00341602"/>
    <w:rsid w:val="0034168F"/>
    <w:rsid w:val="0034172B"/>
    <w:rsid w:val="00341F6A"/>
    <w:rsid w:val="00342CDC"/>
    <w:rsid w:val="00342DA3"/>
    <w:rsid w:val="00343017"/>
    <w:rsid w:val="003438D1"/>
    <w:rsid w:val="003439E7"/>
    <w:rsid w:val="00343B86"/>
    <w:rsid w:val="00343DFE"/>
    <w:rsid w:val="00344226"/>
    <w:rsid w:val="003442FE"/>
    <w:rsid w:val="00344320"/>
    <w:rsid w:val="003446B6"/>
    <w:rsid w:val="00344CE5"/>
    <w:rsid w:val="003454CC"/>
    <w:rsid w:val="00345553"/>
    <w:rsid w:val="00345711"/>
    <w:rsid w:val="0034599B"/>
    <w:rsid w:val="00345CB1"/>
    <w:rsid w:val="0034606C"/>
    <w:rsid w:val="0034618A"/>
    <w:rsid w:val="00346298"/>
    <w:rsid w:val="0034693A"/>
    <w:rsid w:val="00346F7E"/>
    <w:rsid w:val="00347914"/>
    <w:rsid w:val="00347FD9"/>
    <w:rsid w:val="00350112"/>
    <w:rsid w:val="00350351"/>
    <w:rsid w:val="003504A3"/>
    <w:rsid w:val="00350744"/>
    <w:rsid w:val="00350C18"/>
    <w:rsid w:val="00350F11"/>
    <w:rsid w:val="0035131B"/>
    <w:rsid w:val="0035134B"/>
    <w:rsid w:val="00351ABC"/>
    <w:rsid w:val="00351BF2"/>
    <w:rsid w:val="00351D4A"/>
    <w:rsid w:val="00351FE9"/>
    <w:rsid w:val="0035212C"/>
    <w:rsid w:val="003522B9"/>
    <w:rsid w:val="00352303"/>
    <w:rsid w:val="00352403"/>
    <w:rsid w:val="003524AF"/>
    <w:rsid w:val="003525B6"/>
    <w:rsid w:val="0035267B"/>
    <w:rsid w:val="00352968"/>
    <w:rsid w:val="00352C21"/>
    <w:rsid w:val="00352C4C"/>
    <w:rsid w:val="00352E11"/>
    <w:rsid w:val="003531CA"/>
    <w:rsid w:val="0035348F"/>
    <w:rsid w:val="0035362B"/>
    <w:rsid w:val="00354584"/>
    <w:rsid w:val="0035489B"/>
    <w:rsid w:val="00354B15"/>
    <w:rsid w:val="00354CD0"/>
    <w:rsid w:val="00355113"/>
    <w:rsid w:val="00355711"/>
    <w:rsid w:val="00355ECB"/>
    <w:rsid w:val="00355F63"/>
    <w:rsid w:val="00356006"/>
    <w:rsid w:val="0035669F"/>
    <w:rsid w:val="00356CE5"/>
    <w:rsid w:val="00357523"/>
    <w:rsid w:val="003576D6"/>
    <w:rsid w:val="0035796B"/>
    <w:rsid w:val="00357CA4"/>
    <w:rsid w:val="00357DE9"/>
    <w:rsid w:val="00360139"/>
    <w:rsid w:val="003603A2"/>
    <w:rsid w:val="003605C4"/>
    <w:rsid w:val="00360D68"/>
    <w:rsid w:val="00360EE1"/>
    <w:rsid w:val="00361177"/>
    <w:rsid w:val="003617DB"/>
    <w:rsid w:val="0036242A"/>
    <w:rsid w:val="00362489"/>
    <w:rsid w:val="003628C1"/>
    <w:rsid w:val="0036295B"/>
    <w:rsid w:val="00362CB7"/>
    <w:rsid w:val="00362F93"/>
    <w:rsid w:val="0036336F"/>
    <w:rsid w:val="00363740"/>
    <w:rsid w:val="003637E6"/>
    <w:rsid w:val="0036397D"/>
    <w:rsid w:val="00363DE8"/>
    <w:rsid w:val="00363FA8"/>
    <w:rsid w:val="0036407C"/>
    <w:rsid w:val="0036439B"/>
    <w:rsid w:val="00364795"/>
    <w:rsid w:val="0036497F"/>
    <w:rsid w:val="00364A37"/>
    <w:rsid w:val="00364D8D"/>
    <w:rsid w:val="00365B19"/>
    <w:rsid w:val="00365D3A"/>
    <w:rsid w:val="00365F13"/>
    <w:rsid w:val="00365FA4"/>
    <w:rsid w:val="0036619A"/>
    <w:rsid w:val="003661B4"/>
    <w:rsid w:val="003662E2"/>
    <w:rsid w:val="00366D40"/>
    <w:rsid w:val="00366DD6"/>
    <w:rsid w:val="003675E9"/>
    <w:rsid w:val="00367F59"/>
    <w:rsid w:val="0037019C"/>
    <w:rsid w:val="00370810"/>
    <w:rsid w:val="00370C74"/>
    <w:rsid w:val="003712C0"/>
    <w:rsid w:val="00371587"/>
    <w:rsid w:val="003715C7"/>
    <w:rsid w:val="003717C4"/>
    <w:rsid w:val="00371D77"/>
    <w:rsid w:val="003721BF"/>
    <w:rsid w:val="003730A2"/>
    <w:rsid w:val="0037342B"/>
    <w:rsid w:val="00373DAB"/>
    <w:rsid w:val="00373EEE"/>
    <w:rsid w:val="00373F82"/>
    <w:rsid w:val="0037402C"/>
    <w:rsid w:val="003740C1"/>
    <w:rsid w:val="00374605"/>
    <w:rsid w:val="0037496E"/>
    <w:rsid w:val="00374CD8"/>
    <w:rsid w:val="0037502A"/>
    <w:rsid w:val="003752F3"/>
    <w:rsid w:val="00375442"/>
    <w:rsid w:val="003754CC"/>
    <w:rsid w:val="003756F3"/>
    <w:rsid w:val="00375E1C"/>
    <w:rsid w:val="00375E8D"/>
    <w:rsid w:val="00375FE3"/>
    <w:rsid w:val="0037611F"/>
    <w:rsid w:val="0037678F"/>
    <w:rsid w:val="00376929"/>
    <w:rsid w:val="00376B2B"/>
    <w:rsid w:val="003770FE"/>
    <w:rsid w:val="003771AF"/>
    <w:rsid w:val="00377248"/>
    <w:rsid w:val="00377454"/>
    <w:rsid w:val="0037767E"/>
    <w:rsid w:val="00377BB1"/>
    <w:rsid w:val="0038007D"/>
    <w:rsid w:val="003801AB"/>
    <w:rsid w:val="0038099F"/>
    <w:rsid w:val="00380B8D"/>
    <w:rsid w:val="00380C51"/>
    <w:rsid w:val="00381044"/>
    <w:rsid w:val="0038175D"/>
    <w:rsid w:val="0038183C"/>
    <w:rsid w:val="00381C2C"/>
    <w:rsid w:val="00381F10"/>
    <w:rsid w:val="0038232D"/>
    <w:rsid w:val="0038281C"/>
    <w:rsid w:val="003829BF"/>
    <w:rsid w:val="00382B25"/>
    <w:rsid w:val="00382D92"/>
    <w:rsid w:val="0038305F"/>
    <w:rsid w:val="00383288"/>
    <w:rsid w:val="003833F9"/>
    <w:rsid w:val="00383883"/>
    <w:rsid w:val="003841B2"/>
    <w:rsid w:val="00384285"/>
    <w:rsid w:val="00384850"/>
    <w:rsid w:val="00384B30"/>
    <w:rsid w:val="00384BCC"/>
    <w:rsid w:val="00384E3C"/>
    <w:rsid w:val="0038508D"/>
    <w:rsid w:val="003855BD"/>
    <w:rsid w:val="00386083"/>
    <w:rsid w:val="003866AB"/>
    <w:rsid w:val="00386E16"/>
    <w:rsid w:val="00386EA8"/>
    <w:rsid w:val="003870F5"/>
    <w:rsid w:val="00387507"/>
    <w:rsid w:val="003900F0"/>
    <w:rsid w:val="0039013D"/>
    <w:rsid w:val="003904A1"/>
    <w:rsid w:val="0039079E"/>
    <w:rsid w:val="00390866"/>
    <w:rsid w:val="0039092F"/>
    <w:rsid w:val="00390A67"/>
    <w:rsid w:val="00391003"/>
    <w:rsid w:val="003912F3"/>
    <w:rsid w:val="0039150E"/>
    <w:rsid w:val="00391611"/>
    <w:rsid w:val="00391775"/>
    <w:rsid w:val="00391A36"/>
    <w:rsid w:val="00391C30"/>
    <w:rsid w:val="00391D8B"/>
    <w:rsid w:val="003928F1"/>
    <w:rsid w:val="00392D99"/>
    <w:rsid w:val="00392EF2"/>
    <w:rsid w:val="0039342C"/>
    <w:rsid w:val="003935EF"/>
    <w:rsid w:val="003936E2"/>
    <w:rsid w:val="00393DF5"/>
    <w:rsid w:val="00394950"/>
    <w:rsid w:val="00395676"/>
    <w:rsid w:val="00395689"/>
    <w:rsid w:val="00395892"/>
    <w:rsid w:val="003959DE"/>
    <w:rsid w:val="00395C7C"/>
    <w:rsid w:val="00395CCC"/>
    <w:rsid w:val="00396005"/>
    <w:rsid w:val="00396156"/>
    <w:rsid w:val="00396446"/>
    <w:rsid w:val="00396715"/>
    <w:rsid w:val="00396C79"/>
    <w:rsid w:val="00396DC9"/>
    <w:rsid w:val="00396FF7"/>
    <w:rsid w:val="00397207"/>
    <w:rsid w:val="00397528"/>
    <w:rsid w:val="0039759F"/>
    <w:rsid w:val="00397C53"/>
    <w:rsid w:val="00397CE0"/>
    <w:rsid w:val="003A0937"/>
    <w:rsid w:val="003A0AD6"/>
    <w:rsid w:val="003A1046"/>
    <w:rsid w:val="003A10EC"/>
    <w:rsid w:val="003A1467"/>
    <w:rsid w:val="003A1862"/>
    <w:rsid w:val="003A1A3C"/>
    <w:rsid w:val="003A244F"/>
    <w:rsid w:val="003A25D7"/>
    <w:rsid w:val="003A27F9"/>
    <w:rsid w:val="003A2804"/>
    <w:rsid w:val="003A2DAE"/>
    <w:rsid w:val="003A2FE7"/>
    <w:rsid w:val="003A3848"/>
    <w:rsid w:val="003A3C65"/>
    <w:rsid w:val="003A3D9D"/>
    <w:rsid w:val="003A40EB"/>
    <w:rsid w:val="003A4ADE"/>
    <w:rsid w:val="003A4B77"/>
    <w:rsid w:val="003A590B"/>
    <w:rsid w:val="003A5C4C"/>
    <w:rsid w:val="003A5CC5"/>
    <w:rsid w:val="003A64BF"/>
    <w:rsid w:val="003A66E5"/>
    <w:rsid w:val="003A703B"/>
    <w:rsid w:val="003A7152"/>
    <w:rsid w:val="003A75BD"/>
    <w:rsid w:val="003A776A"/>
    <w:rsid w:val="003A7CC3"/>
    <w:rsid w:val="003A7EF5"/>
    <w:rsid w:val="003B093A"/>
    <w:rsid w:val="003B096D"/>
    <w:rsid w:val="003B0BAF"/>
    <w:rsid w:val="003B0F7F"/>
    <w:rsid w:val="003B10D5"/>
    <w:rsid w:val="003B1585"/>
    <w:rsid w:val="003B1AA8"/>
    <w:rsid w:val="003B1ACB"/>
    <w:rsid w:val="003B1C45"/>
    <w:rsid w:val="003B22FC"/>
    <w:rsid w:val="003B25A8"/>
    <w:rsid w:val="003B28CE"/>
    <w:rsid w:val="003B2CE6"/>
    <w:rsid w:val="003B30A2"/>
    <w:rsid w:val="003B328B"/>
    <w:rsid w:val="003B3796"/>
    <w:rsid w:val="003B39C3"/>
    <w:rsid w:val="003B4715"/>
    <w:rsid w:val="003B47AB"/>
    <w:rsid w:val="003B4F96"/>
    <w:rsid w:val="003B53DF"/>
    <w:rsid w:val="003B55A5"/>
    <w:rsid w:val="003B57BB"/>
    <w:rsid w:val="003B6643"/>
    <w:rsid w:val="003B68DE"/>
    <w:rsid w:val="003B6BBD"/>
    <w:rsid w:val="003B6E04"/>
    <w:rsid w:val="003B7098"/>
    <w:rsid w:val="003B72FB"/>
    <w:rsid w:val="003B769B"/>
    <w:rsid w:val="003B7900"/>
    <w:rsid w:val="003B7C0A"/>
    <w:rsid w:val="003B7CED"/>
    <w:rsid w:val="003C028A"/>
    <w:rsid w:val="003C04A3"/>
    <w:rsid w:val="003C05A5"/>
    <w:rsid w:val="003C0BAE"/>
    <w:rsid w:val="003C0C7C"/>
    <w:rsid w:val="003C0CFF"/>
    <w:rsid w:val="003C1515"/>
    <w:rsid w:val="003C1689"/>
    <w:rsid w:val="003C198D"/>
    <w:rsid w:val="003C19DC"/>
    <w:rsid w:val="003C1A1D"/>
    <w:rsid w:val="003C1B33"/>
    <w:rsid w:val="003C1DC0"/>
    <w:rsid w:val="003C202C"/>
    <w:rsid w:val="003C32F7"/>
    <w:rsid w:val="003C3688"/>
    <w:rsid w:val="003C3872"/>
    <w:rsid w:val="003C3D48"/>
    <w:rsid w:val="003C40CC"/>
    <w:rsid w:val="003C4108"/>
    <w:rsid w:val="003C4399"/>
    <w:rsid w:val="003C43C8"/>
    <w:rsid w:val="003C4D8E"/>
    <w:rsid w:val="003C500E"/>
    <w:rsid w:val="003C509D"/>
    <w:rsid w:val="003C5919"/>
    <w:rsid w:val="003C5D53"/>
    <w:rsid w:val="003C6069"/>
    <w:rsid w:val="003C644A"/>
    <w:rsid w:val="003C6D79"/>
    <w:rsid w:val="003C7131"/>
    <w:rsid w:val="003C7158"/>
    <w:rsid w:val="003C73B2"/>
    <w:rsid w:val="003C7D0A"/>
    <w:rsid w:val="003C7D85"/>
    <w:rsid w:val="003C7E22"/>
    <w:rsid w:val="003D0805"/>
    <w:rsid w:val="003D0A4A"/>
    <w:rsid w:val="003D10DA"/>
    <w:rsid w:val="003D11CA"/>
    <w:rsid w:val="003D1219"/>
    <w:rsid w:val="003D1256"/>
    <w:rsid w:val="003D17B5"/>
    <w:rsid w:val="003D19FA"/>
    <w:rsid w:val="003D1AA9"/>
    <w:rsid w:val="003D22D9"/>
    <w:rsid w:val="003D2506"/>
    <w:rsid w:val="003D2772"/>
    <w:rsid w:val="003D2D50"/>
    <w:rsid w:val="003D2FFC"/>
    <w:rsid w:val="003D3657"/>
    <w:rsid w:val="003D379B"/>
    <w:rsid w:val="003D3A68"/>
    <w:rsid w:val="003D4169"/>
    <w:rsid w:val="003D48C5"/>
    <w:rsid w:val="003D49A4"/>
    <w:rsid w:val="003D49B1"/>
    <w:rsid w:val="003D4AC0"/>
    <w:rsid w:val="003D4DA9"/>
    <w:rsid w:val="003D5D64"/>
    <w:rsid w:val="003D5E51"/>
    <w:rsid w:val="003D6A36"/>
    <w:rsid w:val="003D6C2C"/>
    <w:rsid w:val="003D6D63"/>
    <w:rsid w:val="003D7955"/>
    <w:rsid w:val="003D7A54"/>
    <w:rsid w:val="003D7A78"/>
    <w:rsid w:val="003D7F2E"/>
    <w:rsid w:val="003E000C"/>
    <w:rsid w:val="003E0225"/>
    <w:rsid w:val="003E022E"/>
    <w:rsid w:val="003E0599"/>
    <w:rsid w:val="003E05D7"/>
    <w:rsid w:val="003E0703"/>
    <w:rsid w:val="003E1005"/>
    <w:rsid w:val="003E1136"/>
    <w:rsid w:val="003E113B"/>
    <w:rsid w:val="003E13B9"/>
    <w:rsid w:val="003E1C37"/>
    <w:rsid w:val="003E20BB"/>
    <w:rsid w:val="003E25F8"/>
    <w:rsid w:val="003E28EB"/>
    <w:rsid w:val="003E2E39"/>
    <w:rsid w:val="003E3CF9"/>
    <w:rsid w:val="003E41C4"/>
    <w:rsid w:val="003E41CD"/>
    <w:rsid w:val="003E44F1"/>
    <w:rsid w:val="003E4CDC"/>
    <w:rsid w:val="003E4DC9"/>
    <w:rsid w:val="003E4FE0"/>
    <w:rsid w:val="003E520E"/>
    <w:rsid w:val="003E5520"/>
    <w:rsid w:val="003E554F"/>
    <w:rsid w:val="003E57B4"/>
    <w:rsid w:val="003E589D"/>
    <w:rsid w:val="003E59A5"/>
    <w:rsid w:val="003E5D7B"/>
    <w:rsid w:val="003E6776"/>
    <w:rsid w:val="003E7205"/>
    <w:rsid w:val="003E726A"/>
    <w:rsid w:val="003E768A"/>
    <w:rsid w:val="003F0475"/>
    <w:rsid w:val="003F0782"/>
    <w:rsid w:val="003F07F7"/>
    <w:rsid w:val="003F0F18"/>
    <w:rsid w:val="003F1610"/>
    <w:rsid w:val="003F1768"/>
    <w:rsid w:val="003F183B"/>
    <w:rsid w:val="003F192B"/>
    <w:rsid w:val="003F20D9"/>
    <w:rsid w:val="003F2736"/>
    <w:rsid w:val="003F2F48"/>
    <w:rsid w:val="003F3127"/>
    <w:rsid w:val="003F3533"/>
    <w:rsid w:val="003F3CF7"/>
    <w:rsid w:val="003F3EFB"/>
    <w:rsid w:val="003F43E4"/>
    <w:rsid w:val="003F47EA"/>
    <w:rsid w:val="003F488B"/>
    <w:rsid w:val="003F49E2"/>
    <w:rsid w:val="003F4A48"/>
    <w:rsid w:val="003F4EA2"/>
    <w:rsid w:val="003F584B"/>
    <w:rsid w:val="003F5C48"/>
    <w:rsid w:val="003F5D3F"/>
    <w:rsid w:val="003F625C"/>
    <w:rsid w:val="003F6384"/>
    <w:rsid w:val="003F6880"/>
    <w:rsid w:val="003F6D01"/>
    <w:rsid w:val="003F6E2F"/>
    <w:rsid w:val="003F6F59"/>
    <w:rsid w:val="003F70B8"/>
    <w:rsid w:val="003F70DB"/>
    <w:rsid w:val="003F7296"/>
    <w:rsid w:val="003F7647"/>
    <w:rsid w:val="0040037A"/>
    <w:rsid w:val="004007F7"/>
    <w:rsid w:val="00400A2D"/>
    <w:rsid w:val="00400BF5"/>
    <w:rsid w:val="00401555"/>
    <w:rsid w:val="00401696"/>
    <w:rsid w:val="00401A61"/>
    <w:rsid w:val="00401FF5"/>
    <w:rsid w:val="004021BF"/>
    <w:rsid w:val="004022B7"/>
    <w:rsid w:val="004026C1"/>
    <w:rsid w:val="004027A6"/>
    <w:rsid w:val="00402945"/>
    <w:rsid w:val="00403628"/>
    <w:rsid w:val="00403861"/>
    <w:rsid w:val="00404ED5"/>
    <w:rsid w:val="0040501E"/>
    <w:rsid w:val="00405332"/>
    <w:rsid w:val="0040558F"/>
    <w:rsid w:val="004055B7"/>
    <w:rsid w:val="00405B0D"/>
    <w:rsid w:val="004063BC"/>
    <w:rsid w:val="00406729"/>
    <w:rsid w:val="00406966"/>
    <w:rsid w:val="00407089"/>
    <w:rsid w:val="004076E3"/>
    <w:rsid w:val="004077C6"/>
    <w:rsid w:val="00407857"/>
    <w:rsid w:val="0040787A"/>
    <w:rsid w:val="00407C3D"/>
    <w:rsid w:val="00410A3D"/>
    <w:rsid w:val="00410D80"/>
    <w:rsid w:val="00410FCB"/>
    <w:rsid w:val="004114AF"/>
    <w:rsid w:val="00411712"/>
    <w:rsid w:val="00411784"/>
    <w:rsid w:val="0041191C"/>
    <w:rsid w:val="00411F63"/>
    <w:rsid w:val="00411F72"/>
    <w:rsid w:val="004126C9"/>
    <w:rsid w:val="004127C4"/>
    <w:rsid w:val="00412A12"/>
    <w:rsid w:val="00412A1D"/>
    <w:rsid w:val="00413432"/>
    <w:rsid w:val="00413F3E"/>
    <w:rsid w:val="00413FC5"/>
    <w:rsid w:val="004145CE"/>
    <w:rsid w:val="004153E4"/>
    <w:rsid w:val="0041551E"/>
    <w:rsid w:val="00415592"/>
    <w:rsid w:val="00415A13"/>
    <w:rsid w:val="00415AD1"/>
    <w:rsid w:val="00416690"/>
    <w:rsid w:val="00416DC8"/>
    <w:rsid w:val="00417331"/>
    <w:rsid w:val="00417384"/>
    <w:rsid w:val="004200BB"/>
    <w:rsid w:val="004209DF"/>
    <w:rsid w:val="00420BC6"/>
    <w:rsid w:val="00420D81"/>
    <w:rsid w:val="00421154"/>
    <w:rsid w:val="0042161F"/>
    <w:rsid w:val="00421B3C"/>
    <w:rsid w:val="00421B59"/>
    <w:rsid w:val="00421E94"/>
    <w:rsid w:val="00422598"/>
    <w:rsid w:val="00422906"/>
    <w:rsid w:val="00422996"/>
    <w:rsid w:val="00422A25"/>
    <w:rsid w:val="00423AE3"/>
    <w:rsid w:val="00423F61"/>
    <w:rsid w:val="0042448E"/>
    <w:rsid w:val="004248F4"/>
    <w:rsid w:val="004249AC"/>
    <w:rsid w:val="0042581B"/>
    <w:rsid w:val="00425BCB"/>
    <w:rsid w:val="00426292"/>
    <w:rsid w:val="00426BBE"/>
    <w:rsid w:val="00426D28"/>
    <w:rsid w:val="00427683"/>
    <w:rsid w:val="00427855"/>
    <w:rsid w:val="00427C59"/>
    <w:rsid w:val="00427C99"/>
    <w:rsid w:val="00427EE7"/>
    <w:rsid w:val="00427F8D"/>
    <w:rsid w:val="004303DA"/>
    <w:rsid w:val="00430C4B"/>
    <w:rsid w:val="00430F79"/>
    <w:rsid w:val="004318A1"/>
    <w:rsid w:val="004319FA"/>
    <w:rsid w:val="00431CFE"/>
    <w:rsid w:val="00432380"/>
    <w:rsid w:val="00432490"/>
    <w:rsid w:val="00432F33"/>
    <w:rsid w:val="00433199"/>
    <w:rsid w:val="00433336"/>
    <w:rsid w:val="004333BC"/>
    <w:rsid w:val="0043361A"/>
    <w:rsid w:val="00433A9A"/>
    <w:rsid w:val="00434009"/>
    <w:rsid w:val="004342A7"/>
    <w:rsid w:val="00434CA5"/>
    <w:rsid w:val="00435FDC"/>
    <w:rsid w:val="00435FF5"/>
    <w:rsid w:val="0043698D"/>
    <w:rsid w:val="00436A71"/>
    <w:rsid w:val="00436D5E"/>
    <w:rsid w:val="004371B5"/>
    <w:rsid w:val="00437251"/>
    <w:rsid w:val="004375A2"/>
    <w:rsid w:val="00437AE8"/>
    <w:rsid w:val="00437C39"/>
    <w:rsid w:val="00437F0B"/>
    <w:rsid w:val="00437FE6"/>
    <w:rsid w:val="00440071"/>
    <w:rsid w:val="0044018E"/>
    <w:rsid w:val="0044046A"/>
    <w:rsid w:val="0044056E"/>
    <w:rsid w:val="00440729"/>
    <w:rsid w:val="00440C4E"/>
    <w:rsid w:val="00440DAE"/>
    <w:rsid w:val="00441532"/>
    <w:rsid w:val="00441928"/>
    <w:rsid w:val="004420A7"/>
    <w:rsid w:val="0044240D"/>
    <w:rsid w:val="0044241E"/>
    <w:rsid w:val="00442AEC"/>
    <w:rsid w:val="00443A13"/>
    <w:rsid w:val="00443A66"/>
    <w:rsid w:val="00443A70"/>
    <w:rsid w:val="00443BE7"/>
    <w:rsid w:val="00443E3F"/>
    <w:rsid w:val="00443EB5"/>
    <w:rsid w:val="004440A5"/>
    <w:rsid w:val="00444214"/>
    <w:rsid w:val="004446F3"/>
    <w:rsid w:val="00444709"/>
    <w:rsid w:val="00444CE0"/>
    <w:rsid w:val="00444F15"/>
    <w:rsid w:val="004451C7"/>
    <w:rsid w:val="00445DE7"/>
    <w:rsid w:val="0044653C"/>
    <w:rsid w:val="00446754"/>
    <w:rsid w:val="00446773"/>
    <w:rsid w:val="00446996"/>
    <w:rsid w:val="00446AB5"/>
    <w:rsid w:val="00446EAE"/>
    <w:rsid w:val="004473EB"/>
    <w:rsid w:val="00447AD3"/>
    <w:rsid w:val="0045072E"/>
    <w:rsid w:val="0045077D"/>
    <w:rsid w:val="00450DE8"/>
    <w:rsid w:val="00450F0C"/>
    <w:rsid w:val="00451714"/>
    <w:rsid w:val="004517BF"/>
    <w:rsid w:val="00451A58"/>
    <w:rsid w:val="00451ABE"/>
    <w:rsid w:val="00451E81"/>
    <w:rsid w:val="004521CB"/>
    <w:rsid w:val="0045246B"/>
    <w:rsid w:val="00452877"/>
    <w:rsid w:val="004528B0"/>
    <w:rsid w:val="0045348B"/>
    <w:rsid w:val="0045373B"/>
    <w:rsid w:val="004540C0"/>
    <w:rsid w:val="0045476D"/>
    <w:rsid w:val="00454858"/>
    <w:rsid w:val="00454CF4"/>
    <w:rsid w:val="0045538B"/>
    <w:rsid w:val="004554C5"/>
    <w:rsid w:val="004556CA"/>
    <w:rsid w:val="004562EC"/>
    <w:rsid w:val="004564B7"/>
    <w:rsid w:val="0045656A"/>
    <w:rsid w:val="0045695B"/>
    <w:rsid w:val="00456B45"/>
    <w:rsid w:val="00456C24"/>
    <w:rsid w:val="00456CCE"/>
    <w:rsid w:val="00456D14"/>
    <w:rsid w:val="00457534"/>
    <w:rsid w:val="00457C96"/>
    <w:rsid w:val="00457F1A"/>
    <w:rsid w:val="00460A87"/>
    <w:rsid w:val="00460B33"/>
    <w:rsid w:val="004610C5"/>
    <w:rsid w:val="0046159B"/>
    <w:rsid w:val="00461EB4"/>
    <w:rsid w:val="004622E6"/>
    <w:rsid w:val="0046244D"/>
    <w:rsid w:val="00462573"/>
    <w:rsid w:val="00462C48"/>
    <w:rsid w:val="00462DD2"/>
    <w:rsid w:val="0046309D"/>
    <w:rsid w:val="00463377"/>
    <w:rsid w:val="00463B61"/>
    <w:rsid w:val="004641A1"/>
    <w:rsid w:val="00464219"/>
    <w:rsid w:val="00464A9E"/>
    <w:rsid w:val="00465339"/>
    <w:rsid w:val="00465439"/>
    <w:rsid w:val="004659EF"/>
    <w:rsid w:val="00465FF4"/>
    <w:rsid w:val="00466BDC"/>
    <w:rsid w:val="00467050"/>
    <w:rsid w:val="004673E3"/>
    <w:rsid w:val="0046740D"/>
    <w:rsid w:val="00467634"/>
    <w:rsid w:val="0046784E"/>
    <w:rsid w:val="00467E10"/>
    <w:rsid w:val="0047007B"/>
    <w:rsid w:val="004703CF"/>
    <w:rsid w:val="00470B37"/>
    <w:rsid w:val="00470B85"/>
    <w:rsid w:val="00470FFB"/>
    <w:rsid w:val="004711B5"/>
    <w:rsid w:val="00471472"/>
    <w:rsid w:val="004716A2"/>
    <w:rsid w:val="00471827"/>
    <w:rsid w:val="00471AD1"/>
    <w:rsid w:val="00471C32"/>
    <w:rsid w:val="00472371"/>
    <w:rsid w:val="00472400"/>
    <w:rsid w:val="004730F7"/>
    <w:rsid w:val="004731D9"/>
    <w:rsid w:val="00473599"/>
    <w:rsid w:val="00473C0A"/>
    <w:rsid w:val="00473E36"/>
    <w:rsid w:val="004748FE"/>
    <w:rsid w:val="00474C41"/>
    <w:rsid w:val="00474DB1"/>
    <w:rsid w:val="004751FC"/>
    <w:rsid w:val="004760AF"/>
    <w:rsid w:val="004760CE"/>
    <w:rsid w:val="004763EC"/>
    <w:rsid w:val="00476E74"/>
    <w:rsid w:val="00477A96"/>
    <w:rsid w:val="00477AA1"/>
    <w:rsid w:val="00480023"/>
    <w:rsid w:val="0048002A"/>
    <w:rsid w:val="004800E4"/>
    <w:rsid w:val="00480BCE"/>
    <w:rsid w:val="00480F55"/>
    <w:rsid w:val="004812A3"/>
    <w:rsid w:val="00481719"/>
    <w:rsid w:val="00481C64"/>
    <w:rsid w:val="0048276F"/>
    <w:rsid w:val="004828B3"/>
    <w:rsid w:val="004828C3"/>
    <w:rsid w:val="004836B2"/>
    <w:rsid w:val="004839A8"/>
    <w:rsid w:val="00483AC7"/>
    <w:rsid w:val="00483D55"/>
    <w:rsid w:val="00483EAA"/>
    <w:rsid w:val="00484261"/>
    <w:rsid w:val="0048524B"/>
    <w:rsid w:val="00486C35"/>
    <w:rsid w:val="00487199"/>
    <w:rsid w:val="0048749E"/>
    <w:rsid w:val="0048767F"/>
    <w:rsid w:val="00487749"/>
    <w:rsid w:val="004878F0"/>
    <w:rsid w:val="00490529"/>
    <w:rsid w:val="00490AC4"/>
    <w:rsid w:val="00490F31"/>
    <w:rsid w:val="004910B6"/>
    <w:rsid w:val="00491189"/>
    <w:rsid w:val="00491228"/>
    <w:rsid w:val="004914AA"/>
    <w:rsid w:val="00491631"/>
    <w:rsid w:val="0049201F"/>
    <w:rsid w:val="004922A7"/>
    <w:rsid w:val="00492B03"/>
    <w:rsid w:val="00493489"/>
    <w:rsid w:val="004934CE"/>
    <w:rsid w:val="00493B98"/>
    <w:rsid w:val="00493C5B"/>
    <w:rsid w:val="00493E7D"/>
    <w:rsid w:val="00493EC9"/>
    <w:rsid w:val="00494658"/>
    <w:rsid w:val="00495125"/>
    <w:rsid w:val="0049569D"/>
    <w:rsid w:val="00495713"/>
    <w:rsid w:val="00495871"/>
    <w:rsid w:val="00495D68"/>
    <w:rsid w:val="00495E3E"/>
    <w:rsid w:val="004964C2"/>
    <w:rsid w:val="00496A36"/>
    <w:rsid w:val="00497340"/>
    <w:rsid w:val="00497369"/>
    <w:rsid w:val="004973BC"/>
    <w:rsid w:val="00497535"/>
    <w:rsid w:val="004A02D3"/>
    <w:rsid w:val="004A0D97"/>
    <w:rsid w:val="004A0F8C"/>
    <w:rsid w:val="004A1407"/>
    <w:rsid w:val="004A1896"/>
    <w:rsid w:val="004A1B40"/>
    <w:rsid w:val="004A1C25"/>
    <w:rsid w:val="004A1FC0"/>
    <w:rsid w:val="004A2272"/>
    <w:rsid w:val="004A22F3"/>
    <w:rsid w:val="004A279D"/>
    <w:rsid w:val="004A284C"/>
    <w:rsid w:val="004A2964"/>
    <w:rsid w:val="004A2C02"/>
    <w:rsid w:val="004A31FC"/>
    <w:rsid w:val="004A322B"/>
    <w:rsid w:val="004A3244"/>
    <w:rsid w:val="004A35FF"/>
    <w:rsid w:val="004A37CE"/>
    <w:rsid w:val="004A3852"/>
    <w:rsid w:val="004A38AF"/>
    <w:rsid w:val="004A451E"/>
    <w:rsid w:val="004A4BCB"/>
    <w:rsid w:val="004A509B"/>
    <w:rsid w:val="004A51BD"/>
    <w:rsid w:val="004A5364"/>
    <w:rsid w:val="004A5714"/>
    <w:rsid w:val="004A59C9"/>
    <w:rsid w:val="004A5F71"/>
    <w:rsid w:val="004A6666"/>
    <w:rsid w:val="004A6EE0"/>
    <w:rsid w:val="004A72C1"/>
    <w:rsid w:val="004A7A29"/>
    <w:rsid w:val="004A7D70"/>
    <w:rsid w:val="004A7DE0"/>
    <w:rsid w:val="004A7EE9"/>
    <w:rsid w:val="004B043D"/>
    <w:rsid w:val="004B0AA0"/>
    <w:rsid w:val="004B194D"/>
    <w:rsid w:val="004B1C6A"/>
    <w:rsid w:val="004B1F23"/>
    <w:rsid w:val="004B222C"/>
    <w:rsid w:val="004B305C"/>
    <w:rsid w:val="004B3BE0"/>
    <w:rsid w:val="004B3C5C"/>
    <w:rsid w:val="004B473B"/>
    <w:rsid w:val="004B5047"/>
    <w:rsid w:val="004B51DA"/>
    <w:rsid w:val="004B5B0D"/>
    <w:rsid w:val="004B5B35"/>
    <w:rsid w:val="004B5C6A"/>
    <w:rsid w:val="004B5CC0"/>
    <w:rsid w:val="004B5FAD"/>
    <w:rsid w:val="004B6825"/>
    <w:rsid w:val="004B6E37"/>
    <w:rsid w:val="004B7337"/>
    <w:rsid w:val="004B763C"/>
    <w:rsid w:val="004B779B"/>
    <w:rsid w:val="004B78E9"/>
    <w:rsid w:val="004B7A9D"/>
    <w:rsid w:val="004B7B4D"/>
    <w:rsid w:val="004B7BA0"/>
    <w:rsid w:val="004C07E8"/>
    <w:rsid w:val="004C08AD"/>
    <w:rsid w:val="004C0D0C"/>
    <w:rsid w:val="004C0DBE"/>
    <w:rsid w:val="004C0F88"/>
    <w:rsid w:val="004C1295"/>
    <w:rsid w:val="004C1820"/>
    <w:rsid w:val="004C19C0"/>
    <w:rsid w:val="004C1F33"/>
    <w:rsid w:val="004C210B"/>
    <w:rsid w:val="004C224E"/>
    <w:rsid w:val="004C2927"/>
    <w:rsid w:val="004C2A86"/>
    <w:rsid w:val="004C2D1D"/>
    <w:rsid w:val="004C2F61"/>
    <w:rsid w:val="004C3279"/>
    <w:rsid w:val="004C345F"/>
    <w:rsid w:val="004C39AF"/>
    <w:rsid w:val="004C3B68"/>
    <w:rsid w:val="004C3D07"/>
    <w:rsid w:val="004C3E2C"/>
    <w:rsid w:val="004C4AB5"/>
    <w:rsid w:val="004C55B2"/>
    <w:rsid w:val="004C682D"/>
    <w:rsid w:val="004C6AFC"/>
    <w:rsid w:val="004C7416"/>
    <w:rsid w:val="004C7CA1"/>
    <w:rsid w:val="004C7DD6"/>
    <w:rsid w:val="004D0FA5"/>
    <w:rsid w:val="004D100E"/>
    <w:rsid w:val="004D12D0"/>
    <w:rsid w:val="004D1490"/>
    <w:rsid w:val="004D15C2"/>
    <w:rsid w:val="004D16E1"/>
    <w:rsid w:val="004D26C9"/>
    <w:rsid w:val="004D27B9"/>
    <w:rsid w:val="004D28C0"/>
    <w:rsid w:val="004D2E84"/>
    <w:rsid w:val="004D30EE"/>
    <w:rsid w:val="004D376C"/>
    <w:rsid w:val="004D3793"/>
    <w:rsid w:val="004D3B59"/>
    <w:rsid w:val="004D416D"/>
    <w:rsid w:val="004D4695"/>
    <w:rsid w:val="004D4CA4"/>
    <w:rsid w:val="004D53E2"/>
    <w:rsid w:val="004D5554"/>
    <w:rsid w:val="004D5590"/>
    <w:rsid w:val="004D5A89"/>
    <w:rsid w:val="004D5AD1"/>
    <w:rsid w:val="004D5DB0"/>
    <w:rsid w:val="004D65E4"/>
    <w:rsid w:val="004D68E7"/>
    <w:rsid w:val="004D69D2"/>
    <w:rsid w:val="004D6DE1"/>
    <w:rsid w:val="004D6E05"/>
    <w:rsid w:val="004D6FF2"/>
    <w:rsid w:val="004D7496"/>
    <w:rsid w:val="004D7498"/>
    <w:rsid w:val="004D7FA7"/>
    <w:rsid w:val="004E004D"/>
    <w:rsid w:val="004E0595"/>
    <w:rsid w:val="004E1095"/>
    <w:rsid w:val="004E14B0"/>
    <w:rsid w:val="004E1AA3"/>
    <w:rsid w:val="004E1DD1"/>
    <w:rsid w:val="004E1F09"/>
    <w:rsid w:val="004E1F67"/>
    <w:rsid w:val="004E2048"/>
    <w:rsid w:val="004E2489"/>
    <w:rsid w:val="004E2586"/>
    <w:rsid w:val="004E26EE"/>
    <w:rsid w:val="004E2941"/>
    <w:rsid w:val="004E2EBC"/>
    <w:rsid w:val="004E3380"/>
    <w:rsid w:val="004E42E0"/>
    <w:rsid w:val="004E4ABF"/>
    <w:rsid w:val="004E4C2F"/>
    <w:rsid w:val="004E4CDB"/>
    <w:rsid w:val="004E4E3F"/>
    <w:rsid w:val="004E641F"/>
    <w:rsid w:val="004E6435"/>
    <w:rsid w:val="004E678B"/>
    <w:rsid w:val="004E73A8"/>
    <w:rsid w:val="004E7430"/>
    <w:rsid w:val="004E7AE4"/>
    <w:rsid w:val="004F0790"/>
    <w:rsid w:val="004F0A84"/>
    <w:rsid w:val="004F0E5F"/>
    <w:rsid w:val="004F15AE"/>
    <w:rsid w:val="004F1B3A"/>
    <w:rsid w:val="004F1BDC"/>
    <w:rsid w:val="004F2980"/>
    <w:rsid w:val="004F2F37"/>
    <w:rsid w:val="004F3B5B"/>
    <w:rsid w:val="004F3B93"/>
    <w:rsid w:val="004F3C3D"/>
    <w:rsid w:val="004F3D93"/>
    <w:rsid w:val="004F40BB"/>
    <w:rsid w:val="004F45EA"/>
    <w:rsid w:val="004F4B42"/>
    <w:rsid w:val="004F5360"/>
    <w:rsid w:val="004F5370"/>
    <w:rsid w:val="004F55E0"/>
    <w:rsid w:val="004F58CF"/>
    <w:rsid w:val="004F5EEC"/>
    <w:rsid w:val="004F642C"/>
    <w:rsid w:val="004F6815"/>
    <w:rsid w:val="004F69A4"/>
    <w:rsid w:val="004F6BC7"/>
    <w:rsid w:val="004F7027"/>
    <w:rsid w:val="004F750A"/>
    <w:rsid w:val="004F7699"/>
    <w:rsid w:val="004F7919"/>
    <w:rsid w:val="004F79BB"/>
    <w:rsid w:val="004F7C2C"/>
    <w:rsid w:val="00500162"/>
    <w:rsid w:val="00500866"/>
    <w:rsid w:val="00500BBE"/>
    <w:rsid w:val="00500D3A"/>
    <w:rsid w:val="005018C2"/>
    <w:rsid w:val="00501FE5"/>
    <w:rsid w:val="0050206E"/>
    <w:rsid w:val="005021A4"/>
    <w:rsid w:val="005027A3"/>
    <w:rsid w:val="00502925"/>
    <w:rsid w:val="00502E59"/>
    <w:rsid w:val="00503B1E"/>
    <w:rsid w:val="00503E90"/>
    <w:rsid w:val="005041CF"/>
    <w:rsid w:val="0050440E"/>
    <w:rsid w:val="0050471D"/>
    <w:rsid w:val="00504879"/>
    <w:rsid w:val="00504B13"/>
    <w:rsid w:val="00504CC0"/>
    <w:rsid w:val="00505509"/>
    <w:rsid w:val="005056E7"/>
    <w:rsid w:val="0050579C"/>
    <w:rsid w:val="00505CBC"/>
    <w:rsid w:val="00505EB1"/>
    <w:rsid w:val="00505F0B"/>
    <w:rsid w:val="00505F18"/>
    <w:rsid w:val="00506000"/>
    <w:rsid w:val="0050616B"/>
    <w:rsid w:val="005065CD"/>
    <w:rsid w:val="0050694C"/>
    <w:rsid w:val="00506969"/>
    <w:rsid w:val="005069F6"/>
    <w:rsid w:val="0050704E"/>
    <w:rsid w:val="0050710F"/>
    <w:rsid w:val="0050722F"/>
    <w:rsid w:val="0050766C"/>
    <w:rsid w:val="00510179"/>
    <w:rsid w:val="00510F1B"/>
    <w:rsid w:val="0051153D"/>
    <w:rsid w:val="00511576"/>
    <w:rsid w:val="00511A3F"/>
    <w:rsid w:val="00511AC3"/>
    <w:rsid w:val="00511E2E"/>
    <w:rsid w:val="00512296"/>
    <w:rsid w:val="005126A9"/>
    <w:rsid w:val="0051288B"/>
    <w:rsid w:val="00512E7D"/>
    <w:rsid w:val="0051317D"/>
    <w:rsid w:val="00513253"/>
    <w:rsid w:val="00513BAF"/>
    <w:rsid w:val="00514F63"/>
    <w:rsid w:val="00515355"/>
    <w:rsid w:val="00515371"/>
    <w:rsid w:val="005159FF"/>
    <w:rsid w:val="00516091"/>
    <w:rsid w:val="00516199"/>
    <w:rsid w:val="005164D8"/>
    <w:rsid w:val="00516748"/>
    <w:rsid w:val="00516B6D"/>
    <w:rsid w:val="00516D1D"/>
    <w:rsid w:val="00516E62"/>
    <w:rsid w:val="00516EEA"/>
    <w:rsid w:val="00516F6C"/>
    <w:rsid w:val="0051701E"/>
    <w:rsid w:val="005171C0"/>
    <w:rsid w:val="00517440"/>
    <w:rsid w:val="0052017D"/>
    <w:rsid w:val="0052078D"/>
    <w:rsid w:val="00520EA8"/>
    <w:rsid w:val="00521296"/>
    <w:rsid w:val="005217EB"/>
    <w:rsid w:val="00522487"/>
    <w:rsid w:val="0052267A"/>
    <w:rsid w:val="00522C83"/>
    <w:rsid w:val="00522DA0"/>
    <w:rsid w:val="00522E2C"/>
    <w:rsid w:val="0052351F"/>
    <w:rsid w:val="005236E5"/>
    <w:rsid w:val="00523E53"/>
    <w:rsid w:val="0052455B"/>
    <w:rsid w:val="005245EE"/>
    <w:rsid w:val="00525922"/>
    <w:rsid w:val="00525D27"/>
    <w:rsid w:val="00525DB2"/>
    <w:rsid w:val="0052686B"/>
    <w:rsid w:val="0052746A"/>
    <w:rsid w:val="0052760C"/>
    <w:rsid w:val="00530255"/>
    <w:rsid w:val="005302BF"/>
    <w:rsid w:val="00530316"/>
    <w:rsid w:val="00530852"/>
    <w:rsid w:val="005308C6"/>
    <w:rsid w:val="00530B46"/>
    <w:rsid w:val="00530D0E"/>
    <w:rsid w:val="00531000"/>
    <w:rsid w:val="005310A3"/>
    <w:rsid w:val="00531357"/>
    <w:rsid w:val="005316BA"/>
    <w:rsid w:val="00531797"/>
    <w:rsid w:val="0053196B"/>
    <w:rsid w:val="00531CE1"/>
    <w:rsid w:val="00532378"/>
    <w:rsid w:val="0053246E"/>
    <w:rsid w:val="005324D5"/>
    <w:rsid w:val="00532587"/>
    <w:rsid w:val="0053260B"/>
    <w:rsid w:val="00532807"/>
    <w:rsid w:val="005331E3"/>
    <w:rsid w:val="0053351C"/>
    <w:rsid w:val="00533966"/>
    <w:rsid w:val="005339C0"/>
    <w:rsid w:val="005339DB"/>
    <w:rsid w:val="00533E60"/>
    <w:rsid w:val="00534A50"/>
    <w:rsid w:val="00535364"/>
    <w:rsid w:val="0053541A"/>
    <w:rsid w:val="005354C2"/>
    <w:rsid w:val="00535746"/>
    <w:rsid w:val="00535D47"/>
    <w:rsid w:val="00536480"/>
    <w:rsid w:val="0053658A"/>
    <w:rsid w:val="005365F4"/>
    <w:rsid w:val="00536E59"/>
    <w:rsid w:val="005374B4"/>
    <w:rsid w:val="00537FF4"/>
    <w:rsid w:val="00540123"/>
    <w:rsid w:val="00540128"/>
    <w:rsid w:val="00540148"/>
    <w:rsid w:val="005402AE"/>
    <w:rsid w:val="00541169"/>
    <w:rsid w:val="005412DB"/>
    <w:rsid w:val="00541655"/>
    <w:rsid w:val="00541A52"/>
    <w:rsid w:val="00541B01"/>
    <w:rsid w:val="00541DF2"/>
    <w:rsid w:val="005422D7"/>
    <w:rsid w:val="00542E1E"/>
    <w:rsid w:val="005432B4"/>
    <w:rsid w:val="00543782"/>
    <w:rsid w:val="005437B2"/>
    <w:rsid w:val="00543A10"/>
    <w:rsid w:val="00543A5B"/>
    <w:rsid w:val="0054414D"/>
    <w:rsid w:val="00544176"/>
    <w:rsid w:val="00544334"/>
    <w:rsid w:val="0054464B"/>
    <w:rsid w:val="00544ADC"/>
    <w:rsid w:val="00544E8D"/>
    <w:rsid w:val="0054500E"/>
    <w:rsid w:val="00545038"/>
    <w:rsid w:val="0054509A"/>
    <w:rsid w:val="005450A0"/>
    <w:rsid w:val="00545497"/>
    <w:rsid w:val="005459CB"/>
    <w:rsid w:val="00545C5D"/>
    <w:rsid w:val="00547256"/>
    <w:rsid w:val="00547516"/>
    <w:rsid w:val="00547A29"/>
    <w:rsid w:val="00547D49"/>
    <w:rsid w:val="00547EB7"/>
    <w:rsid w:val="00547F6B"/>
    <w:rsid w:val="00547FCE"/>
    <w:rsid w:val="00550B69"/>
    <w:rsid w:val="00550DF6"/>
    <w:rsid w:val="00550FD5"/>
    <w:rsid w:val="00551159"/>
    <w:rsid w:val="005513CE"/>
    <w:rsid w:val="005513EA"/>
    <w:rsid w:val="0055173D"/>
    <w:rsid w:val="005519F7"/>
    <w:rsid w:val="00552A15"/>
    <w:rsid w:val="00552C2A"/>
    <w:rsid w:val="00552D4F"/>
    <w:rsid w:val="00553170"/>
    <w:rsid w:val="005532D2"/>
    <w:rsid w:val="0055336D"/>
    <w:rsid w:val="00553525"/>
    <w:rsid w:val="0055411E"/>
    <w:rsid w:val="00554536"/>
    <w:rsid w:val="00554670"/>
    <w:rsid w:val="00554CB7"/>
    <w:rsid w:val="00555069"/>
    <w:rsid w:val="005552CB"/>
    <w:rsid w:val="0055549D"/>
    <w:rsid w:val="005554DB"/>
    <w:rsid w:val="00555C6B"/>
    <w:rsid w:val="00555E56"/>
    <w:rsid w:val="005565F6"/>
    <w:rsid w:val="0055672F"/>
    <w:rsid w:val="00556F3A"/>
    <w:rsid w:val="00556FBE"/>
    <w:rsid w:val="0055714C"/>
    <w:rsid w:val="00557DD7"/>
    <w:rsid w:val="005603C7"/>
    <w:rsid w:val="005612B3"/>
    <w:rsid w:val="0056198B"/>
    <w:rsid w:val="00561E14"/>
    <w:rsid w:val="00561F57"/>
    <w:rsid w:val="005621C9"/>
    <w:rsid w:val="005621EE"/>
    <w:rsid w:val="00562773"/>
    <w:rsid w:val="00562800"/>
    <w:rsid w:val="00563626"/>
    <w:rsid w:val="005639CD"/>
    <w:rsid w:val="00563A49"/>
    <w:rsid w:val="005646F0"/>
    <w:rsid w:val="00564929"/>
    <w:rsid w:val="00564C6E"/>
    <w:rsid w:val="005654D5"/>
    <w:rsid w:val="0056570B"/>
    <w:rsid w:val="005657D5"/>
    <w:rsid w:val="00565917"/>
    <w:rsid w:val="00565DD9"/>
    <w:rsid w:val="00566211"/>
    <w:rsid w:val="00566533"/>
    <w:rsid w:val="00566723"/>
    <w:rsid w:val="00566A39"/>
    <w:rsid w:val="00566B83"/>
    <w:rsid w:val="00567053"/>
    <w:rsid w:val="005670D5"/>
    <w:rsid w:val="00567176"/>
    <w:rsid w:val="00567492"/>
    <w:rsid w:val="005676CD"/>
    <w:rsid w:val="0056798D"/>
    <w:rsid w:val="00567B42"/>
    <w:rsid w:val="00567E52"/>
    <w:rsid w:val="0057124E"/>
    <w:rsid w:val="005712AB"/>
    <w:rsid w:val="005713AF"/>
    <w:rsid w:val="00571D79"/>
    <w:rsid w:val="00571FBE"/>
    <w:rsid w:val="005723F2"/>
    <w:rsid w:val="0057245B"/>
    <w:rsid w:val="00572463"/>
    <w:rsid w:val="00572845"/>
    <w:rsid w:val="00572E40"/>
    <w:rsid w:val="005735B8"/>
    <w:rsid w:val="00573F98"/>
    <w:rsid w:val="00574CE2"/>
    <w:rsid w:val="00574E3F"/>
    <w:rsid w:val="00574F9C"/>
    <w:rsid w:val="005752A6"/>
    <w:rsid w:val="00575BFC"/>
    <w:rsid w:val="00575D3D"/>
    <w:rsid w:val="00576F47"/>
    <w:rsid w:val="00577127"/>
    <w:rsid w:val="005771B9"/>
    <w:rsid w:val="00577965"/>
    <w:rsid w:val="00577CBB"/>
    <w:rsid w:val="00580171"/>
    <w:rsid w:val="00580A6B"/>
    <w:rsid w:val="00580C8A"/>
    <w:rsid w:val="00580CE9"/>
    <w:rsid w:val="00580D9B"/>
    <w:rsid w:val="00580E44"/>
    <w:rsid w:val="00580FFF"/>
    <w:rsid w:val="005813A7"/>
    <w:rsid w:val="00581459"/>
    <w:rsid w:val="005817F2"/>
    <w:rsid w:val="005818D1"/>
    <w:rsid w:val="005819B7"/>
    <w:rsid w:val="00581B92"/>
    <w:rsid w:val="00581FD2"/>
    <w:rsid w:val="005823C9"/>
    <w:rsid w:val="00582523"/>
    <w:rsid w:val="0058270B"/>
    <w:rsid w:val="00582893"/>
    <w:rsid w:val="00582A0A"/>
    <w:rsid w:val="00582F6E"/>
    <w:rsid w:val="00582FDB"/>
    <w:rsid w:val="00583873"/>
    <w:rsid w:val="00583E25"/>
    <w:rsid w:val="00584195"/>
    <w:rsid w:val="005843F5"/>
    <w:rsid w:val="00584924"/>
    <w:rsid w:val="00584F7E"/>
    <w:rsid w:val="005864A0"/>
    <w:rsid w:val="00587E64"/>
    <w:rsid w:val="005900E2"/>
    <w:rsid w:val="00590A34"/>
    <w:rsid w:val="00590B0F"/>
    <w:rsid w:val="00590BC2"/>
    <w:rsid w:val="00590D80"/>
    <w:rsid w:val="00590EA2"/>
    <w:rsid w:val="00591750"/>
    <w:rsid w:val="00591D54"/>
    <w:rsid w:val="00591DB9"/>
    <w:rsid w:val="0059214E"/>
    <w:rsid w:val="00592857"/>
    <w:rsid w:val="00592A37"/>
    <w:rsid w:val="00592E2B"/>
    <w:rsid w:val="00592F85"/>
    <w:rsid w:val="00592FF3"/>
    <w:rsid w:val="005934D0"/>
    <w:rsid w:val="0059366E"/>
    <w:rsid w:val="00593CFD"/>
    <w:rsid w:val="00594336"/>
    <w:rsid w:val="00594C49"/>
    <w:rsid w:val="00594CCC"/>
    <w:rsid w:val="005953D5"/>
    <w:rsid w:val="005956C8"/>
    <w:rsid w:val="0059571F"/>
    <w:rsid w:val="005957B5"/>
    <w:rsid w:val="00595D6B"/>
    <w:rsid w:val="00595D85"/>
    <w:rsid w:val="00595DC2"/>
    <w:rsid w:val="00595FA9"/>
    <w:rsid w:val="005968A7"/>
    <w:rsid w:val="0059698A"/>
    <w:rsid w:val="00596BBF"/>
    <w:rsid w:val="00596F5C"/>
    <w:rsid w:val="005971F2"/>
    <w:rsid w:val="005972C3"/>
    <w:rsid w:val="00597585"/>
    <w:rsid w:val="0059783F"/>
    <w:rsid w:val="005978B9"/>
    <w:rsid w:val="00597AB2"/>
    <w:rsid w:val="00597AE0"/>
    <w:rsid w:val="005A00ED"/>
    <w:rsid w:val="005A034F"/>
    <w:rsid w:val="005A06EC"/>
    <w:rsid w:val="005A1269"/>
    <w:rsid w:val="005A1317"/>
    <w:rsid w:val="005A1339"/>
    <w:rsid w:val="005A154D"/>
    <w:rsid w:val="005A161E"/>
    <w:rsid w:val="005A1D79"/>
    <w:rsid w:val="005A232F"/>
    <w:rsid w:val="005A23F6"/>
    <w:rsid w:val="005A261F"/>
    <w:rsid w:val="005A2867"/>
    <w:rsid w:val="005A2B4A"/>
    <w:rsid w:val="005A2B6E"/>
    <w:rsid w:val="005A2C6E"/>
    <w:rsid w:val="005A3510"/>
    <w:rsid w:val="005A35EC"/>
    <w:rsid w:val="005A3772"/>
    <w:rsid w:val="005A39D6"/>
    <w:rsid w:val="005A3A8F"/>
    <w:rsid w:val="005A3DAC"/>
    <w:rsid w:val="005A4426"/>
    <w:rsid w:val="005A49F5"/>
    <w:rsid w:val="005A4DF1"/>
    <w:rsid w:val="005A5017"/>
    <w:rsid w:val="005A5102"/>
    <w:rsid w:val="005A5267"/>
    <w:rsid w:val="005A5369"/>
    <w:rsid w:val="005A55E6"/>
    <w:rsid w:val="005A5C95"/>
    <w:rsid w:val="005A5E03"/>
    <w:rsid w:val="005A5EB4"/>
    <w:rsid w:val="005A5FD5"/>
    <w:rsid w:val="005A621D"/>
    <w:rsid w:val="005A6273"/>
    <w:rsid w:val="005A66E9"/>
    <w:rsid w:val="005A6CE8"/>
    <w:rsid w:val="005A6D6B"/>
    <w:rsid w:val="005A6F60"/>
    <w:rsid w:val="005A76EA"/>
    <w:rsid w:val="005A7784"/>
    <w:rsid w:val="005A779A"/>
    <w:rsid w:val="005A7B82"/>
    <w:rsid w:val="005A7E34"/>
    <w:rsid w:val="005B044B"/>
    <w:rsid w:val="005B050B"/>
    <w:rsid w:val="005B0555"/>
    <w:rsid w:val="005B0569"/>
    <w:rsid w:val="005B06D8"/>
    <w:rsid w:val="005B0752"/>
    <w:rsid w:val="005B08D3"/>
    <w:rsid w:val="005B11C4"/>
    <w:rsid w:val="005B1ECF"/>
    <w:rsid w:val="005B200F"/>
    <w:rsid w:val="005B3005"/>
    <w:rsid w:val="005B30C1"/>
    <w:rsid w:val="005B36EF"/>
    <w:rsid w:val="005B3859"/>
    <w:rsid w:val="005B3953"/>
    <w:rsid w:val="005B3A8C"/>
    <w:rsid w:val="005B3D83"/>
    <w:rsid w:val="005B3EFE"/>
    <w:rsid w:val="005B3F98"/>
    <w:rsid w:val="005B4292"/>
    <w:rsid w:val="005B45D0"/>
    <w:rsid w:val="005B47FA"/>
    <w:rsid w:val="005B4A09"/>
    <w:rsid w:val="005B4C4C"/>
    <w:rsid w:val="005B4D9B"/>
    <w:rsid w:val="005B4F04"/>
    <w:rsid w:val="005B52C0"/>
    <w:rsid w:val="005B5479"/>
    <w:rsid w:val="005B5764"/>
    <w:rsid w:val="005B5947"/>
    <w:rsid w:val="005B5CDC"/>
    <w:rsid w:val="005B61A6"/>
    <w:rsid w:val="005B6C21"/>
    <w:rsid w:val="005B6F1A"/>
    <w:rsid w:val="005B71C1"/>
    <w:rsid w:val="005B7966"/>
    <w:rsid w:val="005B7B9C"/>
    <w:rsid w:val="005C048E"/>
    <w:rsid w:val="005C0514"/>
    <w:rsid w:val="005C05D5"/>
    <w:rsid w:val="005C0928"/>
    <w:rsid w:val="005C0A5C"/>
    <w:rsid w:val="005C1011"/>
    <w:rsid w:val="005C1E01"/>
    <w:rsid w:val="005C1FD7"/>
    <w:rsid w:val="005C242A"/>
    <w:rsid w:val="005C2521"/>
    <w:rsid w:val="005C2D8E"/>
    <w:rsid w:val="005C2EEB"/>
    <w:rsid w:val="005C321E"/>
    <w:rsid w:val="005C3701"/>
    <w:rsid w:val="005C3766"/>
    <w:rsid w:val="005C437B"/>
    <w:rsid w:val="005C469A"/>
    <w:rsid w:val="005C49E6"/>
    <w:rsid w:val="005C4F0A"/>
    <w:rsid w:val="005C4F89"/>
    <w:rsid w:val="005C57FB"/>
    <w:rsid w:val="005C6227"/>
    <w:rsid w:val="005C6A23"/>
    <w:rsid w:val="005C6B81"/>
    <w:rsid w:val="005C731E"/>
    <w:rsid w:val="005C751C"/>
    <w:rsid w:val="005C7858"/>
    <w:rsid w:val="005C7AB6"/>
    <w:rsid w:val="005C7D03"/>
    <w:rsid w:val="005D05AA"/>
    <w:rsid w:val="005D05CB"/>
    <w:rsid w:val="005D0634"/>
    <w:rsid w:val="005D0BA3"/>
    <w:rsid w:val="005D0BDD"/>
    <w:rsid w:val="005D0C86"/>
    <w:rsid w:val="005D1F72"/>
    <w:rsid w:val="005D23E0"/>
    <w:rsid w:val="005D246E"/>
    <w:rsid w:val="005D2A0E"/>
    <w:rsid w:val="005D3067"/>
    <w:rsid w:val="005D3248"/>
    <w:rsid w:val="005D337A"/>
    <w:rsid w:val="005D3468"/>
    <w:rsid w:val="005D36BD"/>
    <w:rsid w:val="005D36EB"/>
    <w:rsid w:val="005D3A90"/>
    <w:rsid w:val="005D3AAB"/>
    <w:rsid w:val="005D4304"/>
    <w:rsid w:val="005D45A1"/>
    <w:rsid w:val="005D4EDC"/>
    <w:rsid w:val="005D5153"/>
    <w:rsid w:val="005D515B"/>
    <w:rsid w:val="005D576A"/>
    <w:rsid w:val="005D5E4E"/>
    <w:rsid w:val="005D6015"/>
    <w:rsid w:val="005D6144"/>
    <w:rsid w:val="005D633A"/>
    <w:rsid w:val="005D6398"/>
    <w:rsid w:val="005D6488"/>
    <w:rsid w:val="005D6AA5"/>
    <w:rsid w:val="005D6F48"/>
    <w:rsid w:val="005D7450"/>
    <w:rsid w:val="005D7F6C"/>
    <w:rsid w:val="005E0320"/>
    <w:rsid w:val="005E039B"/>
    <w:rsid w:val="005E03AC"/>
    <w:rsid w:val="005E04BD"/>
    <w:rsid w:val="005E0A4C"/>
    <w:rsid w:val="005E1BCA"/>
    <w:rsid w:val="005E1F78"/>
    <w:rsid w:val="005E249F"/>
    <w:rsid w:val="005E24F9"/>
    <w:rsid w:val="005E25CA"/>
    <w:rsid w:val="005E2BD9"/>
    <w:rsid w:val="005E2D39"/>
    <w:rsid w:val="005E2D5B"/>
    <w:rsid w:val="005E2EE7"/>
    <w:rsid w:val="005E338E"/>
    <w:rsid w:val="005E34F3"/>
    <w:rsid w:val="005E3C07"/>
    <w:rsid w:val="005E3C84"/>
    <w:rsid w:val="005E4131"/>
    <w:rsid w:val="005E427A"/>
    <w:rsid w:val="005E429E"/>
    <w:rsid w:val="005E44EC"/>
    <w:rsid w:val="005E450C"/>
    <w:rsid w:val="005E461A"/>
    <w:rsid w:val="005E4776"/>
    <w:rsid w:val="005E4DDF"/>
    <w:rsid w:val="005E4FBF"/>
    <w:rsid w:val="005E50EF"/>
    <w:rsid w:val="005E54B0"/>
    <w:rsid w:val="005E5ADE"/>
    <w:rsid w:val="005E5D6D"/>
    <w:rsid w:val="005E5EAB"/>
    <w:rsid w:val="005E61FB"/>
    <w:rsid w:val="005E6B81"/>
    <w:rsid w:val="005E6C5C"/>
    <w:rsid w:val="005E7223"/>
    <w:rsid w:val="005E781F"/>
    <w:rsid w:val="005E7C02"/>
    <w:rsid w:val="005E7C27"/>
    <w:rsid w:val="005F00F6"/>
    <w:rsid w:val="005F07EF"/>
    <w:rsid w:val="005F094B"/>
    <w:rsid w:val="005F0B45"/>
    <w:rsid w:val="005F0FE8"/>
    <w:rsid w:val="005F11A9"/>
    <w:rsid w:val="005F11D7"/>
    <w:rsid w:val="005F170B"/>
    <w:rsid w:val="005F1B5C"/>
    <w:rsid w:val="005F1BE2"/>
    <w:rsid w:val="005F1BE4"/>
    <w:rsid w:val="005F1C2F"/>
    <w:rsid w:val="005F1C90"/>
    <w:rsid w:val="005F2210"/>
    <w:rsid w:val="005F252F"/>
    <w:rsid w:val="005F274B"/>
    <w:rsid w:val="005F2DE6"/>
    <w:rsid w:val="005F2E2B"/>
    <w:rsid w:val="005F3538"/>
    <w:rsid w:val="005F49BE"/>
    <w:rsid w:val="005F4BA6"/>
    <w:rsid w:val="005F4EC9"/>
    <w:rsid w:val="005F4F85"/>
    <w:rsid w:val="005F54DB"/>
    <w:rsid w:val="005F57FC"/>
    <w:rsid w:val="005F5E07"/>
    <w:rsid w:val="005F655C"/>
    <w:rsid w:val="005F69BF"/>
    <w:rsid w:val="005F6B0E"/>
    <w:rsid w:val="005F6D27"/>
    <w:rsid w:val="005F744A"/>
    <w:rsid w:val="005F7867"/>
    <w:rsid w:val="006001EA"/>
    <w:rsid w:val="00600225"/>
    <w:rsid w:val="006002BC"/>
    <w:rsid w:val="006003DE"/>
    <w:rsid w:val="00600820"/>
    <w:rsid w:val="00600EEF"/>
    <w:rsid w:val="00600F02"/>
    <w:rsid w:val="006010B9"/>
    <w:rsid w:val="00601471"/>
    <w:rsid w:val="006022D2"/>
    <w:rsid w:val="006023D5"/>
    <w:rsid w:val="00602518"/>
    <w:rsid w:val="00602667"/>
    <w:rsid w:val="00602A78"/>
    <w:rsid w:val="00602C9F"/>
    <w:rsid w:val="006032F4"/>
    <w:rsid w:val="0060339F"/>
    <w:rsid w:val="00603570"/>
    <w:rsid w:val="00603D18"/>
    <w:rsid w:val="00603D65"/>
    <w:rsid w:val="00604311"/>
    <w:rsid w:val="00604615"/>
    <w:rsid w:val="00604A39"/>
    <w:rsid w:val="00604CA1"/>
    <w:rsid w:val="00605046"/>
    <w:rsid w:val="00605104"/>
    <w:rsid w:val="00605C3E"/>
    <w:rsid w:val="00605FAA"/>
    <w:rsid w:val="00605FF1"/>
    <w:rsid w:val="006060AB"/>
    <w:rsid w:val="0060613B"/>
    <w:rsid w:val="0060632D"/>
    <w:rsid w:val="006068D8"/>
    <w:rsid w:val="00606C57"/>
    <w:rsid w:val="00606FF8"/>
    <w:rsid w:val="006070B2"/>
    <w:rsid w:val="0060784D"/>
    <w:rsid w:val="00607AEB"/>
    <w:rsid w:val="0061018D"/>
    <w:rsid w:val="00610499"/>
    <w:rsid w:val="00610794"/>
    <w:rsid w:val="0061126B"/>
    <w:rsid w:val="00611608"/>
    <w:rsid w:val="006118DC"/>
    <w:rsid w:val="006119CD"/>
    <w:rsid w:val="00611D1C"/>
    <w:rsid w:val="00612415"/>
    <w:rsid w:val="0061247F"/>
    <w:rsid w:val="00612558"/>
    <w:rsid w:val="00612824"/>
    <w:rsid w:val="00612C13"/>
    <w:rsid w:val="00612D64"/>
    <w:rsid w:val="00612FB8"/>
    <w:rsid w:val="00613871"/>
    <w:rsid w:val="00613CB3"/>
    <w:rsid w:val="00613DFA"/>
    <w:rsid w:val="00613EB3"/>
    <w:rsid w:val="00614110"/>
    <w:rsid w:val="00614840"/>
    <w:rsid w:val="0061489B"/>
    <w:rsid w:val="00614B7B"/>
    <w:rsid w:val="006158F5"/>
    <w:rsid w:val="00615E51"/>
    <w:rsid w:val="00616026"/>
    <w:rsid w:val="00616466"/>
    <w:rsid w:val="00616587"/>
    <w:rsid w:val="00616E70"/>
    <w:rsid w:val="00616EFC"/>
    <w:rsid w:val="00616FF9"/>
    <w:rsid w:val="006170BE"/>
    <w:rsid w:val="006176D9"/>
    <w:rsid w:val="00617AFE"/>
    <w:rsid w:val="00617B92"/>
    <w:rsid w:val="00617BE0"/>
    <w:rsid w:val="00617C6C"/>
    <w:rsid w:val="006202B9"/>
    <w:rsid w:val="0062055C"/>
    <w:rsid w:val="00620718"/>
    <w:rsid w:val="006209E4"/>
    <w:rsid w:val="00620E86"/>
    <w:rsid w:val="00620E92"/>
    <w:rsid w:val="00621054"/>
    <w:rsid w:val="0062123F"/>
    <w:rsid w:val="00621561"/>
    <w:rsid w:val="00621939"/>
    <w:rsid w:val="006219C5"/>
    <w:rsid w:val="00621B63"/>
    <w:rsid w:val="00622987"/>
    <w:rsid w:val="00622B6F"/>
    <w:rsid w:val="0062309E"/>
    <w:rsid w:val="00623761"/>
    <w:rsid w:val="00623AD4"/>
    <w:rsid w:val="006240EF"/>
    <w:rsid w:val="0062476F"/>
    <w:rsid w:val="0062485E"/>
    <w:rsid w:val="00624BEF"/>
    <w:rsid w:val="00624C3C"/>
    <w:rsid w:val="00624CCB"/>
    <w:rsid w:val="00624ED5"/>
    <w:rsid w:val="0062515E"/>
    <w:rsid w:val="006253F9"/>
    <w:rsid w:val="00625CCD"/>
    <w:rsid w:val="00625D61"/>
    <w:rsid w:val="006263DE"/>
    <w:rsid w:val="00626B73"/>
    <w:rsid w:val="00626DBE"/>
    <w:rsid w:val="00627422"/>
    <w:rsid w:val="006278C9"/>
    <w:rsid w:val="00627A1D"/>
    <w:rsid w:val="00627ED8"/>
    <w:rsid w:val="006301C2"/>
    <w:rsid w:val="006302B1"/>
    <w:rsid w:val="00630575"/>
    <w:rsid w:val="006306D3"/>
    <w:rsid w:val="0063094D"/>
    <w:rsid w:val="00630A17"/>
    <w:rsid w:val="00630D40"/>
    <w:rsid w:val="00630DBA"/>
    <w:rsid w:val="00630DCE"/>
    <w:rsid w:val="00630ED0"/>
    <w:rsid w:val="0063140E"/>
    <w:rsid w:val="006314EF"/>
    <w:rsid w:val="006315D9"/>
    <w:rsid w:val="006316DC"/>
    <w:rsid w:val="00631844"/>
    <w:rsid w:val="00631D65"/>
    <w:rsid w:val="00631FA7"/>
    <w:rsid w:val="006324E2"/>
    <w:rsid w:val="00632577"/>
    <w:rsid w:val="00632CDD"/>
    <w:rsid w:val="0063334C"/>
    <w:rsid w:val="006333D0"/>
    <w:rsid w:val="00633856"/>
    <w:rsid w:val="00633969"/>
    <w:rsid w:val="006339D0"/>
    <w:rsid w:val="00633A7B"/>
    <w:rsid w:val="00633DE3"/>
    <w:rsid w:val="00633F7C"/>
    <w:rsid w:val="0063441D"/>
    <w:rsid w:val="0063477F"/>
    <w:rsid w:val="00635029"/>
    <w:rsid w:val="0063507D"/>
    <w:rsid w:val="006352ED"/>
    <w:rsid w:val="00635572"/>
    <w:rsid w:val="00635616"/>
    <w:rsid w:val="006356AF"/>
    <w:rsid w:val="00635EC3"/>
    <w:rsid w:val="00636082"/>
    <w:rsid w:val="006362AE"/>
    <w:rsid w:val="00636A3E"/>
    <w:rsid w:val="00636E2B"/>
    <w:rsid w:val="0063733C"/>
    <w:rsid w:val="006373C7"/>
    <w:rsid w:val="0063774A"/>
    <w:rsid w:val="0063796B"/>
    <w:rsid w:val="00637A08"/>
    <w:rsid w:val="00637EE1"/>
    <w:rsid w:val="006405FD"/>
    <w:rsid w:val="006409A1"/>
    <w:rsid w:val="00640C43"/>
    <w:rsid w:val="00641463"/>
    <w:rsid w:val="00642526"/>
    <w:rsid w:val="00642716"/>
    <w:rsid w:val="006429C7"/>
    <w:rsid w:val="006429EB"/>
    <w:rsid w:val="00643440"/>
    <w:rsid w:val="00643CD3"/>
    <w:rsid w:val="00643DE3"/>
    <w:rsid w:val="00644433"/>
    <w:rsid w:val="00645777"/>
    <w:rsid w:val="00645A76"/>
    <w:rsid w:val="00645F30"/>
    <w:rsid w:val="00646020"/>
    <w:rsid w:val="00646129"/>
    <w:rsid w:val="006463BF"/>
    <w:rsid w:val="00646997"/>
    <w:rsid w:val="00646B45"/>
    <w:rsid w:val="00646FA9"/>
    <w:rsid w:val="006473A0"/>
    <w:rsid w:val="006473CF"/>
    <w:rsid w:val="006476E4"/>
    <w:rsid w:val="00647746"/>
    <w:rsid w:val="0064794F"/>
    <w:rsid w:val="00647B6A"/>
    <w:rsid w:val="006500B2"/>
    <w:rsid w:val="00651448"/>
    <w:rsid w:val="00651548"/>
    <w:rsid w:val="00651836"/>
    <w:rsid w:val="00651C2F"/>
    <w:rsid w:val="00651DA2"/>
    <w:rsid w:val="00651E87"/>
    <w:rsid w:val="0065254C"/>
    <w:rsid w:val="00652FF8"/>
    <w:rsid w:val="00653682"/>
    <w:rsid w:val="00653B9B"/>
    <w:rsid w:val="00653DEC"/>
    <w:rsid w:val="00653EEF"/>
    <w:rsid w:val="00654226"/>
    <w:rsid w:val="00654CB8"/>
    <w:rsid w:val="006551BD"/>
    <w:rsid w:val="006552FA"/>
    <w:rsid w:val="00655669"/>
    <w:rsid w:val="00655917"/>
    <w:rsid w:val="00655B41"/>
    <w:rsid w:val="00655C8B"/>
    <w:rsid w:val="00655F49"/>
    <w:rsid w:val="00656319"/>
    <w:rsid w:val="00656980"/>
    <w:rsid w:val="006572C4"/>
    <w:rsid w:val="00657539"/>
    <w:rsid w:val="0065762A"/>
    <w:rsid w:val="00657CEC"/>
    <w:rsid w:val="00657E63"/>
    <w:rsid w:val="00660641"/>
    <w:rsid w:val="0066074F"/>
    <w:rsid w:val="006607CE"/>
    <w:rsid w:val="0066096B"/>
    <w:rsid w:val="0066151B"/>
    <w:rsid w:val="006619D9"/>
    <w:rsid w:val="00661A1B"/>
    <w:rsid w:val="00661E2D"/>
    <w:rsid w:val="00661E75"/>
    <w:rsid w:val="00662134"/>
    <w:rsid w:val="006624CF"/>
    <w:rsid w:val="00662612"/>
    <w:rsid w:val="006627F4"/>
    <w:rsid w:val="006628AA"/>
    <w:rsid w:val="00662F95"/>
    <w:rsid w:val="0066390D"/>
    <w:rsid w:val="00663C2B"/>
    <w:rsid w:val="00663E58"/>
    <w:rsid w:val="00663F8E"/>
    <w:rsid w:val="006643C6"/>
    <w:rsid w:val="00664B7E"/>
    <w:rsid w:val="00664F94"/>
    <w:rsid w:val="00664FF7"/>
    <w:rsid w:val="00665127"/>
    <w:rsid w:val="006652A0"/>
    <w:rsid w:val="006658CE"/>
    <w:rsid w:val="00665D0B"/>
    <w:rsid w:val="00665E73"/>
    <w:rsid w:val="0066632D"/>
    <w:rsid w:val="0066691B"/>
    <w:rsid w:val="00666B5C"/>
    <w:rsid w:val="00666CFD"/>
    <w:rsid w:val="00666E5C"/>
    <w:rsid w:val="00667407"/>
    <w:rsid w:val="00667553"/>
    <w:rsid w:val="0067003C"/>
    <w:rsid w:val="00670073"/>
    <w:rsid w:val="0067069F"/>
    <w:rsid w:val="00670A6A"/>
    <w:rsid w:val="00670ACD"/>
    <w:rsid w:val="006713DA"/>
    <w:rsid w:val="00671485"/>
    <w:rsid w:val="00671508"/>
    <w:rsid w:val="00671AFC"/>
    <w:rsid w:val="00671B7E"/>
    <w:rsid w:val="00671DE5"/>
    <w:rsid w:val="00671E6A"/>
    <w:rsid w:val="006721D2"/>
    <w:rsid w:val="006722F1"/>
    <w:rsid w:val="00672E8F"/>
    <w:rsid w:val="00673572"/>
    <w:rsid w:val="00673E4D"/>
    <w:rsid w:val="00674535"/>
    <w:rsid w:val="00674AC4"/>
    <w:rsid w:val="00674AE3"/>
    <w:rsid w:val="00674D80"/>
    <w:rsid w:val="00675D3B"/>
    <w:rsid w:val="00675E37"/>
    <w:rsid w:val="00675F76"/>
    <w:rsid w:val="00676468"/>
    <w:rsid w:val="006766FB"/>
    <w:rsid w:val="00676B8E"/>
    <w:rsid w:val="00677268"/>
    <w:rsid w:val="006803C9"/>
    <w:rsid w:val="00680646"/>
    <w:rsid w:val="006807E0"/>
    <w:rsid w:val="00680909"/>
    <w:rsid w:val="00680CF1"/>
    <w:rsid w:val="00681050"/>
    <w:rsid w:val="006810A9"/>
    <w:rsid w:val="0068110B"/>
    <w:rsid w:val="006814A9"/>
    <w:rsid w:val="00681CFA"/>
    <w:rsid w:val="006823E4"/>
    <w:rsid w:val="00682449"/>
    <w:rsid w:val="00682824"/>
    <w:rsid w:val="00682B31"/>
    <w:rsid w:val="00682B6E"/>
    <w:rsid w:val="00682D3B"/>
    <w:rsid w:val="00682FB3"/>
    <w:rsid w:val="006830A7"/>
    <w:rsid w:val="00683926"/>
    <w:rsid w:val="00683BD2"/>
    <w:rsid w:val="00683DAC"/>
    <w:rsid w:val="00683F41"/>
    <w:rsid w:val="00683F9C"/>
    <w:rsid w:val="006841CD"/>
    <w:rsid w:val="00684471"/>
    <w:rsid w:val="006847C4"/>
    <w:rsid w:val="00684A52"/>
    <w:rsid w:val="00684A5C"/>
    <w:rsid w:val="00684B2C"/>
    <w:rsid w:val="00684EEB"/>
    <w:rsid w:val="006856D6"/>
    <w:rsid w:val="00687257"/>
    <w:rsid w:val="00687426"/>
    <w:rsid w:val="006878E8"/>
    <w:rsid w:val="00687A54"/>
    <w:rsid w:val="00687D22"/>
    <w:rsid w:val="00690105"/>
    <w:rsid w:val="0069010A"/>
    <w:rsid w:val="006901D5"/>
    <w:rsid w:val="00690354"/>
    <w:rsid w:val="00690BCA"/>
    <w:rsid w:val="00690C00"/>
    <w:rsid w:val="00691D2D"/>
    <w:rsid w:val="006927AB"/>
    <w:rsid w:val="006928DB"/>
    <w:rsid w:val="00692DE0"/>
    <w:rsid w:val="0069300A"/>
    <w:rsid w:val="00693438"/>
    <w:rsid w:val="00693A62"/>
    <w:rsid w:val="00693A83"/>
    <w:rsid w:val="00693BD6"/>
    <w:rsid w:val="00693F91"/>
    <w:rsid w:val="00694085"/>
    <w:rsid w:val="00694249"/>
    <w:rsid w:val="006947B8"/>
    <w:rsid w:val="00694922"/>
    <w:rsid w:val="006949BB"/>
    <w:rsid w:val="00694C13"/>
    <w:rsid w:val="00694ECF"/>
    <w:rsid w:val="006955DB"/>
    <w:rsid w:val="00695709"/>
    <w:rsid w:val="00695769"/>
    <w:rsid w:val="00695C11"/>
    <w:rsid w:val="00695FF0"/>
    <w:rsid w:val="00696556"/>
    <w:rsid w:val="006966FF"/>
    <w:rsid w:val="00696C0E"/>
    <w:rsid w:val="00697725"/>
    <w:rsid w:val="00697942"/>
    <w:rsid w:val="00697C03"/>
    <w:rsid w:val="006A0697"/>
    <w:rsid w:val="006A0935"/>
    <w:rsid w:val="006A09CE"/>
    <w:rsid w:val="006A0A09"/>
    <w:rsid w:val="006A0BF7"/>
    <w:rsid w:val="006A111F"/>
    <w:rsid w:val="006A16CC"/>
    <w:rsid w:val="006A17D4"/>
    <w:rsid w:val="006A19B2"/>
    <w:rsid w:val="006A1CA3"/>
    <w:rsid w:val="006A1D73"/>
    <w:rsid w:val="006A1F39"/>
    <w:rsid w:val="006A22FD"/>
    <w:rsid w:val="006A243B"/>
    <w:rsid w:val="006A243F"/>
    <w:rsid w:val="006A250E"/>
    <w:rsid w:val="006A2717"/>
    <w:rsid w:val="006A27C5"/>
    <w:rsid w:val="006A2C64"/>
    <w:rsid w:val="006A32F0"/>
    <w:rsid w:val="006A3A5D"/>
    <w:rsid w:val="006A4427"/>
    <w:rsid w:val="006A44F0"/>
    <w:rsid w:val="006A456E"/>
    <w:rsid w:val="006A471A"/>
    <w:rsid w:val="006A4A02"/>
    <w:rsid w:val="006A4C1D"/>
    <w:rsid w:val="006A4EEB"/>
    <w:rsid w:val="006A5307"/>
    <w:rsid w:val="006A5405"/>
    <w:rsid w:val="006A5702"/>
    <w:rsid w:val="006A58F4"/>
    <w:rsid w:val="006A5E4C"/>
    <w:rsid w:val="006A5EF3"/>
    <w:rsid w:val="006A68D9"/>
    <w:rsid w:val="006A719E"/>
    <w:rsid w:val="006A71BE"/>
    <w:rsid w:val="006A7510"/>
    <w:rsid w:val="006A7CF6"/>
    <w:rsid w:val="006A7DA8"/>
    <w:rsid w:val="006B0049"/>
    <w:rsid w:val="006B0C8E"/>
    <w:rsid w:val="006B1184"/>
    <w:rsid w:val="006B1410"/>
    <w:rsid w:val="006B18F7"/>
    <w:rsid w:val="006B1919"/>
    <w:rsid w:val="006B1E05"/>
    <w:rsid w:val="006B2247"/>
    <w:rsid w:val="006B239F"/>
    <w:rsid w:val="006B25BD"/>
    <w:rsid w:val="006B2777"/>
    <w:rsid w:val="006B29F5"/>
    <w:rsid w:val="006B31E7"/>
    <w:rsid w:val="006B321A"/>
    <w:rsid w:val="006B3643"/>
    <w:rsid w:val="006B3A00"/>
    <w:rsid w:val="006B3CFD"/>
    <w:rsid w:val="006B3DA3"/>
    <w:rsid w:val="006B3ECE"/>
    <w:rsid w:val="006B4126"/>
    <w:rsid w:val="006B456B"/>
    <w:rsid w:val="006B45BA"/>
    <w:rsid w:val="006B466A"/>
    <w:rsid w:val="006B4999"/>
    <w:rsid w:val="006B4E83"/>
    <w:rsid w:val="006B51D2"/>
    <w:rsid w:val="006B551A"/>
    <w:rsid w:val="006B6338"/>
    <w:rsid w:val="006B6389"/>
    <w:rsid w:val="006B6481"/>
    <w:rsid w:val="006B6707"/>
    <w:rsid w:val="006B6766"/>
    <w:rsid w:val="006B67FE"/>
    <w:rsid w:val="006B6C3E"/>
    <w:rsid w:val="006B705E"/>
    <w:rsid w:val="006B7194"/>
    <w:rsid w:val="006B742B"/>
    <w:rsid w:val="006B765A"/>
    <w:rsid w:val="006B7688"/>
    <w:rsid w:val="006B76BB"/>
    <w:rsid w:val="006B7A5E"/>
    <w:rsid w:val="006C037B"/>
    <w:rsid w:val="006C03A7"/>
    <w:rsid w:val="006C071D"/>
    <w:rsid w:val="006C0966"/>
    <w:rsid w:val="006C0A68"/>
    <w:rsid w:val="006C0E3F"/>
    <w:rsid w:val="006C0E63"/>
    <w:rsid w:val="006C0F62"/>
    <w:rsid w:val="006C16BA"/>
    <w:rsid w:val="006C1CD7"/>
    <w:rsid w:val="006C1F08"/>
    <w:rsid w:val="006C257C"/>
    <w:rsid w:val="006C286C"/>
    <w:rsid w:val="006C2BF5"/>
    <w:rsid w:val="006C2D1F"/>
    <w:rsid w:val="006C2F96"/>
    <w:rsid w:val="006C3843"/>
    <w:rsid w:val="006C386F"/>
    <w:rsid w:val="006C3895"/>
    <w:rsid w:val="006C3A06"/>
    <w:rsid w:val="006C3E10"/>
    <w:rsid w:val="006C4091"/>
    <w:rsid w:val="006C4B09"/>
    <w:rsid w:val="006C4B9B"/>
    <w:rsid w:val="006C4C0F"/>
    <w:rsid w:val="006C4F7D"/>
    <w:rsid w:val="006C4FBE"/>
    <w:rsid w:val="006C52D6"/>
    <w:rsid w:val="006C55F5"/>
    <w:rsid w:val="006C5E34"/>
    <w:rsid w:val="006C5E4D"/>
    <w:rsid w:val="006C630A"/>
    <w:rsid w:val="006C6349"/>
    <w:rsid w:val="006C642C"/>
    <w:rsid w:val="006C6ACB"/>
    <w:rsid w:val="006C6DE6"/>
    <w:rsid w:val="006C6ED3"/>
    <w:rsid w:val="006C72F9"/>
    <w:rsid w:val="006C7543"/>
    <w:rsid w:val="006C7DAC"/>
    <w:rsid w:val="006D05DF"/>
    <w:rsid w:val="006D0914"/>
    <w:rsid w:val="006D0B96"/>
    <w:rsid w:val="006D0E6B"/>
    <w:rsid w:val="006D11F8"/>
    <w:rsid w:val="006D142D"/>
    <w:rsid w:val="006D17E3"/>
    <w:rsid w:val="006D1860"/>
    <w:rsid w:val="006D1904"/>
    <w:rsid w:val="006D1B99"/>
    <w:rsid w:val="006D1D2E"/>
    <w:rsid w:val="006D1DB0"/>
    <w:rsid w:val="006D1EA0"/>
    <w:rsid w:val="006D1FF2"/>
    <w:rsid w:val="006D20D2"/>
    <w:rsid w:val="006D225A"/>
    <w:rsid w:val="006D2270"/>
    <w:rsid w:val="006D22AC"/>
    <w:rsid w:val="006D25DB"/>
    <w:rsid w:val="006D2661"/>
    <w:rsid w:val="006D2810"/>
    <w:rsid w:val="006D2B87"/>
    <w:rsid w:val="006D2E07"/>
    <w:rsid w:val="006D2E64"/>
    <w:rsid w:val="006D38BD"/>
    <w:rsid w:val="006D3ACC"/>
    <w:rsid w:val="006D3B1C"/>
    <w:rsid w:val="006D4028"/>
    <w:rsid w:val="006D4376"/>
    <w:rsid w:val="006D45C6"/>
    <w:rsid w:val="006D49C7"/>
    <w:rsid w:val="006D4A86"/>
    <w:rsid w:val="006D5617"/>
    <w:rsid w:val="006D562B"/>
    <w:rsid w:val="006D5661"/>
    <w:rsid w:val="006D570E"/>
    <w:rsid w:val="006D5C2A"/>
    <w:rsid w:val="006D6383"/>
    <w:rsid w:val="006D639E"/>
    <w:rsid w:val="006D671B"/>
    <w:rsid w:val="006D6982"/>
    <w:rsid w:val="006D6A4D"/>
    <w:rsid w:val="006D6E0C"/>
    <w:rsid w:val="006D74CD"/>
    <w:rsid w:val="006D74EA"/>
    <w:rsid w:val="006D7651"/>
    <w:rsid w:val="006D7CC9"/>
    <w:rsid w:val="006D7F2E"/>
    <w:rsid w:val="006E027C"/>
    <w:rsid w:val="006E0648"/>
    <w:rsid w:val="006E0A5B"/>
    <w:rsid w:val="006E0B01"/>
    <w:rsid w:val="006E0E1D"/>
    <w:rsid w:val="006E0F29"/>
    <w:rsid w:val="006E11F9"/>
    <w:rsid w:val="006E15FE"/>
    <w:rsid w:val="006E16A7"/>
    <w:rsid w:val="006E2308"/>
    <w:rsid w:val="006E2335"/>
    <w:rsid w:val="006E2C6E"/>
    <w:rsid w:val="006E33BB"/>
    <w:rsid w:val="006E34C7"/>
    <w:rsid w:val="006E3E71"/>
    <w:rsid w:val="006E3EBC"/>
    <w:rsid w:val="006E3FA6"/>
    <w:rsid w:val="006E446D"/>
    <w:rsid w:val="006E4710"/>
    <w:rsid w:val="006E47DA"/>
    <w:rsid w:val="006E4DCF"/>
    <w:rsid w:val="006E50E3"/>
    <w:rsid w:val="006E53B6"/>
    <w:rsid w:val="006E546C"/>
    <w:rsid w:val="006E5663"/>
    <w:rsid w:val="006E598C"/>
    <w:rsid w:val="006E5BAF"/>
    <w:rsid w:val="006E5CA6"/>
    <w:rsid w:val="006E61CE"/>
    <w:rsid w:val="006E651D"/>
    <w:rsid w:val="006E661E"/>
    <w:rsid w:val="006E6857"/>
    <w:rsid w:val="006E6A18"/>
    <w:rsid w:val="006E7207"/>
    <w:rsid w:val="006E7800"/>
    <w:rsid w:val="006E79FF"/>
    <w:rsid w:val="006E7ECF"/>
    <w:rsid w:val="006E7F70"/>
    <w:rsid w:val="006F0293"/>
    <w:rsid w:val="006F0368"/>
    <w:rsid w:val="006F0459"/>
    <w:rsid w:val="006F04D1"/>
    <w:rsid w:val="006F0550"/>
    <w:rsid w:val="006F05BE"/>
    <w:rsid w:val="006F074E"/>
    <w:rsid w:val="006F0DCB"/>
    <w:rsid w:val="006F0EB7"/>
    <w:rsid w:val="006F1222"/>
    <w:rsid w:val="006F1810"/>
    <w:rsid w:val="006F1A6A"/>
    <w:rsid w:val="006F1A91"/>
    <w:rsid w:val="006F1C21"/>
    <w:rsid w:val="006F1F56"/>
    <w:rsid w:val="006F270C"/>
    <w:rsid w:val="006F287C"/>
    <w:rsid w:val="006F28A0"/>
    <w:rsid w:val="006F2C39"/>
    <w:rsid w:val="006F2D91"/>
    <w:rsid w:val="006F2E6A"/>
    <w:rsid w:val="006F30CB"/>
    <w:rsid w:val="006F3B1B"/>
    <w:rsid w:val="006F3C1E"/>
    <w:rsid w:val="006F3C20"/>
    <w:rsid w:val="006F4536"/>
    <w:rsid w:val="006F4775"/>
    <w:rsid w:val="006F4899"/>
    <w:rsid w:val="006F4E82"/>
    <w:rsid w:val="006F5154"/>
    <w:rsid w:val="006F52E0"/>
    <w:rsid w:val="006F54D3"/>
    <w:rsid w:val="006F629B"/>
    <w:rsid w:val="006F6494"/>
    <w:rsid w:val="006F69F8"/>
    <w:rsid w:val="006F716F"/>
    <w:rsid w:val="006F73D6"/>
    <w:rsid w:val="006F780E"/>
    <w:rsid w:val="00700076"/>
    <w:rsid w:val="007003F0"/>
    <w:rsid w:val="007005F0"/>
    <w:rsid w:val="007008F5"/>
    <w:rsid w:val="007009AB"/>
    <w:rsid w:val="00700D4C"/>
    <w:rsid w:val="00701163"/>
    <w:rsid w:val="00701310"/>
    <w:rsid w:val="007014D1"/>
    <w:rsid w:val="007016A8"/>
    <w:rsid w:val="0070183E"/>
    <w:rsid w:val="00701BB8"/>
    <w:rsid w:val="00701C37"/>
    <w:rsid w:val="007023E6"/>
    <w:rsid w:val="0070285A"/>
    <w:rsid w:val="0070298A"/>
    <w:rsid w:val="00702AC8"/>
    <w:rsid w:val="0070330A"/>
    <w:rsid w:val="007041E7"/>
    <w:rsid w:val="0070564F"/>
    <w:rsid w:val="0070589F"/>
    <w:rsid w:val="00705DD7"/>
    <w:rsid w:val="0070625D"/>
    <w:rsid w:val="007062C4"/>
    <w:rsid w:val="00706518"/>
    <w:rsid w:val="007069AB"/>
    <w:rsid w:val="00706FB8"/>
    <w:rsid w:val="0070702E"/>
    <w:rsid w:val="00707963"/>
    <w:rsid w:val="00707FAE"/>
    <w:rsid w:val="007101E4"/>
    <w:rsid w:val="0071038C"/>
    <w:rsid w:val="007105F3"/>
    <w:rsid w:val="00710A61"/>
    <w:rsid w:val="007110FF"/>
    <w:rsid w:val="0071136D"/>
    <w:rsid w:val="00711988"/>
    <w:rsid w:val="00711BD6"/>
    <w:rsid w:val="00711E26"/>
    <w:rsid w:val="007122EF"/>
    <w:rsid w:val="007125DC"/>
    <w:rsid w:val="007129D0"/>
    <w:rsid w:val="007135F1"/>
    <w:rsid w:val="0071398F"/>
    <w:rsid w:val="00713A2B"/>
    <w:rsid w:val="00714121"/>
    <w:rsid w:val="007141DC"/>
    <w:rsid w:val="00714B83"/>
    <w:rsid w:val="007151B2"/>
    <w:rsid w:val="00715810"/>
    <w:rsid w:val="00715A55"/>
    <w:rsid w:val="00715BBF"/>
    <w:rsid w:val="007168D3"/>
    <w:rsid w:val="00716958"/>
    <w:rsid w:val="007169B8"/>
    <w:rsid w:val="00716A81"/>
    <w:rsid w:val="00716B40"/>
    <w:rsid w:val="0071768F"/>
    <w:rsid w:val="00717784"/>
    <w:rsid w:val="007178A2"/>
    <w:rsid w:val="00720CB0"/>
    <w:rsid w:val="00720D96"/>
    <w:rsid w:val="007210C1"/>
    <w:rsid w:val="0072169C"/>
    <w:rsid w:val="007218CF"/>
    <w:rsid w:val="00721E10"/>
    <w:rsid w:val="0072200B"/>
    <w:rsid w:val="0072201D"/>
    <w:rsid w:val="007226C1"/>
    <w:rsid w:val="00722B19"/>
    <w:rsid w:val="0072306D"/>
    <w:rsid w:val="00723785"/>
    <w:rsid w:val="00723DD9"/>
    <w:rsid w:val="00724307"/>
    <w:rsid w:val="00724364"/>
    <w:rsid w:val="0072456D"/>
    <w:rsid w:val="007246AE"/>
    <w:rsid w:val="00724A39"/>
    <w:rsid w:val="00724DA1"/>
    <w:rsid w:val="0072537C"/>
    <w:rsid w:val="00725451"/>
    <w:rsid w:val="0072568B"/>
    <w:rsid w:val="0072573B"/>
    <w:rsid w:val="00725C0B"/>
    <w:rsid w:val="00725EAE"/>
    <w:rsid w:val="007264A7"/>
    <w:rsid w:val="007273E8"/>
    <w:rsid w:val="00727579"/>
    <w:rsid w:val="00727FE1"/>
    <w:rsid w:val="00730061"/>
    <w:rsid w:val="0073006E"/>
    <w:rsid w:val="007302F5"/>
    <w:rsid w:val="007308A8"/>
    <w:rsid w:val="007317DC"/>
    <w:rsid w:val="007318B3"/>
    <w:rsid w:val="00731CF8"/>
    <w:rsid w:val="00732038"/>
    <w:rsid w:val="00732123"/>
    <w:rsid w:val="007324C2"/>
    <w:rsid w:val="00732834"/>
    <w:rsid w:val="007328BC"/>
    <w:rsid w:val="007329AF"/>
    <w:rsid w:val="00732B82"/>
    <w:rsid w:val="00732C31"/>
    <w:rsid w:val="00732CF0"/>
    <w:rsid w:val="00732E7A"/>
    <w:rsid w:val="00732EA8"/>
    <w:rsid w:val="00732FED"/>
    <w:rsid w:val="007331CA"/>
    <w:rsid w:val="007331D7"/>
    <w:rsid w:val="00733204"/>
    <w:rsid w:val="00733494"/>
    <w:rsid w:val="007335D7"/>
    <w:rsid w:val="00733C0C"/>
    <w:rsid w:val="00734034"/>
    <w:rsid w:val="00734089"/>
    <w:rsid w:val="0073460C"/>
    <w:rsid w:val="0073494A"/>
    <w:rsid w:val="00734E91"/>
    <w:rsid w:val="00735054"/>
    <w:rsid w:val="00735064"/>
    <w:rsid w:val="007350F6"/>
    <w:rsid w:val="00735125"/>
    <w:rsid w:val="00735255"/>
    <w:rsid w:val="00735271"/>
    <w:rsid w:val="00735373"/>
    <w:rsid w:val="0073611D"/>
    <w:rsid w:val="007361C3"/>
    <w:rsid w:val="007365F9"/>
    <w:rsid w:val="00736778"/>
    <w:rsid w:val="007370B2"/>
    <w:rsid w:val="00737470"/>
    <w:rsid w:val="00737473"/>
    <w:rsid w:val="007376B2"/>
    <w:rsid w:val="007377D2"/>
    <w:rsid w:val="00737DAB"/>
    <w:rsid w:val="0074006A"/>
    <w:rsid w:val="007402A9"/>
    <w:rsid w:val="00740305"/>
    <w:rsid w:val="007406D6"/>
    <w:rsid w:val="00740889"/>
    <w:rsid w:val="00740A8E"/>
    <w:rsid w:val="00740F1A"/>
    <w:rsid w:val="00741106"/>
    <w:rsid w:val="00741183"/>
    <w:rsid w:val="00741199"/>
    <w:rsid w:val="007414D1"/>
    <w:rsid w:val="007420B5"/>
    <w:rsid w:val="00742139"/>
    <w:rsid w:val="0074254F"/>
    <w:rsid w:val="007435DA"/>
    <w:rsid w:val="00743680"/>
    <w:rsid w:val="007436E6"/>
    <w:rsid w:val="00743776"/>
    <w:rsid w:val="00743C10"/>
    <w:rsid w:val="00743FBA"/>
    <w:rsid w:val="007441D1"/>
    <w:rsid w:val="007446F9"/>
    <w:rsid w:val="00744A4E"/>
    <w:rsid w:val="00744D0F"/>
    <w:rsid w:val="00744F92"/>
    <w:rsid w:val="007450B6"/>
    <w:rsid w:val="00745100"/>
    <w:rsid w:val="00745192"/>
    <w:rsid w:val="00745519"/>
    <w:rsid w:val="00745611"/>
    <w:rsid w:val="007459D9"/>
    <w:rsid w:val="0074638C"/>
    <w:rsid w:val="0074642D"/>
    <w:rsid w:val="00746CC0"/>
    <w:rsid w:val="007475E3"/>
    <w:rsid w:val="007476BC"/>
    <w:rsid w:val="00747A0F"/>
    <w:rsid w:val="00747D25"/>
    <w:rsid w:val="00750607"/>
    <w:rsid w:val="0075090E"/>
    <w:rsid w:val="007509A7"/>
    <w:rsid w:val="00750AE5"/>
    <w:rsid w:val="00750E74"/>
    <w:rsid w:val="007518DC"/>
    <w:rsid w:val="00751A31"/>
    <w:rsid w:val="00751F38"/>
    <w:rsid w:val="0075235C"/>
    <w:rsid w:val="007525FF"/>
    <w:rsid w:val="007526E9"/>
    <w:rsid w:val="007527A5"/>
    <w:rsid w:val="00752CCC"/>
    <w:rsid w:val="00752EE1"/>
    <w:rsid w:val="007536D8"/>
    <w:rsid w:val="007538BE"/>
    <w:rsid w:val="00753C53"/>
    <w:rsid w:val="00754027"/>
    <w:rsid w:val="00754AB4"/>
    <w:rsid w:val="00754BCE"/>
    <w:rsid w:val="007557FD"/>
    <w:rsid w:val="007566F8"/>
    <w:rsid w:val="0075684D"/>
    <w:rsid w:val="00756D81"/>
    <w:rsid w:val="00756E6F"/>
    <w:rsid w:val="007572C7"/>
    <w:rsid w:val="00757706"/>
    <w:rsid w:val="00757B78"/>
    <w:rsid w:val="00757E40"/>
    <w:rsid w:val="00760011"/>
    <w:rsid w:val="00760057"/>
    <w:rsid w:val="007600CF"/>
    <w:rsid w:val="00760173"/>
    <w:rsid w:val="00760369"/>
    <w:rsid w:val="007607CD"/>
    <w:rsid w:val="00761013"/>
    <w:rsid w:val="00761462"/>
    <w:rsid w:val="00761A25"/>
    <w:rsid w:val="00761CA0"/>
    <w:rsid w:val="00761DCA"/>
    <w:rsid w:val="00761E73"/>
    <w:rsid w:val="00762161"/>
    <w:rsid w:val="007622E1"/>
    <w:rsid w:val="00762EA4"/>
    <w:rsid w:val="00762F38"/>
    <w:rsid w:val="0076317C"/>
    <w:rsid w:val="007631AF"/>
    <w:rsid w:val="00763393"/>
    <w:rsid w:val="00763502"/>
    <w:rsid w:val="00763C14"/>
    <w:rsid w:val="00764446"/>
    <w:rsid w:val="007648E3"/>
    <w:rsid w:val="00765157"/>
    <w:rsid w:val="00765474"/>
    <w:rsid w:val="0076633E"/>
    <w:rsid w:val="007666FF"/>
    <w:rsid w:val="00766800"/>
    <w:rsid w:val="0076687C"/>
    <w:rsid w:val="007669CB"/>
    <w:rsid w:val="00766A64"/>
    <w:rsid w:val="00766DDA"/>
    <w:rsid w:val="0076714D"/>
    <w:rsid w:val="007679EE"/>
    <w:rsid w:val="00767A54"/>
    <w:rsid w:val="00770A5D"/>
    <w:rsid w:val="00770DC8"/>
    <w:rsid w:val="00770ED9"/>
    <w:rsid w:val="0077173C"/>
    <w:rsid w:val="00771918"/>
    <w:rsid w:val="00771CF5"/>
    <w:rsid w:val="007720BF"/>
    <w:rsid w:val="007720EF"/>
    <w:rsid w:val="00772B27"/>
    <w:rsid w:val="00772CF2"/>
    <w:rsid w:val="00773471"/>
    <w:rsid w:val="00773559"/>
    <w:rsid w:val="007736B6"/>
    <w:rsid w:val="0077378B"/>
    <w:rsid w:val="00773FD2"/>
    <w:rsid w:val="007743C2"/>
    <w:rsid w:val="007744ED"/>
    <w:rsid w:val="00774719"/>
    <w:rsid w:val="00774900"/>
    <w:rsid w:val="00774B19"/>
    <w:rsid w:val="00774BB3"/>
    <w:rsid w:val="00774E3F"/>
    <w:rsid w:val="007754FB"/>
    <w:rsid w:val="007759D2"/>
    <w:rsid w:val="007759D9"/>
    <w:rsid w:val="0077611F"/>
    <w:rsid w:val="0077633C"/>
    <w:rsid w:val="00776369"/>
    <w:rsid w:val="0077692B"/>
    <w:rsid w:val="00776F41"/>
    <w:rsid w:val="007771F8"/>
    <w:rsid w:val="00777B57"/>
    <w:rsid w:val="00777E57"/>
    <w:rsid w:val="00777EB3"/>
    <w:rsid w:val="00777EBF"/>
    <w:rsid w:val="0078024F"/>
    <w:rsid w:val="00780BEC"/>
    <w:rsid w:val="007815E8"/>
    <w:rsid w:val="007817E6"/>
    <w:rsid w:val="00781B73"/>
    <w:rsid w:val="00781D4F"/>
    <w:rsid w:val="00781E64"/>
    <w:rsid w:val="00781F88"/>
    <w:rsid w:val="00782627"/>
    <w:rsid w:val="0078264D"/>
    <w:rsid w:val="0078277B"/>
    <w:rsid w:val="00782986"/>
    <w:rsid w:val="00782A17"/>
    <w:rsid w:val="00782A58"/>
    <w:rsid w:val="00782D93"/>
    <w:rsid w:val="00783883"/>
    <w:rsid w:val="00783C83"/>
    <w:rsid w:val="00783FA8"/>
    <w:rsid w:val="00784223"/>
    <w:rsid w:val="00784D70"/>
    <w:rsid w:val="00784E77"/>
    <w:rsid w:val="00785DB3"/>
    <w:rsid w:val="00786DBD"/>
    <w:rsid w:val="00786ECB"/>
    <w:rsid w:val="00787317"/>
    <w:rsid w:val="00787760"/>
    <w:rsid w:val="00787E33"/>
    <w:rsid w:val="00787F16"/>
    <w:rsid w:val="00790063"/>
    <w:rsid w:val="00790870"/>
    <w:rsid w:val="00790CC9"/>
    <w:rsid w:val="00790DD2"/>
    <w:rsid w:val="00790EED"/>
    <w:rsid w:val="00791323"/>
    <w:rsid w:val="007915DB"/>
    <w:rsid w:val="00791769"/>
    <w:rsid w:val="007919F5"/>
    <w:rsid w:val="00791EBD"/>
    <w:rsid w:val="00791FF4"/>
    <w:rsid w:val="00792260"/>
    <w:rsid w:val="007926DC"/>
    <w:rsid w:val="00792994"/>
    <w:rsid w:val="00792A7D"/>
    <w:rsid w:val="00792DE8"/>
    <w:rsid w:val="007931E6"/>
    <w:rsid w:val="0079325C"/>
    <w:rsid w:val="00793797"/>
    <w:rsid w:val="007949A4"/>
    <w:rsid w:val="00794B02"/>
    <w:rsid w:val="00794D9E"/>
    <w:rsid w:val="0079537E"/>
    <w:rsid w:val="007954D6"/>
    <w:rsid w:val="007958AC"/>
    <w:rsid w:val="007959B1"/>
    <w:rsid w:val="00795DB0"/>
    <w:rsid w:val="00795E0D"/>
    <w:rsid w:val="00796893"/>
    <w:rsid w:val="00796A57"/>
    <w:rsid w:val="00796C7C"/>
    <w:rsid w:val="00796DE2"/>
    <w:rsid w:val="00797127"/>
    <w:rsid w:val="00797553"/>
    <w:rsid w:val="00797A4C"/>
    <w:rsid w:val="00797E09"/>
    <w:rsid w:val="00797E32"/>
    <w:rsid w:val="007A019F"/>
    <w:rsid w:val="007A043F"/>
    <w:rsid w:val="007A0554"/>
    <w:rsid w:val="007A0CEE"/>
    <w:rsid w:val="007A0D78"/>
    <w:rsid w:val="007A1412"/>
    <w:rsid w:val="007A1FD0"/>
    <w:rsid w:val="007A2C6C"/>
    <w:rsid w:val="007A32A1"/>
    <w:rsid w:val="007A378A"/>
    <w:rsid w:val="007A3794"/>
    <w:rsid w:val="007A37C8"/>
    <w:rsid w:val="007A3A0F"/>
    <w:rsid w:val="007A3A46"/>
    <w:rsid w:val="007A3B60"/>
    <w:rsid w:val="007A3DEB"/>
    <w:rsid w:val="007A3DF7"/>
    <w:rsid w:val="007A3E64"/>
    <w:rsid w:val="007A4DC3"/>
    <w:rsid w:val="007A4E24"/>
    <w:rsid w:val="007A535F"/>
    <w:rsid w:val="007A57E0"/>
    <w:rsid w:val="007A5A1D"/>
    <w:rsid w:val="007A5BD2"/>
    <w:rsid w:val="007A5EC7"/>
    <w:rsid w:val="007A627B"/>
    <w:rsid w:val="007A68BE"/>
    <w:rsid w:val="007A6CEE"/>
    <w:rsid w:val="007A6EAE"/>
    <w:rsid w:val="007A74AD"/>
    <w:rsid w:val="007A7544"/>
    <w:rsid w:val="007A7626"/>
    <w:rsid w:val="007A7955"/>
    <w:rsid w:val="007A7A8D"/>
    <w:rsid w:val="007A7C10"/>
    <w:rsid w:val="007A7C4F"/>
    <w:rsid w:val="007A7CA6"/>
    <w:rsid w:val="007A7FF1"/>
    <w:rsid w:val="007B020A"/>
    <w:rsid w:val="007B0806"/>
    <w:rsid w:val="007B0CE0"/>
    <w:rsid w:val="007B19BA"/>
    <w:rsid w:val="007B1A9C"/>
    <w:rsid w:val="007B1B48"/>
    <w:rsid w:val="007B1C33"/>
    <w:rsid w:val="007B1E33"/>
    <w:rsid w:val="007B1F00"/>
    <w:rsid w:val="007B2583"/>
    <w:rsid w:val="007B25A2"/>
    <w:rsid w:val="007B2DB9"/>
    <w:rsid w:val="007B2F62"/>
    <w:rsid w:val="007B3354"/>
    <w:rsid w:val="007B3BC6"/>
    <w:rsid w:val="007B3CAC"/>
    <w:rsid w:val="007B3FFB"/>
    <w:rsid w:val="007B4635"/>
    <w:rsid w:val="007B4A84"/>
    <w:rsid w:val="007B4C13"/>
    <w:rsid w:val="007B4CF0"/>
    <w:rsid w:val="007B5134"/>
    <w:rsid w:val="007B537C"/>
    <w:rsid w:val="007B563C"/>
    <w:rsid w:val="007B5ADC"/>
    <w:rsid w:val="007B5C96"/>
    <w:rsid w:val="007B65ED"/>
    <w:rsid w:val="007B6918"/>
    <w:rsid w:val="007B71A5"/>
    <w:rsid w:val="007B721F"/>
    <w:rsid w:val="007B74BE"/>
    <w:rsid w:val="007B7EB2"/>
    <w:rsid w:val="007B7F96"/>
    <w:rsid w:val="007C007B"/>
    <w:rsid w:val="007C03FB"/>
    <w:rsid w:val="007C0862"/>
    <w:rsid w:val="007C09FE"/>
    <w:rsid w:val="007C0A6E"/>
    <w:rsid w:val="007C0BD4"/>
    <w:rsid w:val="007C1313"/>
    <w:rsid w:val="007C1D34"/>
    <w:rsid w:val="007C1E77"/>
    <w:rsid w:val="007C1EBA"/>
    <w:rsid w:val="007C25B9"/>
    <w:rsid w:val="007C27AE"/>
    <w:rsid w:val="007C28CF"/>
    <w:rsid w:val="007C2945"/>
    <w:rsid w:val="007C29BF"/>
    <w:rsid w:val="007C2E76"/>
    <w:rsid w:val="007C35F7"/>
    <w:rsid w:val="007C3BC7"/>
    <w:rsid w:val="007C3C94"/>
    <w:rsid w:val="007C42ED"/>
    <w:rsid w:val="007C4749"/>
    <w:rsid w:val="007C528F"/>
    <w:rsid w:val="007C5349"/>
    <w:rsid w:val="007C57E4"/>
    <w:rsid w:val="007C594F"/>
    <w:rsid w:val="007C5AEE"/>
    <w:rsid w:val="007C5D4B"/>
    <w:rsid w:val="007C621A"/>
    <w:rsid w:val="007C63B7"/>
    <w:rsid w:val="007C794E"/>
    <w:rsid w:val="007C7972"/>
    <w:rsid w:val="007C7CB9"/>
    <w:rsid w:val="007C7E46"/>
    <w:rsid w:val="007D072A"/>
    <w:rsid w:val="007D091D"/>
    <w:rsid w:val="007D107C"/>
    <w:rsid w:val="007D129F"/>
    <w:rsid w:val="007D1BDA"/>
    <w:rsid w:val="007D1DA8"/>
    <w:rsid w:val="007D1FA1"/>
    <w:rsid w:val="007D2058"/>
    <w:rsid w:val="007D2177"/>
    <w:rsid w:val="007D25F4"/>
    <w:rsid w:val="007D2785"/>
    <w:rsid w:val="007D2AB0"/>
    <w:rsid w:val="007D2B00"/>
    <w:rsid w:val="007D30EF"/>
    <w:rsid w:val="007D3201"/>
    <w:rsid w:val="007D3240"/>
    <w:rsid w:val="007D34BF"/>
    <w:rsid w:val="007D370D"/>
    <w:rsid w:val="007D38F6"/>
    <w:rsid w:val="007D4285"/>
    <w:rsid w:val="007D43B1"/>
    <w:rsid w:val="007D4A5C"/>
    <w:rsid w:val="007D5567"/>
    <w:rsid w:val="007D5828"/>
    <w:rsid w:val="007D5927"/>
    <w:rsid w:val="007D6169"/>
    <w:rsid w:val="007D65E5"/>
    <w:rsid w:val="007D6656"/>
    <w:rsid w:val="007D6CC3"/>
    <w:rsid w:val="007D6D8A"/>
    <w:rsid w:val="007D6E81"/>
    <w:rsid w:val="007D701F"/>
    <w:rsid w:val="007D72B1"/>
    <w:rsid w:val="007D7CE7"/>
    <w:rsid w:val="007E0323"/>
    <w:rsid w:val="007E0A0A"/>
    <w:rsid w:val="007E0AC6"/>
    <w:rsid w:val="007E0B92"/>
    <w:rsid w:val="007E0BF2"/>
    <w:rsid w:val="007E0C81"/>
    <w:rsid w:val="007E0E0B"/>
    <w:rsid w:val="007E0FFE"/>
    <w:rsid w:val="007E1722"/>
    <w:rsid w:val="007E1FDF"/>
    <w:rsid w:val="007E2039"/>
    <w:rsid w:val="007E2070"/>
    <w:rsid w:val="007E21B7"/>
    <w:rsid w:val="007E2272"/>
    <w:rsid w:val="007E245C"/>
    <w:rsid w:val="007E2586"/>
    <w:rsid w:val="007E288B"/>
    <w:rsid w:val="007E2AD0"/>
    <w:rsid w:val="007E2CD2"/>
    <w:rsid w:val="007E2DE1"/>
    <w:rsid w:val="007E30AB"/>
    <w:rsid w:val="007E37A5"/>
    <w:rsid w:val="007E40F1"/>
    <w:rsid w:val="007E4229"/>
    <w:rsid w:val="007E42E1"/>
    <w:rsid w:val="007E43F1"/>
    <w:rsid w:val="007E445C"/>
    <w:rsid w:val="007E499D"/>
    <w:rsid w:val="007E5145"/>
    <w:rsid w:val="007E51AA"/>
    <w:rsid w:val="007E54D8"/>
    <w:rsid w:val="007E5759"/>
    <w:rsid w:val="007E5916"/>
    <w:rsid w:val="007E5D04"/>
    <w:rsid w:val="007E5DEC"/>
    <w:rsid w:val="007E5F04"/>
    <w:rsid w:val="007E6DDB"/>
    <w:rsid w:val="007E7732"/>
    <w:rsid w:val="007E773C"/>
    <w:rsid w:val="007E7F4B"/>
    <w:rsid w:val="007F0910"/>
    <w:rsid w:val="007F0A2E"/>
    <w:rsid w:val="007F0BA7"/>
    <w:rsid w:val="007F0BDC"/>
    <w:rsid w:val="007F1446"/>
    <w:rsid w:val="007F1478"/>
    <w:rsid w:val="007F182F"/>
    <w:rsid w:val="007F184B"/>
    <w:rsid w:val="007F1CBB"/>
    <w:rsid w:val="007F1E19"/>
    <w:rsid w:val="007F2EA5"/>
    <w:rsid w:val="007F331B"/>
    <w:rsid w:val="007F367D"/>
    <w:rsid w:val="007F3D47"/>
    <w:rsid w:val="007F4801"/>
    <w:rsid w:val="007F4BE4"/>
    <w:rsid w:val="007F509F"/>
    <w:rsid w:val="007F51B2"/>
    <w:rsid w:val="007F545B"/>
    <w:rsid w:val="007F58C7"/>
    <w:rsid w:val="007F5C35"/>
    <w:rsid w:val="007F6002"/>
    <w:rsid w:val="007F60A1"/>
    <w:rsid w:val="007F669E"/>
    <w:rsid w:val="007F6FEC"/>
    <w:rsid w:val="007F76B8"/>
    <w:rsid w:val="007F7A0F"/>
    <w:rsid w:val="008001A1"/>
    <w:rsid w:val="008004A4"/>
    <w:rsid w:val="00800839"/>
    <w:rsid w:val="00800946"/>
    <w:rsid w:val="00800CC6"/>
    <w:rsid w:val="008010B2"/>
    <w:rsid w:val="0080140D"/>
    <w:rsid w:val="0080156B"/>
    <w:rsid w:val="00802160"/>
    <w:rsid w:val="00802A05"/>
    <w:rsid w:val="00802DDF"/>
    <w:rsid w:val="0080307B"/>
    <w:rsid w:val="00803326"/>
    <w:rsid w:val="0080348B"/>
    <w:rsid w:val="00803573"/>
    <w:rsid w:val="0080367B"/>
    <w:rsid w:val="008037D6"/>
    <w:rsid w:val="00803A2F"/>
    <w:rsid w:val="00803AD7"/>
    <w:rsid w:val="00803C45"/>
    <w:rsid w:val="00803C91"/>
    <w:rsid w:val="00804184"/>
    <w:rsid w:val="00804442"/>
    <w:rsid w:val="00804529"/>
    <w:rsid w:val="00805502"/>
    <w:rsid w:val="00805696"/>
    <w:rsid w:val="00805956"/>
    <w:rsid w:val="00805B2A"/>
    <w:rsid w:val="00805C45"/>
    <w:rsid w:val="00805E1A"/>
    <w:rsid w:val="00806237"/>
    <w:rsid w:val="00806707"/>
    <w:rsid w:val="00806DE5"/>
    <w:rsid w:val="008071C0"/>
    <w:rsid w:val="008077AE"/>
    <w:rsid w:val="00807BF5"/>
    <w:rsid w:val="00807D99"/>
    <w:rsid w:val="008100E6"/>
    <w:rsid w:val="00810161"/>
    <w:rsid w:val="008101A3"/>
    <w:rsid w:val="0081034B"/>
    <w:rsid w:val="00810430"/>
    <w:rsid w:val="00810537"/>
    <w:rsid w:val="0081056C"/>
    <w:rsid w:val="0081082C"/>
    <w:rsid w:val="00810838"/>
    <w:rsid w:val="00810A44"/>
    <w:rsid w:val="00811141"/>
    <w:rsid w:val="0081179C"/>
    <w:rsid w:val="008119A5"/>
    <w:rsid w:val="00811B7C"/>
    <w:rsid w:val="008123D4"/>
    <w:rsid w:val="00812445"/>
    <w:rsid w:val="00812B37"/>
    <w:rsid w:val="00812F69"/>
    <w:rsid w:val="00813014"/>
    <w:rsid w:val="0081318A"/>
    <w:rsid w:val="00813285"/>
    <w:rsid w:val="008132F6"/>
    <w:rsid w:val="00813EFF"/>
    <w:rsid w:val="008142D4"/>
    <w:rsid w:val="008147F5"/>
    <w:rsid w:val="00814C77"/>
    <w:rsid w:val="00814D2F"/>
    <w:rsid w:val="00814E54"/>
    <w:rsid w:val="00814FC8"/>
    <w:rsid w:val="008150DA"/>
    <w:rsid w:val="00815566"/>
    <w:rsid w:val="00815584"/>
    <w:rsid w:val="0081567C"/>
    <w:rsid w:val="00815A4C"/>
    <w:rsid w:val="00815B88"/>
    <w:rsid w:val="00815D26"/>
    <w:rsid w:val="00815D8F"/>
    <w:rsid w:val="00816B49"/>
    <w:rsid w:val="00816D92"/>
    <w:rsid w:val="00816F5A"/>
    <w:rsid w:val="00816FA5"/>
    <w:rsid w:val="008174E6"/>
    <w:rsid w:val="00817D6A"/>
    <w:rsid w:val="00817FEA"/>
    <w:rsid w:val="008207E0"/>
    <w:rsid w:val="00820EA3"/>
    <w:rsid w:val="00821106"/>
    <w:rsid w:val="00821C9A"/>
    <w:rsid w:val="0082229F"/>
    <w:rsid w:val="00822722"/>
    <w:rsid w:val="00822BD5"/>
    <w:rsid w:val="00822E24"/>
    <w:rsid w:val="00822F2E"/>
    <w:rsid w:val="00822F7C"/>
    <w:rsid w:val="0082323B"/>
    <w:rsid w:val="008232D6"/>
    <w:rsid w:val="00823307"/>
    <w:rsid w:val="008234D6"/>
    <w:rsid w:val="00823578"/>
    <w:rsid w:val="0082397A"/>
    <w:rsid w:val="00823BC8"/>
    <w:rsid w:val="00823E75"/>
    <w:rsid w:val="00823F0C"/>
    <w:rsid w:val="00824528"/>
    <w:rsid w:val="008247E8"/>
    <w:rsid w:val="00824AD9"/>
    <w:rsid w:val="00824C52"/>
    <w:rsid w:val="00824D18"/>
    <w:rsid w:val="008258BC"/>
    <w:rsid w:val="0082590D"/>
    <w:rsid w:val="00826491"/>
    <w:rsid w:val="00826C34"/>
    <w:rsid w:val="00826D2F"/>
    <w:rsid w:val="0082753F"/>
    <w:rsid w:val="0082787A"/>
    <w:rsid w:val="00827C4A"/>
    <w:rsid w:val="00827E28"/>
    <w:rsid w:val="00827E93"/>
    <w:rsid w:val="00827F12"/>
    <w:rsid w:val="00830286"/>
    <w:rsid w:val="00830320"/>
    <w:rsid w:val="00830816"/>
    <w:rsid w:val="0083095D"/>
    <w:rsid w:val="00830DE1"/>
    <w:rsid w:val="00831058"/>
    <w:rsid w:val="008316D0"/>
    <w:rsid w:val="0083175D"/>
    <w:rsid w:val="0083192C"/>
    <w:rsid w:val="00832493"/>
    <w:rsid w:val="0083291D"/>
    <w:rsid w:val="00832A0F"/>
    <w:rsid w:val="00832BB4"/>
    <w:rsid w:val="00832D57"/>
    <w:rsid w:val="00832E35"/>
    <w:rsid w:val="00832F64"/>
    <w:rsid w:val="008331A2"/>
    <w:rsid w:val="00833792"/>
    <w:rsid w:val="008338D8"/>
    <w:rsid w:val="00833D39"/>
    <w:rsid w:val="00834543"/>
    <w:rsid w:val="00834EA4"/>
    <w:rsid w:val="008358BF"/>
    <w:rsid w:val="00835B2E"/>
    <w:rsid w:val="00835C89"/>
    <w:rsid w:val="00835FC9"/>
    <w:rsid w:val="008360C7"/>
    <w:rsid w:val="00836C9C"/>
    <w:rsid w:val="008372FC"/>
    <w:rsid w:val="0083755E"/>
    <w:rsid w:val="008379C9"/>
    <w:rsid w:val="00837A3C"/>
    <w:rsid w:val="00837E06"/>
    <w:rsid w:val="00837E7E"/>
    <w:rsid w:val="00837FA2"/>
    <w:rsid w:val="00840426"/>
    <w:rsid w:val="008406B4"/>
    <w:rsid w:val="00840BD7"/>
    <w:rsid w:val="00840C7C"/>
    <w:rsid w:val="00840ED0"/>
    <w:rsid w:val="008412AC"/>
    <w:rsid w:val="0084135A"/>
    <w:rsid w:val="0084171B"/>
    <w:rsid w:val="008420E5"/>
    <w:rsid w:val="008423A2"/>
    <w:rsid w:val="00842752"/>
    <w:rsid w:val="00842873"/>
    <w:rsid w:val="00842959"/>
    <w:rsid w:val="00842A7F"/>
    <w:rsid w:val="00842C77"/>
    <w:rsid w:val="00843306"/>
    <w:rsid w:val="00843801"/>
    <w:rsid w:val="00843A4D"/>
    <w:rsid w:val="00843B4A"/>
    <w:rsid w:val="0084434B"/>
    <w:rsid w:val="00844972"/>
    <w:rsid w:val="00844D8E"/>
    <w:rsid w:val="0084548B"/>
    <w:rsid w:val="00845C0A"/>
    <w:rsid w:val="00845F72"/>
    <w:rsid w:val="008463C9"/>
    <w:rsid w:val="008464E3"/>
    <w:rsid w:val="00846AB8"/>
    <w:rsid w:val="00846D0B"/>
    <w:rsid w:val="008471A8"/>
    <w:rsid w:val="0085020F"/>
    <w:rsid w:val="008505A4"/>
    <w:rsid w:val="008506ED"/>
    <w:rsid w:val="00850CFC"/>
    <w:rsid w:val="00850D2D"/>
    <w:rsid w:val="008510B0"/>
    <w:rsid w:val="0085125C"/>
    <w:rsid w:val="00852293"/>
    <w:rsid w:val="00852590"/>
    <w:rsid w:val="00852865"/>
    <w:rsid w:val="008529CB"/>
    <w:rsid w:val="00852ED4"/>
    <w:rsid w:val="0085358F"/>
    <w:rsid w:val="0085360D"/>
    <w:rsid w:val="00853CD7"/>
    <w:rsid w:val="00853E68"/>
    <w:rsid w:val="00853F71"/>
    <w:rsid w:val="00854349"/>
    <w:rsid w:val="00854954"/>
    <w:rsid w:val="008549B0"/>
    <w:rsid w:val="00854BFC"/>
    <w:rsid w:val="00855016"/>
    <w:rsid w:val="008555E0"/>
    <w:rsid w:val="008555F5"/>
    <w:rsid w:val="00856091"/>
    <w:rsid w:val="00856471"/>
    <w:rsid w:val="00856C67"/>
    <w:rsid w:val="0085768D"/>
    <w:rsid w:val="00857DEE"/>
    <w:rsid w:val="00857F40"/>
    <w:rsid w:val="00857FB3"/>
    <w:rsid w:val="008602B6"/>
    <w:rsid w:val="008606B9"/>
    <w:rsid w:val="00860DAB"/>
    <w:rsid w:val="00861110"/>
    <w:rsid w:val="008617BB"/>
    <w:rsid w:val="00861E58"/>
    <w:rsid w:val="00862551"/>
    <w:rsid w:val="00862ACC"/>
    <w:rsid w:val="00862E55"/>
    <w:rsid w:val="00862EE8"/>
    <w:rsid w:val="00863086"/>
    <w:rsid w:val="008632E2"/>
    <w:rsid w:val="00863695"/>
    <w:rsid w:val="0086376B"/>
    <w:rsid w:val="00863C08"/>
    <w:rsid w:val="00864154"/>
    <w:rsid w:val="0086456F"/>
    <w:rsid w:val="00864B68"/>
    <w:rsid w:val="00864F88"/>
    <w:rsid w:val="00865E52"/>
    <w:rsid w:val="00865ECB"/>
    <w:rsid w:val="00866041"/>
    <w:rsid w:val="008667F2"/>
    <w:rsid w:val="00866D60"/>
    <w:rsid w:val="00866DFB"/>
    <w:rsid w:val="00866E48"/>
    <w:rsid w:val="00866FC5"/>
    <w:rsid w:val="008672E6"/>
    <w:rsid w:val="00867767"/>
    <w:rsid w:val="00867A20"/>
    <w:rsid w:val="00867A63"/>
    <w:rsid w:val="00867CA1"/>
    <w:rsid w:val="00870350"/>
    <w:rsid w:val="0087038E"/>
    <w:rsid w:val="008705F5"/>
    <w:rsid w:val="00870627"/>
    <w:rsid w:val="00870A88"/>
    <w:rsid w:val="00870C57"/>
    <w:rsid w:val="00870DB6"/>
    <w:rsid w:val="008719FB"/>
    <w:rsid w:val="00871B1E"/>
    <w:rsid w:val="00872247"/>
    <w:rsid w:val="00872403"/>
    <w:rsid w:val="008724AA"/>
    <w:rsid w:val="00872BB0"/>
    <w:rsid w:val="00872F97"/>
    <w:rsid w:val="00872FB9"/>
    <w:rsid w:val="0087304F"/>
    <w:rsid w:val="00873087"/>
    <w:rsid w:val="008733FE"/>
    <w:rsid w:val="00873B99"/>
    <w:rsid w:val="00873F9D"/>
    <w:rsid w:val="008740C6"/>
    <w:rsid w:val="008742A8"/>
    <w:rsid w:val="0087489E"/>
    <w:rsid w:val="0087543D"/>
    <w:rsid w:val="00875532"/>
    <w:rsid w:val="00875895"/>
    <w:rsid w:val="00876143"/>
    <w:rsid w:val="008764DB"/>
    <w:rsid w:val="0087650F"/>
    <w:rsid w:val="00876628"/>
    <w:rsid w:val="0087688A"/>
    <w:rsid w:val="00877270"/>
    <w:rsid w:val="00877376"/>
    <w:rsid w:val="008775D0"/>
    <w:rsid w:val="00877DCB"/>
    <w:rsid w:val="00880576"/>
    <w:rsid w:val="008807FF"/>
    <w:rsid w:val="00880992"/>
    <w:rsid w:val="00880A4F"/>
    <w:rsid w:val="00880BA2"/>
    <w:rsid w:val="00880F1B"/>
    <w:rsid w:val="00881228"/>
    <w:rsid w:val="00881731"/>
    <w:rsid w:val="00881999"/>
    <w:rsid w:val="00881DB6"/>
    <w:rsid w:val="00882088"/>
    <w:rsid w:val="008823A3"/>
    <w:rsid w:val="008823D9"/>
    <w:rsid w:val="008824C5"/>
    <w:rsid w:val="008826E8"/>
    <w:rsid w:val="00883240"/>
    <w:rsid w:val="00883478"/>
    <w:rsid w:val="00883AD0"/>
    <w:rsid w:val="00883D28"/>
    <w:rsid w:val="0088499A"/>
    <w:rsid w:val="00884DE8"/>
    <w:rsid w:val="0088502F"/>
    <w:rsid w:val="0088510F"/>
    <w:rsid w:val="008853CB"/>
    <w:rsid w:val="00885562"/>
    <w:rsid w:val="00885603"/>
    <w:rsid w:val="00885807"/>
    <w:rsid w:val="00885C39"/>
    <w:rsid w:val="00885DE2"/>
    <w:rsid w:val="008863FA"/>
    <w:rsid w:val="00886528"/>
    <w:rsid w:val="008866D0"/>
    <w:rsid w:val="00887141"/>
    <w:rsid w:val="008878A5"/>
    <w:rsid w:val="00890014"/>
    <w:rsid w:val="0089063A"/>
    <w:rsid w:val="00891C8C"/>
    <w:rsid w:val="00891EA9"/>
    <w:rsid w:val="00892280"/>
    <w:rsid w:val="008922D3"/>
    <w:rsid w:val="00892D7B"/>
    <w:rsid w:val="00893202"/>
    <w:rsid w:val="008940BB"/>
    <w:rsid w:val="008941EC"/>
    <w:rsid w:val="00894504"/>
    <w:rsid w:val="00894BC1"/>
    <w:rsid w:val="00894E92"/>
    <w:rsid w:val="008952EC"/>
    <w:rsid w:val="00895D6B"/>
    <w:rsid w:val="00895F34"/>
    <w:rsid w:val="008963F8"/>
    <w:rsid w:val="008966B2"/>
    <w:rsid w:val="00896A2B"/>
    <w:rsid w:val="00896A56"/>
    <w:rsid w:val="00896BA2"/>
    <w:rsid w:val="00896C8A"/>
    <w:rsid w:val="00897503"/>
    <w:rsid w:val="00897546"/>
    <w:rsid w:val="00897932"/>
    <w:rsid w:val="00897CA2"/>
    <w:rsid w:val="00897D36"/>
    <w:rsid w:val="008A03FD"/>
    <w:rsid w:val="008A0B3C"/>
    <w:rsid w:val="008A0D90"/>
    <w:rsid w:val="008A15CB"/>
    <w:rsid w:val="008A1CAE"/>
    <w:rsid w:val="008A1CD8"/>
    <w:rsid w:val="008A29B7"/>
    <w:rsid w:val="008A2D89"/>
    <w:rsid w:val="008A2EAE"/>
    <w:rsid w:val="008A3206"/>
    <w:rsid w:val="008A37D0"/>
    <w:rsid w:val="008A3E56"/>
    <w:rsid w:val="008A4EDC"/>
    <w:rsid w:val="008A51CD"/>
    <w:rsid w:val="008A5291"/>
    <w:rsid w:val="008A54CD"/>
    <w:rsid w:val="008A5B79"/>
    <w:rsid w:val="008A60BE"/>
    <w:rsid w:val="008A6189"/>
    <w:rsid w:val="008A630A"/>
    <w:rsid w:val="008A6576"/>
    <w:rsid w:val="008A677E"/>
    <w:rsid w:val="008A6CC5"/>
    <w:rsid w:val="008A6F73"/>
    <w:rsid w:val="008A709C"/>
    <w:rsid w:val="008A7398"/>
    <w:rsid w:val="008A73C7"/>
    <w:rsid w:val="008A75BA"/>
    <w:rsid w:val="008A75CE"/>
    <w:rsid w:val="008A765E"/>
    <w:rsid w:val="008A7FB8"/>
    <w:rsid w:val="008B0674"/>
    <w:rsid w:val="008B06D9"/>
    <w:rsid w:val="008B0BD3"/>
    <w:rsid w:val="008B0F28"/>
    <w:rsid w:val="008B1502"/>
    <w:rsid w:val="008B2065"/>
    <w:rsid w:val="008B265B"/>
    <w:rsid w:val="008B2EF7"/>
    <w:rsid w:val="008B30E2"/>
    <w:rsid w:val="008B351B"/>
    <w:rsid w:val="008B36B9"/>
    <w:rsid w:val="008B3725"/>
    <w:rsid w:val="008B3852"/>
    <w:rsid w:val="008B3946"/>
    <w:rsid w:val="008B42DA"/>
    <w:rsid w:val="008B473C"/>
    <w:rsid w:val="008B4A9A"/>
    <w:rsid w:val="008B54B0"/>
    <w:rsid w:val="008B5BA2"/>
    <w:rsid w:val="008B5D19"/>
    <w:rsid w:val="008B5D1F"/>
    <w:rsid w:val="008B5E3B"/>
    <w:rsid w:val="008B6BCF"/>
    <w:rsid w:val="008B6DBE"/>
    <w:rsid w:val="008B6EE0"/>
    <w:rsid w:val="008B70E6"/>
    <w:rsid w:val="008B794C"/>
    <w:rsid w:val="008B7E66"/>
    <w:rsid w:val="008C05A0"/>
    <w:rsid w:val="008C085F"/>
    <w:rsid w:val="008C08DD"/>
    <w:rsid w:val="008C09B8"/>
    <w:rsid w:val="008C09D5"/>
    <w:rsid w:val="008C0D1A"/>
    <w:rsid w:val="008C0EB7"/>
    <w:rsid w:val="008C0FBC"/>
    <w:rsid w:val="008C18E4"/>
    <w:rsid w:val="008C1A36"/>
    <w:rsid w:val="008C1A48"/>
    <w:rsid w:val="008C1B3D"/>
    <w:rsid w:val="008C1D07"/>
    <w:rsid w:val="008C1D0B"/>
    <w:rsid w:val="008C1F31"/>
    <w:rsid w:val="008C1FBD"/>
    <w:rsid w:val="008C211F"/>
    <w:rsid w:val="008C228B"/>
    <w:rsid w:val="008C23F7"/>
    <w:rsid w:val="008C2994"/>
    <w:rsid w:val="008C2B9F"/>
    <w:rsid w:val="008C2C7E"/>
    <w:rsid w:val="008C2CF8"/>
    <w:rsid w:val="008C31A0"/>
    <w:rsid w:val="008C3ABE"/>
    <w:rsid w:val="008C3C7F"/>
    <w:rsid w:val="008C3E1F"/>
    <w:rsid w:val="008C4570"/>
    <w:rsid w:val="008C4670"/>
    <w:rsid w:val="008C4813"/>
    <w:rsid w:val="008C49D3"/>
    <w:rsid w:val="008C49D8"/>
    <w:rsid w:val="008C501F"/>
    <w:rsid w:val="008C5794"/>
    <w:rsid w:val="008C5B20"/>
    <w:rsid w:val="008C5B21"/>
    <w:rsid w:val="008C5C35"/>
    <w:rsid w:val="008C5CFC"/>
    <w:rsid w:val="008C5D41"/>
    <w:rsid w:val="008C6033"/>
    <w:rsid w:val="008C63EC"/>
    <w:rsid w:val="008C6844"/>
    <w:rsid w:val="008C6B63"/>
    <w:rsid w:val="008C6FDF"/>
    <w:rsid w:val="008C72FA"/>
    <w:rsid w:val="008C7582"/>
    <w:rsid w:val="008C795E"/>
    <w:rsid w:val="008C79D4"/>
    <w:rsid w:val="008C7C39"/>
    <w:rsid w:val="008D0434"/>
    <w:rsid w:val="008D0BA8"/>
    <w:rsid w:val="008D0BF9"/>
    <w:rsid w:val="008D18EC"/>
    <w:rsid w:val="008D1F9E"/>
    <w:rsid w:val="008D372A"/>
    <w:rsid w:val="008D3752"/>
    <w:rsid w:val="008D3C0B"/>
    <w:rsid w:val="008D3CA1"/>
    <w:rsid w:val="008D42AD"/>
    <w:rsid w:val="008D4D7E"/>
    <w:rsid w:val="008D59BB"/>
    <w:rsid w:val="008D64A5"/>
    <w:rsid w:val="008D64F4"/>
    <w:rsid w:val="008D694B"/>
    <w:rsid w:val="008D6C9D"/>
    <w:rsid w:val="008D6EDB"/>
    <w:rsid w:val="008D71FB"/>
    <w:rsid w:val="008D7377"/>
    <w:rsid w:val="008D7524"/>
    <w:rsid w:val="008D78B0"/>
    <w:rsid w:val="008E1A51"/>
    <w:rsid w:val="008E1B1E"/>
    <w:rsid w:val="008E1E1F"/>
    <w:rsid w:val="008E1FA5"/>
    <w:rsid w:val="008E2086"/>
    <w:rsid w:val="008E20BA"/>
    <w:rsid w:val="008E27BD"/>
    <w:rsid w:val="008E2810"/>
    <w:rsid w:val="008E2DBB"/>
    <w:rsid w:val="008E364D"/>
    <w:rsid w:val="008E387A"/>
    <w:rsid w:val="008E3E83"/>
    <w:rsid w:val="008E438D"/>
    <w:rsid w:val="008E4E86"/>
    <w:rsid w:val="008E4F5B"/>
    <w:rsid w:val="008E5013"/>
    <w:rsid w:val="008E52E9"/>
    <w:rsid w:val="008E550A"/>
    <w:rsid w:val="008E5959"/>
    <w:rsid w:val="008E5AB2"/>
    <w:rsid w:val="008E5BA5"/>
    <w:rsid w:val="008E5CB2"/>
    <w:rsid w:val="008E5FFD"/>
    <w:rsid w:val="008E62CE"/>
    <w:rsid w:val="008E7068"/>
    <w:rsid w:val="008E706C"/>
    <w:rsid w:val="008E75C7"/>
    <w:rsid w:val="008E75D5"/>
    <w:rsid w:val="008E7777"/>
    <w:rsid w:val="008F0225"/>
    <w:rsid w:val="008F0342"/>
    <w:rsid w:val="008F0849"/>
    <w:rsid w:val="008F0898"/>
    <w:rsid w:val="008F0D6A"/>
    <w:rsid w:val="008F12A5"/>
    <w:rsid w:val="008F14AA"/>
    <w:rsid w:val="008F1A64"/>
    <w:rsid w:val="008F1B3E"/>
    <w:rsid w:val="008F1BCC"/>
    <w:rsid w:val="008F2375"/>
    <w:rsid w:val="008F2432"/>
    <w:rsid w:val="008F404B"/>
    <w:rsid w:val="008F4880"/>
    <w:rsid w:val="008F4907"/>
    <w:rsid w:val="008F50AB"/>
    <w:rsid w:val="008F5E1F"/>
    <w:rsid w:val="008F5ED0"/>
    <w:rsid w:val="008F65EF"/>
    <w:rsid w:val="008F692D"/>
    <w:rsid w:val="008F6A97"/>
    <w:rsid w:val="008F6C38"/>
    <w:rsid w:val="008F6D77"/>
    <w:rsid w:val="00900AFC"/>
    <w:rsid w:val="009011C3"/>
    <w:rsid w:val="00901204"/>
    <w:rsid w:val="009013FB"/>
    <w:rsid w:val="00901533"/>
    <w:rsid w:val="00901990"/>
    <w:rsid w:val="00901C22"/>
    <w:rsid w:val="00902263"/>
    <w:rsid w:val="009023D8"/>
    <w:rsid w:val="00902583"/>
    <w:rsid w:val="009027D9"/>
    <w:rsid w:val="009028AD"/>
    <w:rsid w:val="0090298A"/>
    <w:rsid w:val="00902E49"/>
    <w:rsid w:val="00902E71"/>
    <w:rsid w:val="009035DD"/>
    <w:rsid w:val="00903CF7"/>
    <w:rsid w:val="00903FCE"/>
    <w:rsid w:val="009040CD"/>
    <w:rsid w:val="00904262"/>
    <w:rsid w:val="00904327"/>
    <w:rsid w:val="00904A85"/>
    <w:rsid w:val="00904A94"/>
    <w:rsid w:val="00904ABE"/>
    <w:rsid w:val="00904E7A"/>
    <w:rsid w:val="0090534C"/>
    <w:rsid w:val="009056EF"/>
    <w:rsid w:val="00905B34"/>
    <w:rsid w:val="0090600E"/>
    <w:rsid w:val="00906D07"/>
    <w:rsid w:val="00906EFA"/>
    <w:rsid w:val="00907091"/>
    <w:rsid w:val="009072AA"/>
    <w:rsid w:val="0090754E"/>
    <w:rsid w:val="00907B40"/>
    <w:rsid w:val="00907BD5"/>
    <w:rsid w:val="00907BDB"/>
    <w:rsid w:val="00910280"/>
    <w:rsid w:val="009104C8"/>
    <w:rsid w:val="009104D8"/>
    <w:rsid w:val="0091068C"/>
    <w:rsid w:val="00910748"/>
    <w:rsid w:val="009107B8"/>
    <w:rsid w:val="009120B0"/>
    <w:rsid w:val="0091223E"/>
    <w:rsid w:val="009126D4"/>
    <w:rsid w:val="00912B16"/>
    <w:rsid w:val="00912F30"/>
    <w:rsid w:val="00912FD7"/>
    <w:rsid w:val="009130F7"/>
    <w:rsid w:val="00913486"/>
    <w:rsid w:val="00913603"/>
    <w:rsid w:val="00913684"/>
    <w:rsid w:val="00913C10"/>
    <w:rsid w:val="00913F44"/>
    <w:rsid w:val="00914794"/>
    <w:rsid w:val="00914814"/>
    <w:rsid w:val="009152E0"/>
    <w:rsid w:val="00915371"/>
    <w:rsid w:val="00915620"/>
    <w:rsid w:val="00915753"/>
    <w:rsid w:val="00915C9A"/>
    <w:rsid w:val="00915D7C"/>
    <w:rsid w:val="00916610"/>
    <w:rsid w:val="00916B70"/>
    <w:rsid w:val="0091720F"/>
    <w:rsid w:val="009203B0"/>
    <w:rsid w:val="00920777"/>
    <w:rsid w:val="00920A1F"/>
    <w:rsid w:val="00920C0B"/>
    <w:rsid w:val="00920E3B"/>
    <w:rsid w:val="009212C0"/>
    <w:rsid w:val="0092142E"/>
    <w:rsid w:val="0092174A"/>
    <w:rsid w:val="009224C0"/>
    <w:rsid w:val="00922694"/>
    <w:rsid w:val="009226E4"/>
    <w:rsid w:val="00922770"/>
    <w:rsid w:val="00922F10"/>
    <w:rsid w:val="0092385C"/>
    <w:rsid w:val="00923ECD"/>
    <w:rsid w:val="00924214"/>
    <w:rsid w:val="00924DA3"/>
    <w:rsid w:val="00925046"/>
    <w:rsid w:val="0092542D"/>
    <w:rsid w:val="00925666"/>
    <w:rsid w:val="00925B28"/>
    <w:rsid w:val="00925C42"/>
    <w:rsid w:val="00925DCC"/>
    <w:rsid w:val="00925FF2"/>
    <w:rsid w:val="009261C7"/>
    <w:rsid w:val="00926229"/>
    <w:rsid w:val="009262E8"/>
    <w:rsid w:val="0092664B"/>
    <w:rsid w:val="00926747"/>
    <w:rsid w:val="009268C2"/>
    <w:rsid w:val="00926A1D"/>
    <w:rsid w:val="00926A46"/>
    <w:rsid w:val="00926D1A"/>
    <w:rsid w:val="00926D77"/>
    <w:rsid w:val="0092720F"/>
    <w:rsid w:val="00927906"/>
    <w:rsid w:val="00927920"/>
    <w:rsid w:val="00927B56"/>
    <w:rsid w:val="00927EF8"/>
    <w:rsid w:val="00927F2C"/>
    <w:rsid w:val="00931326"/>
    <w:rsid w:val="00931968"/>
    <w:rsid w:val="00932155"/>
    <w:rsid w:val="00932E7C"/>
    <w:rsid w:val="00932EFC"/>
    <w:rsid w:val="00933281"/>
    <w:rsid w:val="00933819"/>
    <w:rsid w:val="00933B23"/>
    <w:rsid w:val="00933C52"/>
    <w:rsid w:val="00933E59"/>
    <w:rsid w:val="00934C59"/>
    <w:rsid w:val="00934E96"/>
    <w:rsid w:val="00935C19"/>
    <w:rsid w:val="00935C45"/>
    <w:rsid w:val="00935DA5"/>
    <w:rsid w:val="00935E1D"/>
    <w:rsid w:val="00935F8D"/>
    <w:rsid w:val="00936185"/>
    <w:rsid w:val="0093650C"/>
    <w:rsid w:val="00936843"/>
    <w:rsid w:val="00936AFF"/>
    <w:rsid w:val="00936BCB"/>
    <w:rsid w:val="00937A86"/>
    <w:rsid w:val="00940520"/>
    <w:rsid w:val="00940C7F"/>
    <w:rsid w:val="00940EF4"/>
    <w:rsid w:val="00940FDA"/>
    <w:rsid w:val="00941359"/>
    <w:rsid w:val="0094182B"/>
    <w:rsid w:val="00941FD6"/>
    <w:rsid w:val="0094207D"/>
    <w:rsid w:val="00942336"/>
    <w:rsid w:val="0094255B"/>
    <w:rsid w:val="009425C3"/>
    <w:rsid w:val="00942897"/>
    <w:rsid w:val="00942A29"/>
    <w:rsid w:val="00942CFD"/>
    <w:rsid w:val="00943240"/>
    <w:rsid w:val="009433E7"/>
    <w:rsid w:val="0094350D"/>
    <w:rsid w:val="00943552"/>
    <w:rsid w:val="009437C6"/>
    <w:rsid w:val="00943930"/>
    <w:rsid w:val="00943AF4"/>
    <w:rsid w:val="00943B0C"/>
    <w:rsid w:val="00943B3D"/>
    <w:rsid w:val="00943F0D"/>
    <w:rsid w:val="00943FAD"/>
    <w:rsid w:val="009440A5"/>
    <w:rsid w:val="0094452E"/>
    <w:rsid w:val="00944ACD"/>
    <w:rsid w:val="00945251"/>
    <w:rsid w:val="009452B7"/>
    <w:rsid w:val="009453A7"/>
    <w:rsid w:val="009454E8"/>
    <w:rsid w:val="00945B05"/>
    <w:rsid w:val="00945C0D"/>
    <w:rsid w:val="00945F5C"/>
    <w:rsid w:val="00945FA4"/>
    <w:rsid w:val="0094656E"/>
    <w:rsid w:val="00946F76"/>
    <w:rsid w:val="0094705B"/>
    <w:rsid w:val="00947647"/>
    <w:rsid w:val="00947A6B"/>
    <w:rsid w:val="009500E0"/>
    <w:rsid w:val="009502D0"/>
    <w:rsid w:val="0095048D"/>
    <w:rsid w:val="00950BCF"/>
    <w:rsid w:val="00950C1B"/>
    <w:rsid w:val="00950C89"/>
    <w:rsid w:val="00950CC0"/>
    <w:rsid w:val="00951133"/>
    <w:rsid w:val="0095114B"/>
    <w:rsid w:val="009515D5"/>
    <w:rsid w:val="00951611"/>
    <w:rsid w:val="0095169C"/>
    <w:rsid w:val="009517CE"/>
    <w:rsid w:val="00951847"/>
    <w:rsid w:val="00951CCF"/>
    <w:rsid w:val="00952318"/>
    <w:rsid w:val="00952BF7"/>
    <w:rsid w:val="009533C4"/>
    <w:rsid w:val="0095364A"/>
    <w:rsid w:val="009536DC"/>
    <w:rsid w:val="00953A9A"/>
    <w:rsid w:val="00953D36"/>
    <w:rsid w:val="009540AE"/>
    <w:rsid w:val="00954356"/>
    <w:rsid w:val="009546D9"/>
    <w:rsid w:val="00954912"/>
    <w:rsid w:val="00954BF9"/>
    <w:rsid w:val="00954ED2"/>
    <w:rsid w:val="0095514B"/>
    <w:rsid w:val="0095556E"/>
    <w:rsid w:val="00955F60"/>
    <w:rsid w:val="00956146"/>
    <w:rsid w:val="00956ADF"/>
    <w:rsid w:val="00956C29"/>
    <w:rsid w:val="00956EB0"/>
    <w:rsid w:val="00956EC5"/>
    <w:rsid w:val="00956F1C"/>
    <w:rsid w:val="00956F7E"/>
    <w:rsid w:val="009571F4"/>
    <w:rsid w:val="00957461"/>
    <w:rsid w:val="009574AF"/>
    <w:rsid w:val="009574DD"/>
    <w:rsid w:val="00957677"/>
    <w:rsid w:val="00957C26"/>
    <w:rsid w:val="00957D13"/>
    <w:rsid w:val="00957FAB"/>
    <w:rsid w:val="0096009B"/>
    <w:rsid w:val="009601B4"/>
    <w:rsid w:val="00960AE8"/>
    <w:rsid w:val="00961549"/>
    <w:rsid w:val="009618A7"/>
    <w:rsid w:val="00962639"/>
    <w:rsid w:val="00962906"/>
    <w:rsid w:val="00962BB9"/>
    <w:rsid w:val="009633AD"/>
    <w:rsid w:val="00963DAE"/>
    <w:rsid w:val="00963DC6"/>
    <w:rsid w:val="0096452F"/>
    <w:rsid w:val="00964637"/>
    <w:rsid w:val="00964B28"/>
    <w:rsid w:val="00964D10"/>
    <w:rsid w:val="00965220"/>
    <w:rsid w:val="009655CB"/>
    <w:rsid w:val="009659C7"/>
    <w:rsid w:val="00966167"/>
    <w:rsid w:val="009662B4"/>
    <w:rsid w:val="00966936"/>
    <w:rsid w:val="009678ED"/>
    <w:rsid w:val="00967AB6"/>
    <w:rsid w:val="009706A1"/>
    <w:rsid w:val="0097077B"/>
    <w:rsid w:val="009708B1"/>
    <w:rsid w:val="009708CC"/>
    <w:rsid w:val="00971164"/>
    <w:rsid w:val="00971BFC"/>
    <w:rsid w:val="00971ED5"/>
    <w:rsid w:val="00971F26"/>
    <w:rsid w:val="009727D1"/>
    <w:rsid w:val="00972E03"/>
    <w:rsid w:val="009733F4"/>
    <w:rsid w:val="00973515"/>
    <w:rsid w:val="00973907"/>
    <w:rsid w:val="0097398F"/>
    <w:rsid w:val="00974058"/>
    <w:rsid w:val="009740FF"/>
    <w:rsid w:val="0097465B"/>
    <w:rsid w:val="009748CF"/>
    <w:rsid w:val="00974AC4"/>
    <w:rsid w:val="00974D8F"/>
    <w:rsid w:val="00974DE6"/>
    <w:rsid w:val="00975271"/>
    <w:rsid w:val="009752E3"/>
    <w:rsid w:val="00975325"/>
    <w:rsid w:val="0097554A"/>
    <w:rsid w:val="0097578B"/>
    <w:rsid w:val="00976028"/>
    <w:rsid w:val="00976628"/>
    <w:rsid w:val="00977208"/>
    <w:rsid w:val="00977669"/>
    <w:rsid w:val="00977B68"/>
    <w:rsid w:val="00977EC9"/>
    <w:rsid w:val="009803F2"/>
    <w:rsid w:val="009804D8"/>
    <w:rsid w:val="0098079A"/>
    <w:rsid w:val="00980D4A"/>
    <w:rsid w:val="00981824"/>
    <w:rsid w:val="00981BE0"/>
    <w:rsid w:val="0098223C"/>
    <w:rsid w:val="0098257B"/>
    <w:rsid w:val="00982B93"/>
    <w:rsid w:val="00983A54"/>
    <w:rsid w:val="00983AA5"/>
    <w:rsid w:val="00983FCB"/>
    <w:rsid w:val="0098459F"/>
    <w:rsid w:val="009845F6"/>
    <w:rsid w:val="00984E98"/>
    <w:rsid w:val="009853CA"/>
    <w:rsid w:val="009856C4"/>
    <w:rsid w:val="00985B6E"/>
    <w:rsid w:val="00986542"/>
    <w:rsid w:val="0098658F"/>
    <w:rsid w:val="00986AF8"/>
    <w:rsid w:val="00986BFD"/>
    <w:rsid w:val="00986F9E"/>
    <w:rsid w:val="00986FEB"/>
    <w:rsid w:val="009871BC"/>
    <w:rsid w:val="00987246"/>
    <w:rsid w:val="009872A2"/>
    <w:rsid w:val="00987761"/>
    <w:rsid w:val="00987CC0"/>
    <w:rsid w:val="0099081C"/>
    <w:rsid w:val="00991556"/>
    <w:rsid w:val="00991698"/>
    <w:rsid w:val="00991833"/>
    <w:rsid w:val="0099183C"/>
    <w:rsid w:val="009918CF"/>
    <w:rsid w:val="00991A66"/>
    <w:rsid w:val="00991BA0"/>
    <w:rsid w:val="009920B8"/>
    <w:rsid w:val="009921EB"/>
    <w:rsid w:val="00992565"/>
    <w:rsid w:val="0099329A"/>
    <w:rsid w:val="0099471F"/>
    <w:rsid w:val="00994A27"/>
    <w:rsid w:val="00994D72"/>
    <w:rsid w:val="0099503F"/>
    <w:rsid w:val="009953D8"/>
    <w:rsid w:val="0099556E"/>
    <w:rsid w:val="00995FB7"/>
    <w:rsid w:val="0099675A"/>
    <w:rsid w:val="009967BB"/>
    <w:rsid w:val="00996D6B"/>
    <w:rsid w:val="009971CA"/>
    <w:rsid w:val="00997753"/>
    <w:rsid w:val="009A01EB"/>
    <w:rsid w:val="009A113E"/>
    <w:rsid w:val="009A14EC"/>
    <w:rsid w:val="009A2655"/>
    <w:rsid w:val="009A27B3"/>
    <w:rsid w:val="009A38EB"/>
    <w:rsid w:val="009A39B1"/>
    <w:rsid w:val="009A3CEE"/>
    <w:rsid w:val="009A4E72"/>
    <w:rsid w:val="009A5AC4"/>
    <w:rsid w:val="009A5C20"/>
    <w:rsid w:val="009A5F3C"/>
    <w:rsid w:val="009A6EBD"/>
    <w:rsid w:val="009A6F48"/>
    <w:rsid w:val="009A7020"/>
    <w:rsid w:val="009A709A"/>
    <w:rsid w:val="009A749F"/>
    <w:rsid w:val="009B09E1"/>
    <w:rsid w:val="009B0A00"/>
    <w:rsid w:val="009B0F6E"/>
    <w:rsid w:val="009B18D9"/>
    <w:rsid w:val="009B1990"/>
    <w:rsid w:val="009B1B84"/>
    <w:rsid w:val="009B1D03"/>
    <w:rsid w:val="009B1D27"/>
    <w:rsid w:val="009B2891"/>
    <w:rsid w:val="009B2E78"/>
    <w:rsid w:val="009B30CE"/>
    <w:rsid w:val="009B3C82"/>
    <w:rsid w:val="009B4273"/>
    <w:rsid w:val="009B4343"/>
    <w:rsid w:val="009B43CD"/>
    <w:rsid w:val="009B43F0"/>
    <w:rsid w:val="009B4487"/>
    <w:rsid w:val="009B4774"/>
    <w:rsid w:val="009B4915"/>
    <w:rsid w:val="009B53BB"/>
    <w:rsid w:val="009B549E"/>
    <w:rsid w:val="009B5A9D"/>
    <w:rsid w:val="009B64CF"/>
    <w:rsid w:val="009B72EE"/>
    <w:rsid w:val="009B7454"/>
    <w:rsid w:val="009B7E40"/>
    <w:rsid w:val="009C000B"/>
    <w:rsid w:val="009C0626"/>
    <w:rsid w:val="009C0890"/>
    <w:rsid w:val="009C0933"/>
    <w:rsid w:val="009C0C1B"/>
    <w:rsid w:val="009C1170"/>
    <w:rsid w:val="009C1809"/>
    <w:rsid w:val="009C1BFA"/>
    <w:rsid w:val="009C1EE1"/>
    <w:rsid w:val="009C2167"/>
    <w:rsid w:val="009C2169"/>
    <w:rsid w:val="009C26C3"/>
    <w:rsid w:val="009C27FD"/>
    <w:rsid w:val="009C2817"/>
    <w:rsid w:val="009C28A1"/>
    <w:rsid w:val="009C295F"/>
    <w:rsid w:val="009C3333"/>
    <w:rsid w:val="009C3501"/>
    <w:rsid w:val="009C3C22"/>
    <w:rsid w:val="009C4106"/>
    <w:rsid w:val="009C427B"/>
    <w:rsid w:val="009C4C41"/>
    <w:rsid w:val="009C4E48"/>
    <w:rsid w:val="009C4FD1"/>
    <w:rsid w:val="009C54F8"/>
    <w:rsid w:val="009C588F"/>
    <w:rsid w:val="009C5A2E"/>
    <w:rsid w:val="009C5D91"/>
    <w:rsid w:val="009C6095"/>
    <w:rsid w:val="009C61BD"/>
    <w:rsid w:val="009C61E0"/>
    <w:rsid w:val="009C62C1"/>
    <w:rsid w:val="009C63C5"/>
    <w:rsid w:val="009C677F"/>
    <w:rsid w:val="009C67F3"/>
    <w:rsid w:val="009C690A"/>
    <w:rsid w:val="009C69C0"/>
    <w:rsid w:val="009C7017"/>
    <w:rsid w:val="009D08F1"/>
    <w:rsid w:val="009D0AAF"/>
    <w:rsid w:val="009D0B60"/>
    <w:rsid w:val="009D1164"/>
    <w:rsid w:val="009D1298"/>
    <w:rsid w:val="009D1BFB"/>
    <w:rsid w:val="009D1CC2"/>
    <w:rsid w:val="009D292E"/>
    <w:rsid w:val="009D2AE9"/>
    <w:rsid w:val="009D2C64"/>
    <w:rsid w:val="009D2C83"/>
    <w:rsid w:val="009D310C"/>
    <w:rsid w:val="009D3511"/>
    <w:rsid w:val="009D3598"/>
    <w:rsid w:val="009D3668"/>
    <w:rsid w:val="009D4A8F"/>
    <w:rsid w:val="009D4BD8"/>
    <w:rsid w:val="009D4C4E"/>
    <w:rsid w:val="009D4F4A"/>
    <w:rsid w:val="009D5333"/>
    <w:rsid w:val="009D5506"/>
    <w:rsid w:val="009D581F"/>
    <w:rsid w:val="009D5B06"/>
    <w:rsid w:val="009D6886"/>
    <w:rsid w:val="009D68FA"/>
    <w:rsid w:val="009D6C7D"/>
    <w:rsid w:val="009D6EBC"/>
    <w:rsid w:val="009D6F0B"/>
    <w:rsid w:val="009D738C"/>
    <w:rsid w:val="009D7938"/>
    <w:rsid w:val="009D7EE6"/>
    <w:rsid w:val="009E00CF"/>
    <w:rsid w:val="009E04EC"/>
    <w:rsid w:val="009E053D"/>
    <w:rsid w:val="009E0FAA"/>
    <w:rsid w:val="009E1B24"/>
    <w:rsid w:val="009E21F0"/>
    <w:rsid w:val="009E2324"/>
    <w:rsid w:val="009E269D"/>
    <w:rsid w:val="009E2951"/>
    <w:rsid w:val="009E2B3E"/>
    <w:rsid w:val="009E2DD9"/>
    <w:rsid w:val="009E336F"/>
    <w:rsid w:val="009E33D1"/>
    <w:rsid w:val="009E3E5B"/>
    <w:rsid w:val="009E3FB0"/>
    <w:rsid w:val="009E3FFC"/>
    <w:rsid w:val="009E41B6"/>
    <w:rsid w:val="009E422D"/>
    <w:rsid w:val="009E4B1B"/>
    <w:rsid w:val="009E4E89"/>
    <w:rsid w:val="009E56EF"/>
    <w:rsid w:val="009E5800"/>
    <w:rsid w:val="009E61B5"/>
    <w:rsid w:val="009E62B9"/>
    <w:rsid w:val="009E6361"/>
    <w:rsid w:val="009E6673"/>
    <w:rsid w:val="009E6949"/>
    <w:rsid w:val="009E72A8"/>
    <w:rsid w:val="009E75A5"/>
    <w:rsid w:val="009F024B"/>
    <w:rsid w:val="009F027A"/>
    <w:rsid w:val="009F03B1"/>
    <w:rsid w:val="009F049F"/>
    <w:rsid w:val="009F04F2"/>
    <w:rsid w:val="009F051A"/>
    <w:rsid w:val="009F0CB4"/>
    <w:rsid w:val="009F1171"/>
    <w:rsid w:val="009F140A"/>
    <w:rsid w:val="009F17F3"/>
    <w:rsid w:val="009F1891"/>
    <w:rsid w:val="009F201E"/>
    <w:rsid w:val="009F2D64"/>
    <w:rsid w:val="009F2E98"/>
    <w:rsid w:val="009F33F8"/>
    <w:rsid w:val="009F3FD8"/>
    <w:rsid w:val="009F4162"/>
    <w:rsid w:val="009F4B61"/>
    <w:rsid w:val="009F4CA1"/>
    <w:rsid w:val="009F4ED6"/>
    <w:rsid w:val="009F4ED7"/>
    <w:rsid w:val="009F5187"/>
    <w:rsid w:val="009F53D9"/>
    <w:rsid w:val="009F57C4"/>
    <w:rsid w:val="009F5EB1"/>
    <w:rsid w:val="009F5EEA"/>
    <w:rsid w:val="009F6517"/>
    <w:rsid w:val="009F6A40"/>
    <w:rsid w:val="009F7037"/>
    <w:rsid w:val="009F7188"/>
    <w:rsid w:val="009F7CE1"/>
    <w:rsid w:val="009F7D40"/>
    <w:rsid w:val="009F7F2C"/>
    <w:rsid w:val="00A00910"/>
    <w:rsid w:val="00A00ABD"/>
    <w:rsid w:val="00A00BB2"/>
    <w:rsid w:val="00A01369"/>
    <w:rsid w:val="00A01554"/>
    <w:rsid w:val="00A016F1"/>
    <w:rsid w:val="00A01888"/>
    <w:rsid w:val="00A018E0"/>
    <w:rsid w:val="00A01E4D"/>
    <w:rsid w:val="00A02884"/>
    <w:rsid w:val="00A02BAA"/>
    <w:rsid w:val="00A03621"/>
    <w:rsid w:val="00A03B95"/>
    <w:rsid w:val="00A03BD2"/>
    <w:rsid w:val="00A041F1"/>
    <w:rsid w:val="00A04564"/>
    <w:rsid w:val="00A04C08"/>
    <w:rsid w:val="00A04E6E"/>
    <w:rsid w:val="00A056E0"/>
    <w:rsid w:val="00A059AB"/>
    <w:rsid w:val="00A061E6"/>
    <w:rsid w:val="00A063A7"/>
    <w:rsid w:val="00A07119"/>
    <w:rsid w:val="00A07297"/>
    <w:rsid w:val="00A07A4E"/>
    <w:rsid w:val="00A07CD7"/>
    <w:rsid w:val="00A07D5B"/>
    <w:rsid w:val="00A07F07"/>
    <w:rsid w:val="00A10067"/>
    <w:rsid w:val="00A101A9"/>
    <w:rsid w:val="00A102A9"/>
    <w:rsid w:val="00A10620"/>
    <w:rsid w:val="00A108BE"/>
    <w:rsid w:val="00A10AF8"/>
    <w:rsid w:val="00A10EF9"/>
    <w:rsid w:val="00A10F64"/>
    <w:rsid w:val="00A11B68"/>
    <w:rsid w:val="00A122EC"/>
    <w:rsid w:val="00A12E2A"/>
    <w:rsid w:val="00A13393"/>
    <w:rsid w:val="00A134FE"/>
    <w:rsid w:val="00A13861"/>
    <w:rsid w:val="00A13941"/>
    <w:rsid w:val="00A142CA"/>
    <w:rsid w:val="00A14842"/>
    <w:rsid w:val="00A14ABC"/>
    <w:rsid w:val="00A155FC"/>
    <w:rsid w:val="00A16521"/>
    <w:rsid w:val="00A168CE"/>
    <w:rsid w:val="00A16E22"/>
    <w:rsid w:val="00A16EDD"/>
    <w:rsid w:val="00A16F21"/>
    <w:rsid w:val="00A172E2"/>
    <w:rsid w:val="00A1791B"/>
    <w:rsid w:val="00A17C85"/>
    <w:rsid w:val="00A17FEC"/>
    <w:rsid w:val="00A22582"/>
    <w:rsid w:val="00A233B9"/>
    <w:rsid w:val="00A236A4"/>
    <w:rsid w:val="00A23741"/>
    <w:rsid w:val="00A23A4A"/>
    <w:rsid w:val="00A23CDD"/>
    <w:rsid w:val="00A23D2E"/>
    <w:rsid w:val="00A23F8A"/>
    <w:rsid w:val="00A241D5"/>
    <w:rsid w:val="00A24601"/>
    <w:rsid w:val="00A24B58"/>
    <w:rsid w:val="00A24F11"/>
    <w:rsid w:val="00A254D6"/>
    <w:rsid w:val="00A256C1"/>
    <w:rsid w:val="00A25752"/>
    <w:rsid w:val="00A25851"/>
    <w:rsid w:val="00A26069"/>
    <w:rsid w:val="00A26202"/>
    <w:rsid w:val="00A262D6"/>
    <w:rsid w:val="00A267B3"/>
    <w:rsid w:val="00A26988"/>
    <w:rsid w:val="00A26FAA"/>
    <w:rsid w:val="00A27B67"/>
    <w:rsid w:val="00A27BA1"/>
    <w:rsid w:val="00A27D43"/>
    <w:rsid w:val="00A30299"/>
    <w:rsid w:val="00A303F1"/>
    <w:rsid w:val="00A304CC"/>
    <w:rsid w:val="00A30860"/>
    <w:rsid w:val="00A3154A"/>
    <w:rsid w:val="00A318A6"/>
    <w:rsid w:val="00A31BD0"/>
    <w:rsid w:val="00A31DD2"/>
    <w:rsid w:val="00A3226D"/>
    <w:rsid w:val="00A327BB"/>
    <w:rsid w:val="00A32CB7"/>
    <w:rsid w:val="00A32D89"/>
    <w:rsid w:val="00A3305C"/>
    <w:rsid w:val="00A337F0"/>
    <w:rsid w:val="00A33883"/>
    <w:rsid w:val="00A338FD"/>
    <w:rsid w:val="00A33E2B"/>
    <w:rsid w:val="00A341BE"/>
    <w:rsid w:val="00A343EB"/>
    <w:rsid w:val="00A347D0"/>
    <w:rsid w:val="00A34ABC"/>
    <w:rsid w:val="00A34D0D"/>
    <w:rsid w:val="00A3529E"/>
    <w:rsid w:val="00A352D2"/>
    <w:rsid w:val="00A3535D"/>
    <w:rsid w:val="00A3593F"/>
    <w:rsid w:val="00A359BE"/>
    <w:rsid w:val="00A35A1A"/>
    <w:rsid w:val="00A36154"/>
    <w:rsid w:val="00A3625A"/>
    <w:rsid w:val="00A36D05"/>
    <w:rsid w:val="00A3707E"/>
    <w:rsid w:val="00A3782D"/>
    <w:rsid w:val="00A37C3E"/>
    <w:rsid w:val="00A404A2"/>
    <w:rsid w:val="00A4060E"/>
    <w:rsid w:val="00A40881"/>
    <w:rsid w:val="00A40D2A"/>
    <w:rsid w:val="00A413FE"/>
    <w:rsid w:val="00A41724"/>
    <w:rsid w:val="00A41A01"/>
    <w:rsid w:val="00A41D2D"/>
    <w:rsid w:val="00A42369"/>
    <w:rsid w:val="00A424D2"/>
    <w:rsid w:val="00A425FC"/>
    <w:rsid w:val="00A42637"/>
    <w:rsid w:val="00A429C5"/>
    <w:rsid w:val="00A42AA2"/>
    <w:rsid w:val="00A42AAB"/>
    <w:rsid w:val="00A42AC7"/>
    <w:rsid w:val="00A4313F"/>
    <w:rsid w:val="00A43A86"/>
    <w:rsid w:val="00A43B9A"/>
    <w:rsid w:val="00A4449F"/>
    <w:rsid w:val="00A44771"/>
    <w:rsid w:val="00A44BA7"/>
    <w:rsid w:val="00A44C33"/>
    <w:rsid w:val="00A454A9"/>
    <w:rsid w:val="00A458FA"/>
    <w:rsid w:val="00A45EBA"/>
    <w:rsid w:val="00A45FAF"/>
    <w:rsid w:val="00A4656E"/>
    <w:rsid w:val="00A4678A"/>
    <w:rsid w:val="00A46A00"/>
    <w:rsid w:val="00A46E40"/>
    <w:rsid w:val="00A46FC0"/>
    <w:rsid w:val="00A46FD5"/>
    <w:rsid w:val="00A4716C"/>
    <w:rsid w:val="00A473CA"/>
    <w:rsid w:val="00A47B1D"/>
    <w:rsid w:val="00A50185"/>
    <w:rsid w:val="00A5022C"/>
    <w:rsid w:val="00A5036B"/>
    <w:rsid w:val="00A50589"/>
    <w:rsid w:val="00A50669"/>
    <w:rsid w:val="00A506A9"/>
    <w:rsid w:val="00A507A2"/>
    <w:rsid w:val="00A507EB"/>
    <w:rsid w:val="00A5089E"/>
    <w:rsid w:val="00A50C76"/>
    <w:rsid w:val="00A50D05"/>
    <w:rsid w:val="00A511C4"/>
    <w:rsid w:val="00A5145F"/>
    <w:rsid w:val="00A51499"/>
    <w:rsid w:val="00A51A87"/>
    <w:rsid w:val="00A51BD9"/>
    <w:rsid w:val="00A51D12"/>
    <w:rsid w:val="00A51DA9"/>
    <w:rsid w:val="00A51E9A"/>
    <w:rsid w:val="00A52748"/>
    <w:rsid w:val="00A527B1"/>
    <w:rsid w:val="00A52C9F"/>
    <w:rsid w:val="00A52E1E"/>
    <w:rsid w:val="00A52EE2"/>
    <w:rsid w:val="00A5305A"/>
    <w:rsid w:val="00A530A4"/>
    <w:rsid w:val="00A53443"/>
    <w:rsid w:val="00A53C2D"/>
    <w:rsid w:val="00A53D4A"/>
    <w:rsid w:val="00A53D51"/>
    <w:rsid w:val="00A53F53"/>
    <w:rsid w:val="00A5404E"/>
    <w:rsid w:val="00A54108"/>
    <w:rsid w:val="00A54839"/>
    <w:rsid w:val="00A548E6"/>
    <w:rsid w:val="00A55CAC"/>
    <w:rsid w:val="00A55D46"/>
    <w:rsid w:val="00A56425"/>
    <w:rsid w:val="00A56C1E"/>
    <w:rsid w:val="00A57022"/>
    <w:rsid w:val="00A57205"/>
    <w:rsid w:val="00A574B3"/>
    <w:rsid w:val="00A57ADD"/>
    <w:rsid w:val="00A57FA8"/>
    <w:rsid w:val="00A6010C"/>
    <w:rsid w:val="00A60521"/>
    <w:rsid w:val="00A60561"/>
    <w:rsid w:val="00A6115D"/>
    <w:rsid w:val="00A61531"/>
    <w:rsid w:val="00A615BF"/>
    <w:rsid w:val="00A61FC5"/>
    <w:rsid w:val="00A6204B"/>
    <w:rsid w:val="00A620A1"/>
    <w:rsid w:val="00A620E2"/>
    <w:rsid w:val="00A623A9"/>
    <w:rsid w:val="00A625E1"/>
    <w:rsid w:val="00A627FE"/>
    <w:rsid w:val="00A629BA"/>
    <w:rsid w:val="00A62A02"/>
    <w:rsid w:val="00A62A2E"/>
    <w:rsid w:val="00A63279"/>
    <w:rsid w:val="00A63445"/>
    <w:rsid w:val="00A637F7"/>
    <w:rsid w:val="00A63826"/>
    <w:rsid w:val="00A639BE"/>
    <w:rsid w:val="00A63C3B"/>
    <w:rsid w:val="00A63F33"/>
    <w:rsid w:val="00A64830"/>
    <w:rsid w:val="00A64BA7"/>
    <w:rsid w:val="00A64D40"/>
    <w:rsid w:val="00A652C2"/>
    <w:rsid w:val="00A65AE0"/>
    <w:rsid w:val="00A6647B"/>
    <w:rsid w:val="00A665D4"/>
    <w:rsid w:val="00A66A3E"/>
    <w:rsid w:val="00A66B78"/>
    <w:rsid w:val="00A703BC"/>
    <w:rsid w:val="00A70A3E"/>
    <w:rsid w:val="00A70F1F"/>
    <w:rsid w:val="00A7150C"/>
    <w:rsid w:val="00A71645"/>
    <w:rsid w:val="00A71C18"/>
    <w:rsid w:val="00A71DC2"/>
    <w:rsid w:val="00A72E65"/>
    <w:rsid w:val="00A73296"/>
    <w:rsid w:val="00A73A52"/>
    <w:rsid w:val="00A73C17"/>
    <w:rsid w:val="00A73D3C"/>
    <w:rsid w:val="00A73FBE"/>
    <w:rsid w:val="00A73FF8"/>
    <w:rsid w:val="00A7408A"/>
    <w:rsid w:val="00A7416A"/>
    <w:rsid w:val="00A750AA"/>
    <w:rsid w:val="00A753B4"/>
    <w:rsid w:val="00A754F2"/>
    <w:rsid w:val="00A759FE"/>
    <w:rsid w:val="00A75F02"/>
    <w:rsid w:val="00A75F6A"/>
    <w:rsid w:val="00A76042"/>
    <w:rsid w:val="00A76798"/>
    <w:rsid w:val="00A76C25"/>
    <w:rsid w:val="00A76C75"/>
    <w:rsid w:val="00A76DAB"/>
    <w:rsid w:val="00A76DB2"/>
    <w:rsid w:val="00A76E7A"/>
    <w:rsid w:val="00A76EDB"/>
    <w:rsid w:val="00A77219"/>
    <w:rsid w:val="00A7743D"/>
    <w:rsid w:val="00A77452"/>
    <w:rsid w:val="00A7776C"/>
    <w:rsid w:val="00A80308"/>
    <w:rsid w:val="00A80A37"/>
    <w:rsid w:val="00A80B97"/>
    <w:rsid w:val="00A81207"/>
    <w:rsid w:val="00A814BB"/>
    <w:rsid w:val="00A818E4"/>
    <w:rsid w:val="00A82516"/>
    <w:rsid w:val="00A82A8E"/>
    <w:rsid w:val="00A82AE0"/>
    <w:rsid w:val="00A82B4E"/>
    <w:rsid w:val="00A82E6C"/>
    <w:rsid w:val="00A82EC5"/>
    <w:rsid w:val="00A83119"/>
    <w:rsid w:val="00A844F1"/>
    <w:rsid w:val="00A849D8"/>
    <w:rsid w:val="00A84D22"/>
    <w:rsid w:val="00A84FE7"/>
    <w:rsid w:val="00A85693"/>
    <w:rsid w:val="00A85A67"/>
    <w:rsid w:val="00A86161"/>
    <w:rsid w:val="00A8616C"/>
    <w:rsid w:val="00A862F5"/>
    <w:rsid w:val="00A86722"/>
    <w:rsid w:val="00A86780"/>
    <w:rsid w:val="00A869AF"/>
    <w:rsid w:val="00A86CFF"/>
    <w:rsid w:val="00A874D8"/>
    <w:rsid w:val="00A8751C"/>
    <w:rsid w:val="00A8780F"/>
    <w:rsid w:val="00A87A79"/>
    <w:rsid w:val="00A87AB5"/>
    <w:rsid w:val="00A87D55"/>
    <w:rsid w:val="00A87E46"/>
    <w:rsid w:val="00A901EC"/>
    <w:rsid w:val="00A9062D"/>
    <w:rsid w:val="00A907F0"/>
    <w:rsid w:val="00A9100D"/>
    <w:rsid w:val="00A91168"/>
    <w:rsid w:val="00A9129D"/>
    <w:rsid w:val="00A91458"/>
    <w:rsid w:val="00A9153E"/>
    <w:rsid w:val="00A916F6"/>
    <w:rsid w:val="00A9178B"/>
    <w:rsid w:val="00A917BD"/>
    <w:rsid w:val="00A918B2"/>
    <w:rsid w:val="00A92265"/>
    <w:rsid w:val="00A923C0"/>
    <w:rsid w:val="00A9245D"/>
    <w:rsid w:val="00A925F2"/>
    <w:rsid w:val="00A92AFF"/>
    <w:rsid w:val="00A930CA"/>
    <w:rsid w:val="00A935C9"/>
    <w:rsid w:val="00A937D8"/>
    <w:rsid w:val="00A93D41"/>
    <w:rsid w:val="00A9435C"/>
    <w:rsid w:val="00A943E0"/>
    <w:rsid w:val="00A94590"/>
    <w:rsid w:val="00A94B83"/>
    <w:rsid w:val="00A94F7D"/>
    <w:rsid w:val="00A95357"/>
    <w:rsid w:val="00A95642"/>
    <w:rsid w:val="00A95769"/>
    <w:rsid w:val="00A9578C"/>
    <w:rsid w:val="00A9592A"/>
    <w:rsid w:val="00A95972"/>
    <w:rsid w:val="00A95D41"/>
    <w:rsid w:val="00A96152"/>
    <w:rsid w:val="00A969A1"/>
    <w:rsid w:val="00A96E01"/>
    <w:rsid w:val="00A973FD"/>
    <w:rsid w:val="00A97AA5"/>
    <w:rsid w:val="00A97FCA"/>
    <w:rsid w:val="00AA0042"/>
    <w:rsid w:val="00AA00DF"/>
    <w:rsid w:val="00AA01A2"/>
    <w:rsid w:val="00AA06DF"/>
    <w:rsid w:val="00AA0734"/>
    <w:rsid w:val="00AA07B8"/>
    <w:rsid w:val="00AA082F"/>
    <w:rsid w:val="00AA0CE9"/>
    <w:rsid w:val="00AA0DB1"/>
    <w:rsid w:val="00AA1245"/>
    <w:rsid w:val="00AA1267"/>
    <w:rsid w:val="00AA1469"/>
    <w:rsid w:val="00AA14A2"/>
    <w:rsid w:val="00AA1602"/>
    <w:rsid w:val="00AA1801"/>
    <w:rsid w:val="00AA1F36"/>
    <w:rsid w:val="00AA1FC8"/>
    <w:rsid w:val="00AA2174"/>
    <w:rsid w:val="00AA2675"/>
    <w:rsid w:val="00AA28B6"/>
    <w:rsid w:val="00AA2EE9"/>
    <w:rsid w:val="00AA30CD"/>
    <w:rsid w:val="00AA312C"/>
    <w:rsid w:val="00AA39EC"/>
    <w:rsid w:val="00AA3A5B"/>
    <w:rsid w:val="00AA3A64"/>
    <w:rsid w:val="00AA3A86"/>
    <w:rsid w:val="00AA47C1"/>
    <w:rsid w:val="00AA4A5F"/>
    <w:rsid w:val="00AA52DB"/>
    <w:rsid w:val="00AA549D"/>
    <w:rsid w:val="00AA58E8"/>
    <w:rsid w:val="00AA590F"/>
    <w:rsid w:val="00AA5AC2"/>
    <w:rsid w:val="00AA5C3B"/>
    <w:rsid w:val="00AA5F72"/>
    <w:rsid w:val="00AA619C"/>
    <w:rsid w:val="00AA61D5"/>
    <w:rsid w:val="00AA6213"/>
    <w:rsid w:val="00AA634F"/>
    <w:rsid w:val="00AA63C6"/>
    <w:rsid w:val="00AA677E"/>
    <w:rsid w:val="00AA6AF2"/>
    <w:rsid w:val="00AA6C01"/>
    <w:rsid w:val="00AA7064"/>
    <w:rsid w:val="00AA73C8"/>
    <w:rsid w:val="00AA75E8"/>
    <w:rsid w:val="00AA79F8"/>
    <w:rsid w:val="00AA7AC4"/>
    <w:rsid w:val="00AA7BB2"/>
    <w:rsid w:val="00AB0297"/>
    <w:rsid w:val="00AB038D"/>
    <w:rsid w:val="00AB03C5"/>
    <w:rsid w:val="00AB0678"/>
    <w:rsid w:val="00AB0DC8"/>
    <w:rsid w:val="00AB0F26"/>
    <w:rsid w:val="00AB0F85"/>
    <w:rsid w:val="00AB11B4"/>
    <w:rsid w:val="00AB21AE"/>
    <w:rsid w:val="00AB2CAB"/>
    <w:rsid w:val="00AB31B8"/>
    <w:rsid w:val="00AB349C"/>
    <w:rsid w:val="00AB353E"/>
    <w:rsid w:val="00AB370D"/>
    <w:rsid w:val="00AB4448"/>
    <w:rsid w:val="00AB463F"/>
    <w:rsid w:val="00AB49A6"/>
    <w:rsid w:val="00AB4CED"/>
    <w:rsid w:val="00AB5729"/>
    <w:rsid w:val="00AB581D"/>
    <w:rsid w:val="00AB5AFD"/>
    <w:rsid w:val="00AB5E0F"/>
    <w:rsid w:val="00AB64F8"/>
    <w:rsid w:val="00AB666C"/>
    <w:rsid w:val="00AB682C"/>
    <w:rsid w:val="00AB6AB5"/>
    <w:rsid w:val="00AB6D5D"/>
    <w:rsid w:val="00AB7761"/>
    <w:rsid w:val="00AB7E3B"/>
    <w:rsid w:val="00AB7F8F"/>
    <w:rsid w:val="00AC019A"/>
    <w:rsid w:val="00AC0256"/>
    <w:rsid w:val="00AC0332"/>
    <w:rsid w:val="00AC059E"/>
    <w:rsid w:val="00AC0E68"/>
    <w:rsid w:val="00AC10D4"/>
    <w:rsid w:val="00AC2474"/>
    <w:rsid w:val="00AC2598"/>
    <w:rsid w:val="00AC25C3"/>
    <w:rsid w:val="00AC28C6"/>
    <w:rsid w:val="00AC2E18"/>
    <w:rsid w:val="00AC2F7E"/>
    <w:rsid w:val="00AC3492"/>
    <w:rsid w:val="00AC3A0A"/>
    <w:rsid w:val="00AC3E45"/>
    <w:rsid w:val="00AC41BE"/>
    <w:rsid w:val="00AC4742"/>
    <w:rsid w:val="00AC4BD5"/>
    <w:rsid w:val="00AC4CAE"/>
    <w:rsid w:val="00AC4E17"/>
    <w:rsid w:val="00AC52C9"/>
    <w:rsid w:val="00AC55FA"/>
    <w:rsid w:val="00AC57E6"/>
    <w:rsid w:val="00AC5D09"/>
    <w:rsid w:val="00AC692F"/>
    <w:rsid w:val="00AC762A"/>
    <w:rsid w:val="00AC7634"/>
    <w:rsid w:val="00AC7B26"/>
    <w:rsid w:val="00AC7FB3"/>
    <w:rsid w:val="00AD008A"/>
    <w:rsid w:val="00AD0A1F"/>
    <w:rsid w:val="00AD0DB9"/>
    <w:rsid w:val="00AD0E4F"/>
    <w:rsid w:val="00AD0E5C"/>
    <w:rsid w:val="00AD15A2"/>
    <w:rsid w:val="00AD15E4"/>
    <w:rsid w:val="00AD1B71"/>
    <w:rsid w:val="00AD246B"/>
    <w:rsid w:val="00AD280F"/>
    <w:rsid w:val="00AD2DDC"/>
    <w:rsid w:val="00AD3B54"/>
    <w:rsid w:val="00AD3C18"/>
    <w:rsid w:val="00AD3CE2"/>
    <w:rsid w:val="00AD42CC"/>
    <w:rsid w:val="00AD4319"/>
    <w:rsid w:val="00AD4A9F"/>
    <w:rsid w:val="00AD4B52"/>
    <w:rsid w:val="00AD5049"/>
    <w:rsid w:val="00AD5266"/>
    <w:rsid w:val="00AD5401"/>
    <w:rsid w:val="00AD549A"/>
    <w:rsid w:val="00AD54F5"/>
    <w:rsid w:val="00AD57FF"/>
    <w:rsid w:val="00AD5CE5"/>
    <w:rsid w:val="00AD5F91"/>
    <w:rsid w:val="00AD6801"/>
    <w:rsid w:val="00AD6C14"/>
    <w:rsid w:val="00AD6C2B"/>
    <w:rsid w:val="00AD7ED1"/>
    <w:rsid w:val="00AD7FC5"/>
    <w:rsid w:val="00AE003A"/>
    <w:rsid w:val="00AE021E"/>
    <w:rsid w:val="00AE0220"/>
    <w:rsid w:val="00AE0768"/>
    <w:rsid w:val="00AE0D53"/>
    <w:rsid w:val="00AE0FA7"/>
    <w:rsid w:val="00AE0FD7"/>
    <w:rsid w:val="00AE1715"/>
    <w:rsid w:val="00AE1BBA"/>
    <w:rsid w:val="00AE2211"/>
    <w:rsid w:val="00AE2BD1"/>
    <w:rsid w:val="00AE2C94"/>
    <w:rsid w:val="00AE2F55"/>
    <w:rsid w:val="00AE33DB"/>
    <w:rsid w:val="00AE3CEB"/>
    <w:rsid w:val="00AE3D8C"/>
    <w:rsid w:val="00AE4207"/>
    <w:rsid w:val="00AE43A1"/>
    <w:rsid w:val="00AE43DF"/>
    <w:rsid w:val="00AE467D"/>
    <w:rsid w:val="00AE5653"/>
    <w:rsid w:val="00AE56E4"/>
    <w:rsid w:val="00AE576B"/>
    <w:rsid w:val="00AE57C8"/>
    <w:rsid w:val="00AE5BC3"/>
    <w:rsid w:val="00AE67C6"/>
    <w:rsid w:val="00AE69D4"/>
    <w:rsid w:val="00AE6FBE"/>
    <w:rsid w:val="00AE7145"/>
    <w:rsid w:val="00AE7E19"/>
    <w:rsid w:val="00AE7EA2"/>
    <w:rsid w:val="00AF050E"/>
    <w:rsid w:val="00AF0A33"/>
    <w:rsid w:val="00AF0AA5"/>
    <w:rsid w:val="00AF0AF2"/>
    <w:rsid w:val="00AF14AC"/>
    <w:rsid w:val="00AF39D3"/>
    <w:rsid w:val="00AF402D"/>
    <w:rsid w:val="00AF43C1"/>
    <w:rsid w:val="00AF4549"/>
    <w:rsid w:val="00AF4A35"/>
    <w:rsid w:val="00AF4B01"/>
    <w:rsid w:val="00AF4C15"/>
    <w:rsid w:val="00AF4D36"/>
    <w:rsid w:val="00AF4F29"/>
    <w:rsid w:val="00AF5C01"/>
    <w:rsid w:val="00AF655F"/>
    <w:rsid w:val="00AF6724"/>
    <w:rsid w:val="00AF6830"/>
    <w:rsid w:val="00AF6BDB"/>
    <w:rsid w:val="00AF6E7D"/>
    <w:rsid w:val="00AF6EBD"/>
    <w:rsid w:val="00AF70E6"/>
    <w:rsid w:val="00AF7464"/>
    <w:rsid w:val="00AF78DE"/>
    <w:rsid w:val="00AF793C"/>
    <w:rsid w:val="00AF7D8F"/>
    <w:rsid w:val="00AF7DF5"/>
    <w:rsid w:val="00B00133"/>
    <w:rsid w:val="00B00270"/>
    <w:rsid w:val="00B0093B"/>
    <w:rsid w:val="00B00A2F"/>
    <w:rsid w:val="00B00C76"/>
    <w:rsid w:val="00B00CB9"/>
    <w:rsid w:val="00B00D47"/>
    <w:rsid w:val="00B00EDB"/>
    <w:rsid w:val="00B010CE"/>
    <w:rsid w:val="00B01365"/>
    <w:rsid w:val="00B01A21"/>
    <w:rsid w:val="00B01EB0"/>
    <w:rsid w:val="00B01F14"/>
    <w:rsid w:val="00B02444"/>
    <w:rsid w:val="00B02924"/>
    <w:rsid w:val="00B02961"/>
    <w:rsid w:val="00B03075"/>
    <w:rsid w:val="00B034A3"/>
    <w:rsid w:val="00B0402A"/>
    <w:rsid w:val="00B040B1"/>
    <w:rsid w:val="00B04269"/>
    <w:rsid w:val="00B04346"/>
    <w:rsid w:val="00B043CA"/>
    <w:rsid w:val="00B04758"/>
    <w:rsid w:val="00B0499C"/>
    <w:rsid w:val="00B05639"/>
    <w:rsid w:val="00B0572D"/>
    <w:rsid w:val="00B05980"/>
    <w:rsid w:val="00B05F45"/>
    <w:rsid w:val="00B06263"/>
    <w:rsid w:val="00B066D0"/>
    <w:rsid w:val="00B06A12"/>
    <w:rsid w:val="00B06B98"/>
    <w:rsid w:val="00B06DBE"/>
    <w:rsid w:val="00B1002F"/>
    <w:rsid w:val="00B1108C"/>
    <w:rsid w:val="00B11916"/>
    <w:rsid w:val="00B11E7F"/>
    <w:rsid w:val="00B12980"/>
    <w:rsid w:val="00B12D79"/>
    <w:rsid w:val="00B13646"/>
    <w:rsid w:val="00B13970"/>
    <w:rsid w:val="00B13BF3"/>
    <w:rsid w:val="00B1439D"/>
    <w:rsid w:val="00B147EC"/>
    <w:rsid w:val="00B14BD8"/>
    <w:rsid w:val="00B15237"/>
    <w:rsid w:val="00B155EE"/>
    <w:rsid w:val="00B1574B"/>
    <w:rsid w:val="00B15E2F"/>
    <w:rsid w:val="00B15FB4"/>
    <w:rsid w:val="00B16071"/>
    <w:rsid w:val="00B1623E"/>
    <w:rsid w:val="00B1644D"/>
    <w:rsid w:val="00B1646C"/>
    <w:rsid w:val="00B16853"/>
    <w:rsid w:val="00B169D9"/>
    <w:rsid w:val="00B16B60"/>
    <w:rsid w:val="00B16CBA"/>
    <w:rsid w:val="00B176C3"/>
    <w:rsid w:val="00B177F5"/>
    <w:rsid w:val="00B2012B"/>
    <w:rsid w:val="00B2099D"/>
    <w:rsid w:val="00B20DC5"/>
    <w:rsid w:val="00B219A4"/>
    <w:rsid w:val="00B21F46"/>
    <w:rsid w:val="00B222AD"/>
    <w:rsid w:val="00B22D47"/>
    <w:rsid w:val="00B22E09"/>
    <w:rsid w:val="00B2307C"/>
    <w:rsid w:val="00B23337"/>
    <w:rsid w:val="00B23513"/>
    <w:rsid w:val="00B239ED"/>
    <w:rsid w:val="00B23BFE"/>
    <w:rsid w:val="00B23C14"/>
    <w:rsid w:val="00B24069"/>
    <w:rsid w:val="00B2414C"/>
    <w:rsid w:val="00B24A78"/>
    <w:rsid w:val="00B24F5B"/>
    <w:rsid w:val="00B2533A"/>
    <w:rsid w:val="00B257A2"/>
    <w:rsid w:val="00B258D1"/>
    <w:rsid w:val="00B25C1A"/>
    <w:rsid w:val="00B2625A"/>
    <w:rsid w:val="00B263A5"/>
    <w:rsid w:val="00B26650"/>
    <w:rsid w:val="00B26776"/>
    <w:rsid w:val="00B26873"/>
    <w:rsid w:val="00B26B24"/>
    <w:rsid w:val="00B27131"/>
    <w:rsid w:val="00B276BC"/>
    <w:rsid w:val="00B3012A"/>
    <w:rsid w:val="00B30546"/>
    <w:rsid w:val="00B30DEB"/>
    <w:rsid w:val="00B31107"/>
    <w:rsid w:val="00B31187"/>
    <w:rsid w:val="00B31800"/>
    <w:rsid w:val="00B31E47"/>
    <w:rsid w:val="00B31EBE"/>
    <w:rsid w:val="00B3202F"/>
    <w:rsid w:val="00B3224A"/>
    <w:rsid w:val="00B3276C"/>
    <w:rsid w:val="00B327ED"/>
    <w:rsid w:val="00B33384"/>
    <w:rsid w:val="00B335AA"/>
    <w:rsid w:val="00B33B4E"/>
    <w:rsid w:val="00B34556"/>
    <w:rsid w:val="00B346C8"/>
    <w:rsid w:val="00B349F0"/>
    <w:rsid w:val="00B34A2E"/>
    <w:rsid w:val="00B34C5C"/>
    <w:rsid w:val="00B34E12"/>
    <w:rsid w:val="00B34F6F"/>
    <w:rsid w:val="00B3567B"/>
    <w:rsid w:val="00B3591F"/>
    <w:rsid w:val="00B3593E"/>
    <w:rsid w:val="00B35F00"/>
    <w:rsid w:val="00B36D09"/>
    <w:rsid w:val="00B36FCA"/>
    <w:rsid w:val="00B37526"/>
    <w:rsid w:val="00B37561"/>
    <w:rsid w:val="00B37745"/>
    <w:rsid w:val="00B37ACA"/>
    <w:rsid w:val="00B37DCD"/>
    <w:rsid w:val="00B37F4B"/>
    <w:rsid w:val="00B40A41"/>
    <w:rsid w:val="00B40B02"/>
    <w:rsid w:val="00B40C3E"/>
    <w:rsid w:val="00B40EBF"/>
    <w:rsid w:val="00B41475"/>
    <w:rsid w:val="00B41D23"/>
    <w:rsid w:val="00B42046"/>
    <w:rsid w:val="00B4209B"/>
    <w:rsid w:val="00B431B7"/>
    <w:rsid w:val="00B431ED"/>
    <w:rsid w:val="00B43899"/>
    <w:rsid w:val="00B43DC3"/>
    <w:rsid w:val="00B441C6"/>
    <w:rsid w:val="00B446AA"/>
    <w:rsid w:val="00B44BF0"/>
    <w:rsid w:val="00B45631"/>
    <w:rsid w:val="00B456F7"/>
    <w:rsid w:val="00B459C0"/>
    <w:rsid w:val="00B46262"/>
    <w:rsid w:val="00B4698C"/>
    <w:rsid w:val="00B4729F"/>
    <w:rsid w:val="00B472B9"/>
    <w:rsid w:val="00B47626"/>
    <w:rsid w:val="00B50058"/>
    <w:rsid w:val="00B5095A"/>
    <w:rsid w:val="00B50BB3"/>
    <w:rsid w:val="00B51392"/>
    <w:rsid w:val="00B51A87"/>
    <w:rsid w:val="00B51CD2"/>
    <w:rsid w:val="00B5232B"/>
    <w:rsid w:val="00B5289B"/>
    <w:rsid w:val="00B52A8A"/>
    <w:rsid w:val="00B52E39"/>
    <w:rsid w:val="00B530B2"/>
    <w:rsid w:val="00B530F1"/>
    <w:rsid w:val="00B53250"/>
    <w:rsid w:val="00B532A1"/>
    <w:rsid w:val="00B532B3"/>
    <w:rsid w:val="00B53626"/>
    <w:rsid w:val="00B54123"/>
    <w:rsid w:val="00B541BC"/>
    <w:rsid w:val="00B54326"/>
    <w:rsid w:val="00B54546"/>
    <w:rsid w:val="00B54AA2"/>
    <w:rsid w:val="00B54F5D"/>
    <w:rsid w:val="00B555E4"/>
    <w:rsid w:val="00B558F8"/>
    <w:rsid w:val="00B55D69"/>
    <w:rsid w:val="00B55FD4"/>
    <w:rsid w:val="00B562CC"/>
    <w:rsid w:val="00B562EA"/>
    <w:rsid w:val="00B56308"/>
    <w:rsid w:val="00B5752E"/>
    <w:rsid w:val="00B577FB"/>
    <w:rsid w:val="00B57FFD"/>
    <w:rsid w:val="00B601F5"/>
    <w:rsid w:val="00B609DF"/>
    <w:rsid w:val="00B609E3"/>
    <w:rsid w:val="00B61071"/>
    <w:rsid w:val="00B611E4"/>
    <w:rsid w:val="00B611E7"/>
    <w:rsid w:val="00B61225"/>
    <w:rsid w:val="00B61537"/>
    <w:rsid w:val="00B61B40"/>
    <w:rsid w:val="00B62837"/>
    <w:rsid w:val="00B6291B"/>
    <w:rsid w:val="00B636C9"/>
    <w:rsid w:val="00B63B29"/>
    <w:rsid w:val="00B63C2B"/>
    <w:rsid w:val="00B63ED3"/>
    <w:rsid w:val="00B64203"/>
    <w:rsid w:val="00B64465"/>
    <w:rsid w:val="00B64700"/>
    <w:rsid w:val="00B64C1F"/>
    <w:rsid w:val="00B64D25"/>
    <w:rsid w:val="00B650B4"/>
    <w:rsid w:val="00B6566A"/>
    <w:rsid w:val="00B656C2"/>
    <w:rsid w:val="00B65F01"/>
    <w:rsid w:val="00B6653C"/>
    <w:rsid w:val="00B66802"/>
    <w:rsid w:val="00B66A0C"/>
    <w:rsid w:val="00B6728B"/>
    <w:rsid w:val="00B6776B"/>
    <w:rsid w:val="00B67CDD"/>
    <w:rsid w:val="00B67DF4"/>
    <w:rsid w:val="00B67E0F"/>
    <w:rsid w:val="00B67F38"/>
    <w:rsid w:val="00B67F83"/>
    <w:rsid w:val="00B70055"/>
    <w:rsid w:val="00B70101"/>
    <w:rsid w:val="00B7015C"/>
    <w:rsid w:val="00B701B4"/>
    <w:rsid w:val="00B7075B"/>
    <w:rsid w:val="00B70D15"/>
    <w:rsid w:val="00B715F7"/>
    <w:rsid w:val="00B715F9"/>
    <w:rsid w:val="00B7196A"/>
    <w:rsid w:val="00B71A41"/>
    <w:rsid w:val="00B71A79"/>
    <w:rsid w:val="00B71AAA"/>
    <w:rsid w:val="00B71BE8"/>
    <w:rsid w:val="00B72154"/>
    <w:rsid w:val="00B72328"/>
    <w:rsid w:val="00B725A9"/>
    <w:rsid w:val="00B72730"/>
    <w:rsid w:val="00B727E4"/>
    <w:rsid w:val="00B728EF"/>
    <w:rsid w:val="00B731F4"/>
    <w:rsid w:val="00B73461"/>
    <w:rsid w:val="00B73922"/>
    <w:rsid w:val="00B73979"/>
    <w:rsid w:val="00B73B36"/>
    <w:rsid w:val="00B73D59"/>
    <w:rsid w:val="00B74889"/>
    <w:rsid w:val="00B748FD"/>
    <w:rsid w:val="00B74A3F"/>
    <w:rsid w:val="00B75114"/>
    <w:rsid w:val="00B7511D"/>
    <w:rsid w:val="00B7526D"/>
    <w:rsid w:val="00B754F5"/>
    <w:rsid w:val="00B759C5"/>
    <w:rsid w:val="00B75DE4"/>
    <w:rsid w:val="00B760B2"/>
    <w:rsid w:val="00B761BD"/>
    <w:rsid w:val="00B767CC"/>
    <w:rsid w:val="00B77618"/>
    <w:rsid w:val="00B7767B"/>
    <w:rsid w:val="00B77DF8"/>
    <w:rsid w:val="00B8000A"/>
    <w:rsid w:val="00B802BE"/>
    <w:rsid w:val="00B80ACF"/>
    <w:rsid w:val="00B80B25"/>
    <w:rsid w:val="00B80C51"/>
    <w:rsid w:val="00B80CC0"/>
    <w:rsid w:val="00B80E80"/>
    <w:rsid w:val="00B814C8"/>
    <w:rsid w:val="00B8155B"/>
    <w:rsid w:val="00B81D4E"/>
    <w:rsid w:val="00B81E45"/>
    <w:rsid w:val="00B82262"/>
    <w:rsid w:val="00B82C52"/>
    <w:rsid w:val="00B83B0B"/>
    <w:rsid w:val="00B847CB"/>
    <w:rsid w:val="00B84959"/>
    <w:rsid w:val="00B84989"/>
    <w:rsid w:val="00B84A07"/>
    <w:rsid w:val="00B84E75"/>
    <w:rsid w:val="00B84EF3"/>
    <w:rsid w:val="00B84F49"/>
    <w:rsid w:val="00B85053"/>
    <w:rsid w:val="00B853A3"/>
    <w:rsid w:val="00B85514"/>
    <w:rsid w:val="00B85739"/>
    <w:rsid w:val="00B859A3"/>
    <w:rsid w:val="00B85AD5"/>
    <w:rsid w:val="00B85B94"/>
    <w:rsid w:val="00B85BA4"/>
    <w:rsid w:val="00B85C59"/>
    <w:rsid w:val="00B85E0E"/>
    <w:rsid w:val="00B86152"/>
    <w:rsid w:val="00B86403"/>
    <w:rsid w:val="00B864F9"/>
    <w:rsid w:val="00B86856"/>
    <w:rsid w:val="00B86AF6"/>
    <w:rsid w:val="00B86FE3"/>
    <w:rsid w:val="00B874EA"/>
    <w:rsid w:val="00B876D7"/>
    <w:rsid w:val="00B87C83"/>
    <w:rsid w:val="00B90ED9"/>
    <w:rsid w:val="00B91207"/>
    <w:rsid w:val="00B912B5"/>
    <w:rsid w:val="00B91995"/>
    <w:rsid w:val="00B92688"/>
    <w:rsid w:val="00B927AC"/>
    <w:rsid w:val="00B92D45"/>
    <w:rsid w:val="00B92E34"/>
    <w:rsid w:val="00B9312B"/>
    <w:rsid w:val="00B933EE"/>
    <w:rsid w:val="00B93423"/>
    <w:rsid w:val="00B93A7B"/>
    <w:rsid w:val="00B93C2E"/>
    <w:rsid w:val="00B9402B"/>
    <w:rsid w:val="00B94803"/>
    <w:rsid w:val="00B94D8E"/>
    <w:rsid w:val="00B94DB1"/>
    <w:rsid w:val="00B95492"/>
    <w:rsid w:val="00B954F1"/>
    <w:rsid w:val="00B956CB"/>
    <w:rsid w:val="00B95A5E"/>
    <w:rsid w:val="00B95F5D"/>
    <w:rsid w:val="00B96062"/>
    <w:rsid w:val="00B96120"/>
    <w:rsid w:val="00B96226"/>
    <w:rsid w:val="00B96953"/>
    <w:rsid w:val="00B96B23"/>
    <w:rsid w:val="00B9748D"/>
    <w:rsid w:val="00B974B7"/>
    <w:rsid w:val="00B97540"/>
    <w:rsid w:val="00B97707"/>
    <w:rsid w:val="00B97A3F"/>
    <w:rsid w:val="00B97B45"/>
    <w:rsid w:val="00BA020C"/>
    <w:rsid w:val="00BA0238"/>
    <w:rsid w:val="00BA031D"/>
    <w:rsid w:val="00BA05D1"/>
    <w:rsid w:val="00BA06B0"/>
    <w:rsid w:val="00BA0CF0"/>
    <w:rsid w:val="00BA0EA9"/>
    <w:rsid w:val="00BA1222"/>
    <w:rsid w:val="00BA146F"/>
    <w:rsid w:val="00BA1472"/>
    <w:rsid w:val="00BA1570"/>
    <w:rsid w:val="00BA1F66"/>
    <w:rsid w:val="00BA1FE0"/>
    <w:rsid w:val="00BA22FA"/>
    <w:rsid w:val="00BA285E"/>
    <w:rsid w:val="00BA3686"/>
    <w:rsid w:val="00BA3954"/>
    <w:rsid w:val="00BA3B36"/>
    <w:rsid w:val="00BA3E18"/>
    <w:rsid w:val="00BA3E9D"/>
    <w:rsid w:val="00BA4265"/>
    <w:rsid w:val="00BA434D"/>
    <w:rsid w:val="00BA445F"/>
    <w:rsid w:val="00BA4777"/>
    <w:rsid w:val="00BA51A8"/>
    <w:rsid w:val="00BA58E9"/>
    <w:rsid w:val="00BA5E81"/>
    <w:rsid w:val="00BA63BC"/>
    <w:rsid w:val="00BA6475"/>
    <w:rsid w:val="00BA65F5"/>
    <w:rsid w:val="00BA6946"/>
    <w:rsid w:val="00BA6A40"/>
    <w:rsid w:val="00BA6C72"/>
    <w:rsid w:val="00BA6CA6"/>
    <w:rsid w:val="00BA6D0F"/>
    <w:rsid w:val="00BA6DCA"/>
    <w:rsid w:val="00BA70FC"/>
    <w:rsid w:val="00BA7B3A"/>
    <w:rsid w:val="00BB00FC"/>
    <w:rsid w:val="00BB0440"/>
    <w:rsid w:val="00BB0D2C"/>
    <w:rsid w:val="00BB0FE2"/>
    <w:rsid w:val="00BB1825"/>
    <w:rsid w:val="00BB1888"/>
    <w:rsid w:val="00BB190E"/>
    <w:rsid w:val="00BB199F"/>
    <w:rsid w:val="00BB1B64"/>
    <w:rsid w:val="00BB22DA"/>
    <w:rsid w:val="00BB25F7"/>
    <w:rsid w:val="00BB26AE"/>
    <w:rsid w:val="00BB2BBA"/>
    <w:rsid w:val="00BB2DFE"/>
    <w:rsid w:val="00BB346C"/>
    <w:rsid w:val="00BB369C"/>
    <w:rsid w:val="00BB3944"/>
    <w:rsid w:val="00BB3BE0"/>
    <w:rsid w:val="00BB3EE3"/>
    <w:rsid w:val="00BB41C5"/>
    <w:rsid w:val="00BB4432"/>
    <w:rsid w:val="00BB4965"/>
    <w:rsid w:val="00BB4F7C"/>
    <w:rsid w:val="00BB4F9C"/>
    <w:rsid w:val="00BB50C1"/>
    <w:rsid w:val="00BB58A1"/>
    <w:rsid w:val="00BB5E57"/>
    <w:rsid w:val="00BB5E94"/>
    <w:rsid w:val="00BB5EBC"/>
    <w:rsid w:val="00BB5FB7"/>
    <w:rsid w:val="00BB5FF4"/>
    <w:rsid w:val="00BB6B89"/>
    <w:rsid w:val="00BB7654"/>
    <w:rsid w:val="00BB7933"/>
    <w:rsid w:val="00BB794D"/>
    <w:rsid w:val="00BC019A"/>
    <w:rsid w:val="00BC052E"/>
    <w:rsid w:val="00BC0657"/>
    <w:rsid w:val="00BC0890"/>
    <w:rsid w:val="00BC0B3D"/>
    <w:rsid w:val="00BC0CD3"/>
    <w:rsid w:val="00BC11CD"/>
    <w:rsid w:val="00BC1C2A"/>
    <w:rsid w:val="00BC2501"/>
    <w:rsid w:val="00BC2601"/>
    <w:rsid w:val="00BC353C"/>
    <w:rsid w:val="00BC43F6"/>
    <w:rsid w:val="00BC4505"/>
    <w:rsid w:val="00BC45C2"/>
    <w:rsid w:val="00BC48B5"/>
    <w:rsid w:val="00BC4B8E"/>
    <w:rsid w:val="00BC4CDB"/>
    <w:rsid w:val="00BC4F14"/>
    <w:rsid w:val="00BC50A6"/>
    <w:rsid w:val="00BC52E1"/>
    <w:rsid w:val="00BC54CD"/>
    <w:rsid w:val="00BC54FE"/>
    <w:rsid w:val="00BC57A3"/>
    <w:rsid w:val="00BC5929"/>
    <w:rsid w:val="00BC5E3E"/>
    <w:rsid w:val="00BC5FA5"/>
    <w:rsid w:val="00BC6000"/>
    <w:rsid w:val="00BC6006"/>
    <w:rsid w:val="00BC6226"/>
    <w:rsid w:val="00BC666F"/>
    <w:rsid w:val="00BC6C77"/>
    <w:rsid w:val="00BC6EFD"/>
    <w:rsid w:val="00BC7BE5"/>
    <w:rsid w:val="00BC7E8B"/>
    <w:rsid w:val="00BD0052"/>
    <w:rsid w:val="00BD05DC"/>
    <w:rsid w:val="00BD0799"/>
    <w:rsid w:val="00BD0966"/>
    <w:rsid w:val="00BD0CE2"/>
    <w:rsid w:val="00BD0E57"/>
    <w:rsid w:val="00BD0EAA"/>
    <w:rsid w:val="00BD142B"/>
    <w:rsid w:val="00BD1A05"/>
    <w:rsid w:val="00BD21CC"/>
    <w:rsid w:val="00BD2927"/>
    <w:rsid w:val="00BD29E6"/>
    <w:rsid w:val="00BD335A"/>
    <w:rsid w:val="00BD3D9A"/>
    <w:rsid w:val="00BD40A6"/>
    <w:rsid w:val="00BD4396"/>
    <w:rsid w:val="00BD45A3"/>
    <w:rsid w:val="00BD65CD"/>
    <w:rsid w:val="00BD668D"/>
    <w:rsid w:val="00BD6BF2"/>
    <w:rsid w:val="00BD6FB2"/>
    <w:rsid w:val="00BD70FE"/>
    <w:rsid w:val="00BD7194"/>
    <w:rsid w:val="00BD7EEF"/>
    <w:rsid w:val="00BE00EF"/>
    <w:rsid w:val="00BE0781"/>
    <w:rsid w:val="00BE0808"/>
    <w:rsid w:val="00BE0918"/>
    <w:rsid w:val="00BE094B"/>
    <w:rsid w:val="00BE0B76"/>
    <w:rsid w:val="00BE0B9A"/>
    <w:rsid w:val="00BE1077"/>
    <w:rsid w:val="00BE1125"/>
    <w:rsid w:val="00BE1667"/>
    <w:rsid w:val="00BE19FF"/>
    <w:rsid w:val="00BE1A5B"/>
    <w:rsid w:val="00BE210F"/>
    <w:rsid w:val="00BE25B0"/>
    <w:rsid w:val="00BE305F"/>
    <w:rsid w:val="00BE3298"/>
    <w:rsid w:val="00BE3772"/>
    <w:rsid w:val="00BE40A4"/>
    <w:rsid w:val="00BE4505"/>
    <w:rsid w:val="00BE4525"/>
    <w:rsid w:val="00BE4553"/>
    <w:rsid w:val="00BE4B81"/>
    <w:rsid w:val="00BE4BDA"/>
    <w:rsid w:val="00BE4C62"/>
    <w:rsid w:val="00BE4F49"/>
    <w:rsid w:val="00BE52D8"/>
    <w:rsid w:val="00BE53ED"/>
    <w:rsid w:val="00BE5AA4"/>
    <w:rsid w:val="00BE6292"/>
    <w:rsid w:val="00BE6376"/>
    <w:rsid w:val="00BE687B"/>
    <w:rsid w:val="00BE6AD9"/>
    <w:rsid w:val="00BE71E9"/>
    <w:rsid w:val="00BE7450"/>
    <w:rsid w:val="00BE794A"/>
    <w:rsid w:val="00BE7A59"/>
    <w:rsid w:val="00BE7CA6"/>
    <w:rsid w:val="00BF050D"/>
    <w:rsid w:val="00BF0963"/>
    <w:rsid w:val="00BF0A9C"/>
    <w:rsid w:val="00BF13D6"/>
    <w:rsid w:val="00BF1761"/>
    <w:rsid w:val="00BF1A8F"/>
    <w:rsid w:val="00BF1D4C"/>
    <w:rsid w:val="00BF1F79"/>
    <w:rsid w:val="00BF2116"/>
    <w:rsid w:val="00BF228D"/>
    <w:rsid w:val="00BF26A0"/>
    <w:rsid w:val="00BF2B87"/>
    <w:rsid w:val="00BF2BF9"/>
    <w:rsid w:val="00BF2F8F"/>
    <w:rsid w:val="00BF317C"/>
    <w:rsid w:val="00BF3C77"/>
    <w:rsid w:val="00BF41B4"/>
    <w:rsid w:val="00BF4314"/>
    <w:rsid w:val="00BF44EC"/>
    <w:rsid w:val="00BF47DC"/>
    <w:rsid w:val="00BF48A5"/>
    <w:rsid w:val="00BF4C89"/>
    <w:rsid w:val="00BF4C97"/>
    <w:rsid w:val="00BF5147"/>
    <w:rsid w:val="00BF5688"/>
    <w:rsid w:val="00BF5CE0"/>
    <w:rsid w:val="00BF5F68"/>
    <w:rsid w:val="00BF62BD"/>
    <w:rsid w:val="00BF6303"/>
    <w:rsid w:val="00BF67F5"/>
    <w:rsid w:val="00BF693C"/>
    <w:rsid w:val="00BF693E"/>
    <w:rsid w:val="00BF6998"/>
    <w:rsid w:val="00BF6B96"/>
    <w:rsid w:val="00BF7532"/>
    <w:rsid w:val="00BF78A8"/>
    <w:rsid w:val="00BF7C4F"/>
    <w:rsid w:val="00BF7D2E"/>
    <w:rsid w:val="00C00531"/>
    <w:rsid w:val="00C00564"/>
    <w:rsid w:val="00C00CF8"/>
    <w:rsid w:val="00C00DBD"/>
    <w:rsid w:val="00C02C4D"/>
    <w:rsid w:val="00C02E35"/>
    <w:rsid w:val="00C02E8E"/>
    <w:rsid w:val="00C03AEF"/>
    <w:rsid w:val="00C04420"/>
    <w:rsid w:val="00C04440"/>
    <w:rsid w:val="00C048A2"/>
    <w:rsid w:val="00C04E2B"/>
    <w:rsid w:val="00C05240"/>
    <w:rsid w:val="00C05AEF"/>
    <w:rsid w:val="00C05E8F"/>
    <w:rsid w:val="00C05FAA"/>
    <w:rsid w:val="00C06179"/>
    <w:rsid w:val="00C066BE"/>
    <w:rsid w:val="00C06A76"/>
    <w:rsid w:val="00C071D0"/>
    <w:rsid w:val="00C0760B"/>
    <w:rsid w:val="00C079BB"/>
    <w:rsid w:val="00C1020B"/>
    <w:rsid w:val="00C102F9"/>
    <w:rsid w:val="00C10B9D"/>
    <w:rsid w:val="00C10CC8"/>
    <w:rsid w:val="00C11050"/>
    <w:rsid w:val="00C1142A"/>
    <w:rsid w:val="00C119A5"/>
    <w:rsid w:val="00C12324"/>
    <w:rsid w:val="00C12AB3"/>
    <w:rsid w:val="00C12ED5"/>
    <w:rsid w:val="00C13126"/>
    <w:rsid w:val="00C13154"/>
    <w:rsid w:val="00C132B5"/>
    <w:rsid w:val="00C135A5"/>
    <w:rsid w:val="00C13BCD"/>
    <w:rsid w:val="00C145D8"/>
    <w:rsid w:val="00C14601"/>
    <w:rsid w:val="00C14689"/>
    <w:rsid w:val="00C1471D"/>
    <w:rsid w:val="00C147A4"/>
    <w:rsid w:val="00C14999"/>
    <w:rsid w:val="00C151E7"/>
    <w:rsid w:val="00C15715"/>
    <w:rsid w:val="00C159B1"/>
    <w:rsid w:val="00C15B0A"/>
    <w:rsid w:val="00C160F0"/>
    <w:rsid w:val="00C1623E"/>
    <w:rsid w:val="00C163AC"/>
    <w:rsid w:val="00C16B88"/>
    <w:rsid w:val="00C16B99"/>
    <w:rsid w:val="00C16BF7"/>
    <w:rsid w:val="00C1710D"/>
    <w:rsid w:val="00C17998"/>
    <w:rsid w:val="00C17CC9"/>
    <w:rsid w:val="00C17FA3"/>
    <w:rsid w:val="00C20795"/>
    <w:rsid w:val="00C20A70"/>
    <w:rsid w:val="00C20A9E"/>
    <w:rsid w:val="00C20C3E"/>
    <w:rsid w:val="00C20F82"/>
    <w:rsid w:val="00C210C8"/>
    <w:rsid w:val="00C21180"/>
    <w:rsid w:val="00C21463"/>
    <w:rsid w:val="00C215FE"/>
    <w:rsid w:val="00C22648"/>
    <w:rsid w:val="00C22692"/>
    <w:rsid w:val="00C22936"/>
    <w:rsid w:val="00C22AA4"/>
    <w:rsid w:val="00C22F34"/>
    <w:rsid w:val="00C2334B"/>
    <w:rsid w:val="00C237D5"/>
    <w:rsid w:val="00C2447C"/>
    <w:rsid w:val="00C2465F"/>
    <w:rsid w:val="00C247F5"/>
    <w:rsid w:val="00C24B34"/>
    <w:rsid w:val="00C24BA7"/>
    <w:rsid w:val="00C24E84"/>
    <w:rsid w:val="00C25026"/>
    <w:rsid w:val="00C250D8"/>
    <w:rsid w:val="00C251E2"/>
    <w:rsid w:val="00C25451"/>
    <w:rsid w:val="00C25C69"/>
    <w:rsid w:val="00C269B6"/>
    <w:rsid w:val="00C26E7A"/>
    <w:rsid w:val="00C27419"/>
    <w:rsid w:val="00C274F9"/>
    <w:rsid w:val="00C27C62"/>
    <w:rsid w:val="00C27E3F"/>
    <w:rsid w:val="00C30354"/>
    <w:rsid w:val="00C30624"/>
    <w:rsid w:val="00C306ED"/>
    <w:rsid w:val="00C308D1"/>
    <w:rsid w:val="00C30998"/>
    <w:rsid w:val="00C309EE"/>
    <w:rsid w:val="00C30C65"/>
    <w:rsid w:val="00C3237D"/>
    <w:rsid w:val="00C32B78"/>
    <w:rsid w:val="00C32DB5"/>
    <w:rsid w:val="00C32DD0"/>
    <w:rsid w:val="00C33639"/>
    <w:rsid w:val="00C33C5D"/>
    <w:rsid w:val="00C33CA7"/>
    <w:rsid w:val="00C33D48"/>
    <w:rsid w:val="00C34140"/>
    <w:rsid w:val="00C342EC"/>
    <w:rsid w:val="00C34513"/>
    <w:rsid w:val="00C34839"/>
    <w:rsid w:val="00C34AB3"/>
    <w:rsid w:val="00C35BB9"/>
    <w:rsid w:val="00C35CFB"/>
    <w:rsid w:val="00C35EBC"/>
    <w:rsid w:val="00C35F07"/>
    <w:rsid w:val="00C35FD1"/>
    <w:rsid w:val="00C360EA"/>
    <w:rsid w:val="00C361BC"/>
    <w:rsid w:val="00C368FA"/>
    <w:rsid w:val="00C3694E"/>
    <w:rsid w:val="00C36BC9"/>
    <w:rsid w:val="00C372E0"/>
    <w:rsid w:val="00C378E2"/>
    <w:rsid w:val="00C37C7C"/>
    <w:rsid w:val="00C4022F"/>
    <w:rsid w:val="00C405BE"/>
    <w:rsid w:val="00C4072E"/>
    <w:rsid w:val="00C4097C"/>
    <w:rsid w:val="00C417DD"/>
    <w:rsid w:val="00C418BC"/>
    <w:rsid w:val="00C41ECE"/>
    <w:rsid w:val="00C41EE3"/>
    <w:rsid w:val="00C42339"/>
    <w:rsid w:val="00C4259F"/>
    <w:rsid w:val="00C427CB"/>
    <w:rsid w:val="00C42F33"/>
    <w:rsid w:val="00C4368A"/>
    <w:rsid w:val="00C43882"/>
    <w:rsid w:val="00C439D6"/>
    <w:rsid w:val="00C43D77"/>
    <w:rsid w:val="00C43D78"/>
    <w:rsid w:val="00C44500"/>
    <w:rsid w:val="00C449E4"/>
    <w:rsid w:val="00C44B66"/>
    <w:rsid w:val="00C44BB4"/>
    <w:rsid w:val="00C44D3E"/>
    <w:rsid w:val="00C44FAB"/>
    <w:rsid w:val="00C453A5"/>
    <w:rsid w:val="00C45560"/>
    <w:rsid w:val="00C455FC"/>
    <w:rsid w:val="00C45762"/>
    <w:rsid w:val="00C4583D"/>
    <w:rsid w:val="00C45A1F"/>
    <w:rsid w:val="00C46363"/>
    <w:rsid w:val="00C46780"/>
    <w:rsid w:val="00C46909"/>
    <w:rsid w:val="00C46DD7"/>
    <w:rsid w:val="00C46F70"/>
    <w:rsid w:val="00C46FA0"/>
    <w:rsid w:val="00C4706E"/>
    <w:rsid w:val="00C47692"/>
    <w:rsid w:val="00C4777B"/>
    <w:rsid w:val="00C47C28"/>
    <w:rsid w:val="00C47C8C"/>
    <w:rsid w:val="00C50025"/>
    <w:rsid w:val="00C50135"/>
    <w:rsid w:val="00C50150"/>
    <w:rsid w:val="00C50288"/>
    <w:rsid w:val="00C5032B"/>
    <w:rsid w:val="00C503F4"/>
    <w:rsid w:val="00C50800"/>
    <w:rsid w:val="00C50A36"/>
    <w:rsid w:val="00C50E69"/>
    <w:rsid w:val="00C511CF"/>
    <w:rsid w:val="00C51385"/>
    <w:rsid w:val="00C51545"/>
    <w:rsid w:val="00C51CBF"/>
    <w:rsid w:val="00C52038"/>
    <w:rsid w:val="00C5213E"/>
    <w:rsid w:val="00C523AB"/>
    <w:rsid w:val="00C52461"/>
    <w:rsid w:val="00C52617"/>
    <w:rsid w:val="00C5290D"/>
    <w:rsid w:val="00C52F5D"/>
    <w:rsid w:val="00C53214"/>
    <w:rsid w:val="00C53394"/>
    <w:rsid w:val="00C533DF"/>
    <w:rsid w:val="00C53773"/>
    <w:rsid w:val="00C5389B"/>
    <w:rsid w:val="00C53B79"/>
    <w:rsid w:val="00C53D34"/>
    <w:rsid w:val="00C540F6"/>
    <w:rsid w:val="00C546D8"/>
    <w:rsid w:val="00C54A57"/>
    <w:rsid w:val="00C54C51"/>
    <w:rsid w:val="00C54EE0"/>
    <w:rsid w:val="00C5592A"/>
    <w:rsid w:val="00C55982"/>
    <w:rsid w:val="00C55A3D"/>
    <w:rsid w:val="00C55AD5"/>
    <w:rsid w:val="00C55E28"/>
    <w:rsid w:val="00C56006"/>
    <w:rsid w:val="00C565AC"/>
    <w:rsid w:val="00C56702"/>
    <w:rsid w:val="00C56A64"/>
    <w:rsid w:val="00C57480"/>
    <w:rsid w:val="00C57DF1"/>
    <w:rsid w:val="00C60089"/>
    <w:rsid w:val="00C604C1"/>
    <w:rsid w:val="00C6091C"/>
    <w:rsid w:val="00C60C4F"/>
    <w:rsid w:val="00C60D66"/>
    <w:rsid w:val="00C60D7B"/>
    <w:rsid w:val="00C61614"/>
    <w:rsid w:val="00C61A1B"/>
    <w:rsid w:val="00C61B5F"/>
    <w:rsid w:val="00C631B9"/>
    <w:rsid w:val="00C6327E"/>
    <w:rsid w:val="00C63C2D"/>
    <w:rsid w:val="00C63D44"/>
    <w:rsid w:val="00C643D1"/>
    <w:rsid w:val="00C6456C"/>
    <w:rsid w:val="00C6497D"/>
    <w:rsid w:val="00C64BA0"/>
    <w:rsid w:val="00C6500C"/>
    <w:rsid w:val="00C6506E"/>
    <w:rsid w:val="00C6518D"/>
    <w:rsid w:val="00C65555"/>
    <w:rsid w:val="00C65AC4"/>
    <w:rsid w:val="00C65C4F"/>
    <w:rsid w:val="00C65D0D"/>
    <w:rsid w:val="00C65D17"/>
    <w:rsid w:val="00C65FCD"/>
    <w:rsid w:val="00C6621A"/>
    <w:rsid w:val="00C667A6"/>
    <w:rsid w:val="00C66F1C"/>
    <w:rsid w:val="00C67031"/>
    <w:rsid w:val="00C67411"/>
    <w:rsid w:val="00C678BB"/>
    <w:rsid w:val="00C67B3F"/>
    <w:rsid w:val="00C70653"/>
    <w:rsid w:val="00C7138F"/>
    <w:rsid w:val="00C714B9"/>
    <w:rsid w:val="00C719B2"/>
    <w:rsid w:val="00C71C0C"/>
    <w:rsid w:val="00C72501"/>
    <w:rsid w:val="00C72C62"/>
    <w:rsid w:val="00C72D39"/>
    <w:rsid w:val="00C72FA3"/>
    <w:rsid w:val="00C7303A"/>
    <w:rsid w:val="00C73096"/>
    <w:rsid w:val="00C730D1"/>
    <w:rsid w:val="00C734D3"/>
    <w:rsid w:val="00C735C8"/>
    <w:rsid w:val="00C7387D"/>
    <w:rsid w:val="00C73E47"/>
    <w:rsid w:val="00C742E0"/>
    <w:rsid w:val="00C74424"/>
    <w:rsid w:val="00C74839"/>
    <w:rsid w:val="00C74EBC"/>
    <w:rsid w:val="00C7501E"/>
    <w:rsid w:val="00C753DB"/>
    <w:rsid w:val="00C75A58"/>
    <w:rsid w:val="00C75C43"/>
    <w:rsid w:val="00C761B6"/>
    <w:rsid w:val="00C76F45"/>
    <w:rsid w:val="00C775A7"/>
    <w:rsid w:val="00C777A7"/>
    <w:rsid w:val="00C77B3B"/>
    <w:rsid w:val="00C77E8D"/>
    <w:rsid w:val="00C80633"/>
    <w:rsid w:val="00C810BE"/>
    <w:rsid w:val="00C81354"/>
    <w:rsid w:val="00C81361"/>
    <w:rsid w:val="00C8150C"/>
    <w:rsid w:val="00C81570"/>
    <w:rsid w:val="00C8176A"/>
    <w:rsid w:val="00C8180A"/>
    <w:rsid w:val="00C81C46"/>
    <w:rsid w:val="00C8228E"/>
    <w:rsid w:val="00C8297F"/>
    <w:rsid w:val="00C82A3E"/>
    <w:rsid w:val="00C82C61"/>
    <w:rsid w:val="00C8317F"/>
    <w:rsid w:val="00C831EE"/>
    <w:rsid w:val="00C83211"/>
    <w:rsid w:val="00C83DD1"/>
    <w:rsid w:val="00C83E0B"/>
    <w:rsid w:val="00C84AAD"/>
    <w:rsid w:val="00C84D8A"/>
    <w:rsid w:val="00C84F0D"/>
    <w:rsid w:val="00C85127"/>
    <w:rsid w:val="00C858ED"/>
    <w:rsid w:val="00C8682C"/>
    <w:rsid w:val="00C8684D"/>
    <w:rsid w:val="00C86895"/>
    <w:rsid w:val="00C868EB"/>
    <w:rsid w:val="00C86A19"/>
    <w:rsid w:val="00C86E03"/>
    <w:rsid w:val="00C86E61"/>
    <w:rsid w:val="00C86EAC"/>
    <w:rsid w:val="00C8703C"/>
    <w:rsid w:val="00C8708A"/>
    <w:rsid w:val="00C874BA"/>
    <w:rsid w:val="00C87952"/>
    <w:rsid w:val="00C87C25"/>
    <w:rsid w:val="00C87EA8"/>
    <w:rsid w:val="00C87FF3"/>
    <w:rsid w:val="00C9011B"/>
    <w:rsid w:val="00C903C0"/>
    <w:rsid w:val="00C904AF"/>
    <w:rsid w:val="00C9071A"/>
    <w:rsid w:val="00C90757"/>
    <w:rsid w:val="00C90AE2"/>
    <w:rsid w:val="00C90BB9"/>
    <w:rsid w:val="00C9152A"/>
    <w:rsid w:val="00C91786"/>
    <w:rsid w:val="00C91A65"/>
    <w:rsid w:val="00C9221A"/>
    <w:rsid w:val="00C923F5"/>
    <w:rsid w:val="00C92733"/>
    <w:rsid w:val="00C92998"/>
    <w:rsid w:val="00C92A40"/>
    <w:rsid w:val="00C92FA0"/>
    <w:rsid w:val="00C92FC9"/>
    <w:rsid w:val="00C9355D"/>
    <w:rsid w:val="00C9372A"/>
    <w:rsid w:val="00C938D8"/>
    <w:rsid w:val="00C93AEA"/>
    <w:rsid w:val="00C93E06"/>
    <w:rsid w:val="00C94061"/>
    <w:rsid w:val="00C941C1"/>
    <w:rsid w:val="00C947CC"/>
    <w:rsid w:val="00C94D0F"/>
    <w:rsid w:val="00C950CA"/>
    <w:rsid w:val="00C95260"/>
    <w:rsid w:val="00C95721"/>
    <w:rsid w:val="00C95762"/>
    <w:rsid w:val="00C95B68"/>
    <w:rsid w:val="00C95E35"/>
    <w:rsid w:val="00C95F49"/>
    <w:rsid w:val="00C96392"/>
    <w:rsid w:val="00C96CAC"/>
    <w:rsid w:val="00C96CE1"/>
    <w:rsid w:val="00C97456"/>
    <w:rsid w:val="00C97640"/>
    <w:rsid w:val="00C97669"/>
    <w:rsid w:val="00CA0A93"/>
    <w:rsid w:val="00CA13EA"/>
    <w:rsid w:val="00CA159B"/>
    <w:rsid w:val="00CA1BBB"/>
    <w:rsid w:val="00CA1D0A"/>
    <w:rsid w:val="00CA2216"/>
    <w:rsid w:val="00CA2650"/>
    <w:rsid w:val="00CA2A37"/>
    <w:rsid w:val="00CA2B8C"/>
    <w:rsid w:val="00CA2C05"/>
    <w:rsid w:val="00CA37A3"/>
    <w:rsid w:val="00CA38B8"/>
    <w:rsid w:val="00CA3B51"/>
    <w:rsid w:val="00CA3D52"/>
    <w:rsid w:val="00CA452C"/>
    <w:rsid w:val="00CA520A"/>
    <w:rsid w:val="00CA560F"/>
    <w:rsid w:val="00CA571D"/>
    <w:rsid w:val="00CA5753"/>
    <w:rsid w:val="00CA5880"/>
    <w:rsid w:val="00CA68F2"/>
    <w:rsid w:val="00CA70E6"/>
    <w:rsid w:val="00CA78B3"/>
    <w:rsid w:val="00CA78E5"/>
    <w:rsid w:val="00CA7D31"/>
    <w:rsid w:val="00CA7D95"/>
    <w:rsid w:val="00CA7E33"/>
    <w:rsid w:val="00CB01F1"/>
    <w:rsid w:val="00CB0226"/>
    <w:rsid w:val="00CB0308"/>
    <w:rsid w:val="00CB0317"/>
    <w:rsid w:val="00CB0937"/>
    <w:rsid w:val="00CB0BD2"/>
    <w:rsid w:val="00CB0EF9"/>
    <w:rsid w:val="00CB1004"/>
    <w:rsid w:val="00CB14C5"/>
    <w:rsid w:val="00CB1D79"/>
    <w:rsid w:val="00CB1E8F"/>
    <w:rsid w:val="00CB207E"/>
    <w:rsid w:val="00CB254C"/>
    <w:rsid w:val="00CB2970"/>
    <w:rsid w:val="00CB2C19"/>
    <w:rsid w:val="00CB2CBC"/>
    <w:rsid w:val="00CB33DF"/>
    <w:rsid w:val="00CB3530"/>
    <w:rsid w:val="00CB35FF"/>
    <w:rsid w:val="00CB36FC"/>
    <w:rsid w:val="00CB394E"/>
    <w:rsid w:val="00CB3D7C"/>
    <w:rsid w:val="00CB47DC"/>
    <w:rsid w:val="00CB4C5F"/>
    <w:rsid w:val="00CB583F"/>
    <w:rsid w:val="00CB66CD"/>
    <w:rsid w:val="00CB6A5D"/>
    <w:rsid w:val="00CB6BA8"/>
    <w:rsid w:val="00CB7498"/>
    <w:rsid w:val="00CB7679"/>
    <w:rsid w:val="00CB772A"/>
    <w:rsid w:val="00CC0005"/>
    <w:rsid w:val="00CC0160"/>
    <w:rsid w:val="00CC0423"/>
    <w:rsid w:val="00CC07E1"/>
    <w:rsid w:val="00CC0FCD"/>
    <w:rsid w:val="00CC11A6"/>
    <w:rsid w:val="00CC134B"/>
    <w:rsid w:val="00CC13E0"/>
    <w:rsid w:val="00CC16C8"/>
    <w:rsid w:val="00CC1776"/>
    <w:rsid w:val="00CC2020"/>
    <w:rsid w:val="00CC2054"/>
    <w:rsid w:val="00CC25DA"/>
    <w:rsid w:val="00CC27F7"/>
    <w:rsid w:val="00CC3206"/>
    <w:rsid w:val="00CC3A55"/>
    <w:rsid w:val="00CC4615"/>
    <w:rsid w:val="00CC5011"/>
    <w:rsid w:val="00CC56E3"/>
    <w:rsid w:val="00CC5958"/>
    <w:rsid w:val="00CC5B16"/>
    <w:rsid w:val="00CC6385"/>
    <w:rsid w:val="00CC67E3"/>
    <w:rsid w:val="00CC6A5D"/>
    <w:rsid w:val="00CC6D49"/>
    <w:rsid w:val="00CC747E"/>
    <w:rsid w:val="00CD00AB"/>
    <w:rsid w:val="00CD050C"/>
    <w:rsid w:val="00CD0CCC"/>
    <w:rsid w:val="00CD11BD"/>
    <w:rsid w:val="00CD1393"/>
    <w:rsid w:val="00CD1F73"/>
    <w:rsid w:val="00CD27A8"/>
    <w:rsid w:val="00CD2845"/>
    <w:rsid w:val="00CD2A20"/>
    <w:rsid w:val="00CD2D93"/>
    <w:rsid w:val="00CD2E58"/>
    <w:rsid w:val="00CD3367"/>
    <w:rsid w:val="00CD3504"/>
    <w:rsid w:val="00CD3B7E"/>
    <w:rsid w:val="00CD4B88"/>
    <w:rsid w:val="00CD4BA9"/>
    <w:rsid w:val="00CD4CAB"/>
    <w:rsid w:val="00CD4CFC"/>
    <w:rsid w:val="00CD4D42"/>
    <w:rsid w:val="00CD585C"/>
    <w:rsid w:val="00CD5898"/>
    <w:rsid w:val="00CD5ADD"/>
    <w:rsid w:val="00CD5EB8"/>
    <w:rsid w:val="00CD60FA"/>
    <w:rsid w:val="00CD64FD"/>
    <w:rsid w:val="00CD66AF"/>
    <w:rsid w:val="00CD6DFF"/>
    <w:rsid w:val="00CD7307"/>
    <w:rsid w:val="00CD770D"/>
    <w:rsid w:val="00CD7A57"/>
    <w:rsid w:val="00CD7B8E"/>
    <w:rsid w:val="00CD7CDF"/>
    <w:rsid w:val="00CD7F54"/>
    <w:rsid w:val="00CE08FB"/>
    <w:rsid w:val="00CE10E2"/>
    <w:rsid w:val="00CE1149"/>
    <w:rsid w:val="00CE1248"/>
    <w:rsid w:val="00CE1297"/>
    <w:rsid w:val="00CE17DE"/>
    <w:rsid w:val="00CE2313"/>
    <w:rsid w:val="00CE25F7"/>
    <w:rsid w:val="00CE3C51"/>
    <w:rsid w:val="00CE3EDC"/>
    <w:rsid w:val="00CE4AF7"/>
    <w:rsid w:val="00CE4B68"/>
    <w:rsid w:val="00CE5120"/>
    <w:rsid w:val="00CE5414"/>
    <w:rsid w:val="00CE55C7"/>
    <w:rsid w:val="00CE5723"/>
    <w:rsid w:val="00CE5899"/>
    <w:rsid w:val="00CE5A14"/>
    <w:rsid w:val="00CE5AA8"/>
    <w:rsid w:val="00CE646E"/>
    <w:rsid w:val="00CE739A"/>
    <w:rsid w:val="00CE758B"/>
    <w:rsid w:val="00CE7953"/>
    <w:rsid w:val="00CE7D21"/>
    <w:rsid w:val="00CE7F53"/>
    <w:rsid w:val="00CF0646"/>
    <w:rsid w:val="00CF119E"/>
    <w:rsid w:val="00CF11C4"/>
    <w:rsid w:val="00CF1391"/>
    <w:rsid w:val="00CF13C3"/>
    <w:rsid w:val="00CF1454"/>
    <w:rsid w:val="00CF17F4"/>
    <w:rsid w:val="00CF2238"/>
    <w:rsid w:val="00CF22C7"/>
    <w:rsid w:val="00CF2324"/>
    <w:rsid w:val="00CF23C2"/>
    <w:rsid w:val="00CF2475"/>
    <w:rsid w:val="00CF3678"/>
    <w:rsid w:val="00CF3972"/>
    <w:rsid w:val="00CF3A1A"/>
    <w:rsid w:val="00CF3F71"/>
    <w:rsid w:val="00CF4076"/>
    <w:rsid w:val="00CF447F"/>
    <w:rsid w:val="00CF464C"/>
    <w:rsid w:val="00CF4957"/>
    <w:rsid w:val="00CF4A12"/>
    <w:rsid w:val="00CF4D4A"/>
    <w:rsid w:val="00CF541B"/>
    <w:rsid w:val="00CF5956"/>
    <w:rsid w:val="00CF5EBC"/>
    <w:rsid w:val="00CF65F2"/>
    <w:rsid w:val="00CF686D"/>
    <w:rsid w:val="00CF69B6"/>
    <w:rsid w:val="00CF6D09"/>
    <w:rsid w:val="00CF734C"/>
    <w:rsid w:val="00CF7412"/>
    <w:rsid w:val="00CF74D7"/>
    <w:rsid w:val="00CF75A9"/>
    <w:rsid w:val="00CF7AA5"/>
    <w:rsid w:val="00CF7C5E"/>
    <w:rsid w:val="00D00637"/>
    <w:rsid w:val="00D007C3"/>
    <w:rsid w:val="00D00926"/>
    <w:rsid w:val="00D00A3D"/>
    <w:rsid w:val="00D00B89"/>
    <w:rsid w:val="00D00C47"/>
    <w:rsid w:val="00D0123C"/>
    <w:rsid w:val="00D0142F"/>
    <w:rsid w:val="00D018E7"/>
    <w:rsid w:val="00D01908"/>
    <w:rsid w:val="00D01CD8"/>
    <w:rsid w:val="00D01E62"/>
    <w:rsid w:val="00D02631"/>
    <w:rsid w:val="00D02AAA"/>
    <w:rsid w:val="00D02BB8"/>
    <w:rsid w:val="00D03456"/>
    <w:rsid w:val="00D0372B"/>
    <w:rsid w:val="00D038D5"/>
    <w:rsid w:val="00D03967"/>
    <w:rsid w:val="00D039EA"/>
    <w:rsid w:val="00D03AC1"/>
    <w:rsid w:val="00D04093"/>
    <w:rsid w:val="00D044E0"/>
    <w:rsid w:val="00D04ACD"/>
    <w:rsid w:val="00D04F57"/>
    <w:rsid w:val="00D05305"/>
    <w:rsid w:val="00D05576"/>
    <w:rsid w:val="00D0563C"/>
    <w:rsid w:val="00D057A1"/>
    <w:rsid w:val="00D0603A"/>
    <w:rsid w:val="00D0652E"/>
    <w:rsid w:val="00D066D4"/>
    <w:rsid w:val="00D07FC3"/>
    <w:rsid w:val="00D10632"/>
    <w:rsid w:val="00D109C9"/>
    <w:rsid w:val="00D10E82"/>
    <w:rsid w:val="00D10FE2"/>
    <w:rsid w:val="00D114B5"/>
    <w:rsid w:val="00D11911"/>
    <w:rsid w:val="00D12140"/>
    <w:rsid w:val="00D12288"/>
    <w:rsid w:val="00D12EDA"/>
    <w:rsid w:val="00D12FB2"/>
    <w:rsid w:val="00D1301C"/>
    <w:rsid w:val="00D132F4"/>
    <w:rsid w:val="00D134B6"/>
    <w:rsid w:val="00D135D1"/>
    <w:rsid w:val="00D139A9"/>
    <w:rsid w:val="00D13D5E"/>
    <w:rsid w:val="00D1420E"/>
    <w:rsid w:val="00D14485"/>
    <w:rsid w:val="00D1496D"/>
    <w:rsid w:val="00D15689"/>
    <w:rsid w:val="00D156E3"/>
    <w:rsid w:val="00D15A05"/>
    <w:rsid w:val="00D15C4C"/>
    <w:rsid w:val="00D15D2C"/>
    <w:rsid w:val="00D15E45"/>
    <w:rsid w:val="00D16099"/>
    <w:rsid w:val="00D16657"/>
    <w:rsid w:val="00D16E6D"/>
    <w:rsid w:val="00D16F9B"/>
    <w:rsid w:val="00D1715B"/>
    <w:rsid w:val="00D1720F"/>
    <w:rsid w:val="00D1795D"/>
    <w:rsid w:val="00D200C8"/>
    <w:rsid w:val="00D206AF"/>
    <w:rsid w:val="00D206C6"/>
    <w:rsid w:val="00D2091C"/>
    <w:rsid w:val="00D20A1F"/>
    <w:rsid w:val="00D20CE9"/>
    <w:rsid w:val="00D20F75"/>
    <w:rsid w:val="00D2110D"/>
    <w:rsid w:val="00D21147"/>
    <w:rsid w:val="00D219AB"/>
    <w:rsid w:val="00D21A58"/>
    <w:rsid w:val="00D21B52"/>
    <w:rsid w:val="00D220D0"/>
    <w:rsid w:val="00D22367"/>
    <w:rsid w:val="00D224B6"/>
    <w:rsid w:val="00D225E4"/>
    <w:rsid w:val="00D22A32"/>
    <w:rsid w:val="00D23847"/>
    <w:rsid w:val="00D241F4"/>
    <w:rsid w:val="00D24756"/>
    <w:rsid w:val="00D24830"/>
    <w:rsid w:val="00D24BCD"/>
    <w:rsid w:val="00D25136"/>
    <w:rsid w:val="00D25204"/>
    <w:rsid w:val="00D2547F"/>
    <w:rsid w:val="00D25493"/>
    <w:rsid w:val="00D25BEE"/>
    <w:rsid w:val="00D25DCA"/>
    <w:rsid w:val="00D26493"/>
    <w:rsid w:val="00D2697D"/>
    <w:rsid w:val="00D27120"/>
    <w:rsid w:val="00D27123"/>
    <w:rsid w:val="00D27491"/>
    <w:rsid w:val="00D274ED"/>
    <w:rsid w:val="00D27D79"/>
    <w:rsid w:val="00D30147"/>
    <w:rsid w:val="00D304FD"/>
    <w:rsid w:val="00D305C2"/>
    <w:rsid w:val="00D309DF"/>
    <w:rsid w:val="00D30C42"/>
    <w:rsid w:val="00D30FB5"/>
    <w:rsid w:val="00D31070"/>
    <w:rsid w:val="00D311E9"/>
    <w:rsid w:val="00D31206"/>
    <w:rsid w:val="00D3172C"/>
    <w:rsid w:val="00D31B72"/>
    <w:rsid w:val="00D320A4"/>
    <w:rsid w:val="00D320F6"/>
    <w:rsid w:val="00D3220C"/>
    <w:rsid w:val="00D323BB"/>
    <w:rsid w:val="00D325AB"/>
    <w:rsid w:val="00D32768"/>
    <w:rsid w:val="00D3284C"/>
    <w:rsid w:val="00D32AA1"/>
    <w:rsid w:val="00D332EB"/>
    <w:rsid w:val="00D339BE"/>
    <w:rsid w:val="00D34639"/>
    <w:rsid w:val="00D34C23"/>
    <w:rsid w:val="00D34D12"/>
    <w:rsid w:val="00D35028"/>
    <w:rsid w:val="00D3523C"/>
    <w:rsid w:val="00D3560D"/>
    <w:rsid w:val="00D35678"/>
    <w:rsid w:val="00D358CC"/>
    <w:rsid w:val="00D35F1B"/>
    <w:rsid w:val="00D35FDB"/>
    <w:rsid w:val="00D361B1"/>
    <w:rsid w:val="00D365A4"/>
    <w:rsid w:val="00D36C6D"/>
    <w:rsid w:val="00D37EDE"/>
    <w:rsid w:val="00D37FEF"/>
    <w:rsid w:val="00D40664"/>
    <w:rsid w:val="00D40801"/>
    <w:rsid w:val="00D408C5"/>
    <w:rsid w:val="00D40B01"/>
    <w:rsid w:val="00D40FB3"/>
    <w:rsid w:val="00D41395"/>
    <w:rsid w:val="00D41733"/>
    <w:rsid w:val="00D41757"/>
    <w:rsid w:val="00D41828"/>
    <w:rsid w:val="00D41BC0"/>
    <w:rsid w:val="00D41E22"/>
    <w:rsid w:val="00D423C4"/>
    <w:rsid w:val="00D42453"/>
    <w:rsid w:val="00D42769"/>
    <w:rsid w:val="00D427C5"/>
    <w:rsid w:val="00D42862"/>
    <w:rsid w:val="00D42DC4"/>
    <w:rsid w:val="00D43721"/>
    <w:rsid w:val="00D43759"/>
    <w:rsid w:val="00D43A9F"/>
    <w:rsid w:val="00D43AB2"/>
    <w:rsid w:val="00D43B7A"/>
    <w:rsid w:val="00D43DE4"/>
    <w:rsid w:val="00D43FA5"/>
    <w:rsid w:val="00D44293"/>
    <w:rsid w:val="00D443B1"/>
    <w:rsid w:val="00D4456B"/>
    <w:rsid w:val="00D44595"/>
    <w:rsid w:val="00D445CE"/>
    <w:rsid w:val="00D4475D"/>
    <w:rsid w:val="00D447BD"/>
    <w:rsid w:val="00D44821"/>
    <w:rsid w:val="00D44C0A"/>
    <w:rsid w:val="00D464E1"/>
    <w:rsid w:val="00D46E93"/>
    <w:rsid w:val="00D46ED4"/>
    <w:rsid w:val="00D47144"/>
    <w:rsid w:val="00D471FA"/>
    <w:rsid w:val="00D477A8"/>
    <w:rsid w:val="00D477D8"/>
    <w:rsid w:val="00D47EF3"/>
    <w:rsid w:val="00D500E4"/>
    <w:rsid w:val="00D5029A"/>
    <w:rsid w:val="00D50334"/>
    <w:rsid w:val="00D50585"/>
    <w:rsid w:val="00D50897"/>
    <w:rsid w:val="00D50AEF"/>
    <w:rsid w:val="00D50CF9"/>
    <w:rsid w:val="00D5118B"/>
    <w:rsid w:val="00D5125D"/>
    <w:rsid w:val="00D5159A"/>
    <w:rsid w:val="00D51938"/>
    <w:rsid w:val="00D51A2B"/>
    <w:rsid w:val="00D51F36"/>
    <w:rsid w:val="00D52081"/>
    <w:rsid w:val="00D520AA"/>
    <w:rsid w:val="00D52478"/>
    <w:rsid w:val="00D5249C"/>
    <w:rsid w:val="00D526A6"/>
    <w:rsid w:val="00D52E00"/>
    <w:rsid w:val="00D5338B"/>
    <w:rsid w:val="00D53545"/>
    <w:rsid w:val="00D537B0"/>
    <w:rsid w:val="00D537D4"/>
    <w:rsid w:val="00D53B90"/>
    <w:rsid w:val="00D53C13"/>
    <w:rsid w:val="00D544FC"/>
    <w:rsid w:val="00D547ED"/>
    <w:rsid w:val="00D5484F"/>
    <w:rsid w:val="00D55021"/>
    <w:rsid w:val="00D550A8"/>
    <w:rsid w:val="00D5574B"/>
    <w:rsid w:val="00D55CEF"/>
    <w:rsid w:val="00D56525"/>
    <w:rsid w:val="00D5675E"/>
    <w:rsid w:val="00D56A2E"/>
    <w:rsid w:val="00D56AD9"/>
    <w:rsid w:val="00D57009"/>
    <w:rsid w:val="00D570F4"/>
    <w:rsid w:val="00D572A9"/>
    <w:rsid w:val="00D572AE"/>
    <w:rsid w:val="00D57371"/>
    <w:rsid w:val="00D573C2"/>
    <w:rsid w:val="00D573EB"/>
    <w:rsid w:val="00D5753D"/>
    <w:rsid w:val="00D60C03"/>
    <w:rsid w:val="00D60C84"/>
    <w:rsid w:val="00D60FB9"/>
    <w:rsid w:val="00D612AE"/>
    <w:rsid w:val="00D617B9"/>
    <w:rsid w:val="00D61913"/>
    <w:rsid w:val="00D61DC0"/>
    <w:rsid w:val="00D61FDE"/>
    <w:rsid w:val="00D620C6"/>
    <w:rsid w:val="00D624C5"/>
    <w:rsid w:val="00D6256F"/>
    <w:rsid w:val="00D62DDC"/>
    <w:rsid w:val="00D62EEA"/>
    <w:rsid w:val="00D630A0"/>
    <w:rsid w:val="00D631EB"/>
    <w:rsid w:val="00D634AC"/>
    <w:rsid w:val="00D635D0"/>
    <w:rsid w:val="00D63782"/>
    <w:rsid w:val="00D63A3E"/>
    <w:rsid w:val="00D63DD6"/>
    <w:rsid w:val="00D6444A"/>
    <w:rsid w:val="00D64644"/>
    <w:rsid w:val="00D646CF"/>
    <w:rsid w:val="00D64830"/>
    <w:rsid w:val="00D648FF"/>
    <w:rsid w:val="00D64C59"/>
    <w:rsid w:val="00D65621"/>
    <w:rsid w:val="00D656A8"/>
    <w:rsid w:val="00D65B81"/>
    <w:rsid w:val="00D65CB7"/>
    <w:rsid w:val="00D6645C"/>
    <w:rsid w:val="00D669CF"/>
    <w:rsid w:val="00D66E2F"/>
    <w:rsid w:val="00D66E76"/>
    <w:rsid w:val="00D66F1F"/>
    <w:rsid w:val="00D67097"/>
    <w:rsid w:val="00D67787"/>
    <w:rsid w:val="00D67C1C"/>
    <w:rsid w:val="00D67F83"/>
    <w:rsid w:val="00D70CCE"/>
    <w:rsid w:val="00D70E20"/>
    <w:rsid w:val="00D71307"/>
    <w:rsid w:val="00D713E9"/>
    <w:rsid w:val="00D71410"/>
    <w:rsid w:val="00D7174F"/>
    <w:rsid w:val="00D71B46"/>
    <w:rsid w:val="00D72C26"/>
    <w:rsid w:val="00D7306B"/>
    <w:rsid w:val="00D73351"/>
    <w:rsid w:val="00D7343C"/>
    <w:rsid w:val="00D73925"/>
    <w:rsid w:val="00D73BC6"/>
    <w:rsid w:val="00D73E65"/>
    <w:rsid w:val="00D74058"/>
    <w:rsid w:val="00D741B2"/>
    <w:rsid w:val="00D7423E"/>
    <w:rsid w:val="00D74662"/>
    <w:rsid w:val="00D74AF6"/>
    <w:rsid w:val="00D74EFD"/>
    <w:rsid w:val="00D7504A"/>
    <w:rsid w:val="00D75238"/>
    <w:rsid w:val="00D756B1"/>
    <w:rsid w:val="00D7594B"/>
    <w:rsid w:val="00D759BA"/>
    <w:rsid w:val="00D75FE0"/>
    <w:rsid w:val="00D76656"/>
    <w:rsid w:val="00D768C4"/>
    <w:rsid w:val="00D76B38"/>
    <w:rsid w:val="00D76CB1"/>
    <w:rsid w:val="00D76DB6"/>
    <w:rsid w:val="00D7763C"/>
    <w:rsid w:val="00D77B25"/>
    <w:rsid w:val="00D80563"/>
    <w:rsid w:val="00D80578"/>
    <w:rsid w:val="00D81322"/>
    <w:rsid w:val="00D813E3"/>
    <w:rsid w:val="00D81C62"/>
    <w:rsid w:val="00D81FB8"/>
    <w:rsid w:val="00D82308"/>
    <w:rsid w:val="00D8278D"/>
    <w:rsid w:val="00D83199"/>
    <w:rsid w:val="00D83F05"/>
    <w:rsid w:val="00D84666"/>
    <w:rsid w:val="00D846CA"/>
    <w:rsid w:val="00D850CE"/>
    <w:rsid w:val="00D85AE5"/>
    <w:rsid w:val="00D85B8E"/>
    <w:rsid w:val="00D861AF"/>
    <w:rsid w:val="00D86482"/>
    <w:rsid w:val="00D868CC"/>
    <w:rsid w:val="00D86F47"/>
    <w:rsid w:val="00D87AC7"/>
    <w:rsid w:val="00D90CF3"/>
    <w:rsid w:val="00D90F29"/>
    <w:rsid w:val="00D91731"/>
    <w:rsid w:val="00D91890"/>
    <w:rsid w:val="00D91B13"/>
    <w:rsid w:val="00D92213"/>
    <w:rsid w:val="00D9224C"/>
    <w:rsid w:val="00D92384"/>
    <w:rsid w:val="00D924B6"/>
    <w:rsid w:val="00D925E3"/>
    <w:rsid w:val="00D92A63"/>
    <w:rsid w:val="00D92C66"/>
    <w:rsid w:val="00D92DC6"/>
    <w:rsid w:val="00D93155"/>
    <w:rsid w:val="00D93728"/>
    <w:rsid w:val="00D93A59"/>
    <w:rsid w:val="00D93AE7"/>
    <w:rsid w:val="00D93EF4"/>
    <w:rsid w:val="00D9410D"/>
    <w:rsid w:val="00D942E3"/>
    <w:rsid w:val="00D945E8"/>
    <w:rsid w:val="00D946B6"/>
    <w:rsid w:val="00D94A8B"/>
    <w:rsid w:val="00D95043"/>
    <w:rsid w:val="00D95D02"/>
    <w:rsid w:val="00D960CA"/>
    <w:rsid w:val="00D967E2"/>
    <w:rsid w:val="00D96DC7"/>
    <w:rsid w:val="00D9708E"/>
    <w:rsid w:val="00D978E6"/>
    <w:rsid w:val="00D97D1B"/>
    <w:rsid w:val="00D97FCC"/>
    <w:rsid w:val="00DA0108"/>
    <w:rsid w:val="00DA091C"/>
    <w:rsid w:val="00DA18CB"/>
    <w:rsid w:val="00DA1D12"/>
    <w:rsid w:val="00DA214E"/>
    <w:rsid w:val="00DA281E"/>
    <w:rsid w:val="00DA2917"/>
    <w:rsid w:val="00DA2D9D"/>
    <w:rsid w:val="00DA2ECA"/>
    <w:rsid w:val="00DA3212"/>
    <w:rsid w:val="00DA3432"/>
    <w:rsid w:val="00DA38B4"/>
    <w:rsid w:val="00DA38C6"/>
    <w:rsid w:val="00DA3914"/>
    <w:rsid w:val="00DA3B04"/>
    <w:rsid w:val="00DA3BF8"/>
    <w:rsid w:val="00DA3D76"/>
    <w:rsid w:val="00DA40C8"/>
    <w:rsid w:val="00DA44A2"/>
    <w:rsid w:val="00DA464D"/>
    <w:rsid w:val="00DA4660"/>
    <w:rsid w:val="00DA48B9"/>
    <w:rsid w:val="00DA512D"/>
    <w:rsid w:val="00DA59A0"/>
    <w:rsid w:val="00DA6ECD"/>
    <w:rsid w:val="00DA7578"/>
    <w:rsid w:val="00DA758F"/>
    <w:rsid w:val="00DA7D2B"/>
    <w:rsid w:val="00DA7E6D"/>
    <w:rsid w:val="00DB0F3B"/>
    <w:rsid w:val="00DB1117"/>
    <w:rsid w:val="00DB1232"/>
    <w:rsid w:val="00DB1375"/>
    <w:rsid w:val="00DB15F3"/>
    <w:rsid w:val="00DB182E"/>
    <w:rsid w:val="00DB1D2A"/>
    <w:rsid w:val="00DB1DBF"/>
    <w:rsid w:val="00DB2485"/>
    <w:rsid w:val="00DB2606"/>
    <w:rsid w:val="00DB2CB7"/>
    <w:rsid w:val="00DB2E32"/>
    <w:rsid w:val="00DB31F9"/>
    <w:rsid w:val="00DB3FE9"/>
    <w:rsid w:val="00DB419E"/>
    <w:rsid w:val="00DB4377"/>
    <w:rsid w:val="00DB5465"/>
    <w:rsid w:val="00DB5922"/>
    <w:rsid w:val="00DB5F6A"/>
    <w:rsid w:val="00DB61E6"/>
    <w:rsid w:val="00DB6BED"/>
    <w:rsid w:val="00DB7109"/>
    <w:rsid w:val="00DB7114"/>
    <w:rsid w:val="00DB7B8F"/>
    <w:rsid w:val="00DB7DC7"/>
    <w:rsid w:val="00DC00D2"/>
    <w:rsid w:val="00DC0D65"/>
    <w:rsid w:val="00DC108F"/>
    <w:rsid w:val="00DC123C"/>
    <w:rsid w:val="00DC1960"/>
    <w:rsid w:val="00DC246C"/>
    <w:rsid w:val="00DC2946"/>
    <w:rsid w:val="00DC2ED5"/>
    <w:rsid w:val="00DC3074"/>
    <w:rsid w:val="00DC3727"/>
    <w:rsid w:val="00DC4295"/>
    <w:rsid w:val="00DC4317"/>
    <w:rsid w:val="00DC479D"/>
    <w:rsid w:val="00DC50D4"/>
    <w:rsid w:val="00DC516B"/>
    <w:rsid w:val="00DC52DC"/>
    <w:rsid w:val="00DC54F0"/>
    <w:rsid w:val="00DC5812"/>
    <w:rsid w:val="00DC5BCF"/>
    <w:rsid w:val="00DC5C73"/>
    <w:rsid w:val="00DC6E9C"/>
    <w:rsid w:val="00DC70C7"/>
    <w:rsid w:val="00DC714F"/>
    <w:rsid w:val="00DC7448"/>
    <w:rsid w:val="00DC78EA"/>
    <w:rsid w:val="00DC7B68"/>
    <w:rsid w:val="00DC7DF8"/>
    <w:rsid w:val="00DC7E26"/>
    <w:rsid w:val="00DD00F8"/>
    <w:rsid w:val="00DD0386"/>
    <w:rsid w:val="00DD0423"/>
    <w:rsid w:val="00DD0464"/>
    <w:rsid w:val="00DD0663"/>
    <w:rsid w:val="00DD07C1"/>
    <w:rsid w:val="00DD0C54"/>
    <w:rsid w:val="00DD0E8B"/>
    <w:rsid w:val="00DD110C"/>
    <w:rsid w:val="00DD12D0"/>
    <w:rsid w:val="00DD1381"/>
    <w:rsid w:val="00DD17EB"/>
    <w:rsid w:val="00DD1917"/>
    <w:rsid w:val="00DD1FA3"/>
    <w:rsid w:val="00DD1FEA"/>
    <w:rsid w:val="00DD2BAE"/>
    <w:rsid w:val="00DD2C65"/>
    <w:rsid w:val="00DD332D"/>
    <w:rsid w:val="00DD3394"/>
    <w:rsid w:val="00DD356A"/>
    <w:rsid w:val="00DD3B53"/>
    <w:rsid w:val="00DD3F10"/>
    <w:rsid w:val="00DD3F4C"/>
    <w:rsid w:val="00DD4392"/>
    <w:rsid w:val="00DD4466"/>
    <w:rsid w:val="00DD4708"/>
    <w:rsid w:val="00DD4B96"/>
    <w:rsid w:val="00DD5733"/>
    <w:rsid w:val="00DD5A4C"/>
    <w:rsid w:val="00DD5BF2"/>
    <w:rsid w:val="00DD63B4"/>
    <w:rsid w:val="00DD64EB"/>
    <w:rsid w:val="00DD65A6"/>
    <w:rsid w:val="00DD67B5"/>
    <w:rsid w:val="00DD6B49"/>
    <w:rsid w:val="00DD6C4D"/>
    <w:rsid w:val="00DD7A98"/>
    <w:rsid w:val="00DD7F97"/>
    <w:rsid w:val="00DE021B"/>
    <w:rsid w:val="00DE0220"/>
    <w:rsid w:val="00DE06AB"/>
    <w:rsid w:val="00DE08A9"/>
    <w:rsid w:val="00DE0E07"/>
    <w:rsid w:val="00DE1203"/>
    <w:rsid w:val="00DE1809"/>
    <w:rsid w:val="00DE19D4"/>
    <w:rsid w:val="00DE1C7E"/>
    <w:rsid w:val="00DE1EB9"/>
    <w:rsid w:val="00DE2095"/>
    <w:rsid w:val="00DE20DD"/>
    <w:rsid w:val="00DE240B"/>
    <w:rsid w:val="00DE2BEB"/>
    <w:rsid w:val="00DE32DE"/>
    <w:rsid w:val="00DE390E"/>
    <w:rsid w:val="00DE3993"/>
    <w:rsid w:val="00DE3C85"/>
    <w:rsid w:val="00DE3E04"/>
    <w:rsid w:val="00DE3FBF"/>
    <w:rsid w:val="00DE5354"/>
    <w:rsid w:val="00DE5F3C"/>
    <w:rsid w:val="00DE6496"/>
    <w:rsid w:val="00DE6B1F"/>
    <w:rsid w:val="00DE6B62"/>
    <w:rsid w:val="00DE6F20"/>
    <w:rsid w:val="00DE76E6"/>
    <w:rsid w:val="00DE7810"/>
    <w:rsid w:val="00DE7C21"/>
    <w:rsid w:val="00DF08B7"/>
    <w:rsid w:val="00DF0BF6"/>
    <w:rsid w:val="00DF0FBA"/>
    <w:rsid w:val="00DF1054"/>
    <w:rsid w:val="00DF1108"/>
    <w:rsid w:val="00DF112B"/>
    <w:rsid w:val="00DF1230"/>
    <w:rsid w:val="00DF1550"/>
    <w:rsid w:val="00DF211A"/>
    <w:rsid w:val="00DF2AB4"/>
    <w:rsid w:val="00DF2B9A"/>
    <w:rsid w:val="00DF2BDE"/>
    <w:rsid w:val="00DF2C47"/>
    <w:rsid w:val="00DF2CE4"/>
    <w:rsid w:val="00DF2D95"/>
    <w:rsid w:val="00DF2E11"/>
    <w:rsid w:val="00DF2EEC"/>
    <w:rsid w:val="00DF3614"/>
    <w:rsid w:val="00DF3748"/>
    <w:rsid w:val="00DF3F06"/>
    <w:rsid w:val="00DF3F93"/>
    <w:rsid w:val="00DF4322"/>
    <w:rsid w:val="00DF4760"/>
    <w:rsid w:val="00DF4F52"/>
    <w:rsid w:val="00DF5228"/>
    <w:rsid w:val="00DF526F"/>
    <w:rsid w:val="00DF5902"/>
    <w:rsid w:val="00DF5978"/>
    <w:rsid w:val="00DF5A4A"/>
    <w:rsid w:val="00DF5CCC"/>
    <w:rsid w:val="00DF6152"/>
    <w:rsid w:val="00DF616F"/>
    <w:rsid w:val="00DF6442"/>
    <w:rsid w:val="00DF69FF"/>
    <w:rsid w:val="00DF729E"/>
    <w:rsid w:val="00DF72CA"/>
    <w:rsid w:val="00DF77AD"/>
    <w:rsid w:val="00DF7EE0"/>
    <w:rsid w:val="00E003DC"/>
    <w:rsid w:val="00E00473"/>
    <w:rsid w:val="00E004AC"/>
    <w:rsid w:val="00E00D83"/>
    <w:rsid w:val="00E00E0C"/>
    <w:rsid w:val="00E01A13"/>
    <w:rsid w:val="00E01B5C"/>
    <w:rsid w:val="00E01CBE"/>
    <w:rsid w:val="00E01E4F"/>
    <w:rsid w:val="00E02482"/>
    <w:rsid w:val="00E02E1A"/>
    <w:rsid w:val="00E030F0"/>
    <w:rsid w:val="00E03390"/>
    <w:rsid w:val="00E03594"/>
    <w:rsid w:val="00E035E9"/>
    <w:rsid w:val="00E037E6"/>
    <w:rsid w:val="00E03F6B"/>
    <w:rsid w:val="00E04078"/>
    <w:rsid w:val="00E0425D"/>
    <w:rsid w:val="00E0443E"/>
    <w:rsid w:val="00E04503"/>
    <w:rsid w:val="00E04725"/>
    <w:rsid w:val="00E04856"/>
    <w:rsid w:val="00E04A3C"/>
    <w:rsid w:val="00E04D33"/>
    <w:rsid w:val="00E04D4E"/>
    <w:rsid w:val="00E04E29"/>
    <w:rsid w:val="00E0526F"/>
    <w:rsid w:val="00E060F7"/>
    <w:rsid w:val="00E06248"/>
    <w:rsid w:val="00E064BE"/>
    <w:rsid w:val="00E065D9"/>
    <w:rsid w:val="00E06756"/>
    <w:rsid w:val="00E06906"/>
    <w:rsid w:val="00E06DD7"/>
    <w:rsid w:val="00E06FFF"/>
    <w:rsid w:val="00E072B0"/>
    <w:rsid w:val="00E075B5"/>
    <w:rsid w:val="00E07A05"/>
    <w:rsid w:val="00E101E6"/>
    <w:rsid w:val="00E104B2"/>
    <w:rsid w:val="00E10B95"/>
    <w:rsid w:val="00E10F08"/>
    <w:rsid w:val="00E113B2"/>
    <w:rsid w:val="00E1148A"/>
    <w:rsid w:val="00E1194F"/>
    <w:rsid w:val="00E127F9"/>
    <w:rsid w:val="00E12CB3"/>
    <w:rsid w:val="00E13877"/>
    <w:rsid w:val="00E139CA"/>
    <w:rsid w:val="00E144C1"/>
    <w:rsid w:val="00E14536"/>
    <w:rsid w:val="00E14776"/>
    <w:rsid w:val="00E14986"/>
    <w:rsid w:val="00E14D54"/>
    <w:rsid w:val="00E15306"/>
    <w:rsid w:val="00E15489"/>
    <w:rsid w:val="00E15491"/>
    <w:rsid w:val="00E15784"/>
    <w:rsid w:val="00E158F6"/>
    <w:rsid w:val="00E15B76"/>
    <w:rsid w:val="00E15EEB"/>
    <w:rsid w:val="00E1670F"/>
    <w:rsid w:val="00E16790"/>
    <w:rsid w:val="00E167DC"/>
    <w:rsid w:val="00E171C0"/>
    <w:rsid w:val="00E175AF"/>
    <w:rsid w:val="00E175FE"/>
    <w:rsid w:val="00E2006A"/>
    <w:rsid w:val="00E201E9"/>
    <w:rsid w:val="00E205C0"/>
    <w:rsid w:val="00E20BE7"/>
    <w:rsid w:val="00E21315"/>
    <w:rsid w:val="00E21AD3"/>
    <w:rsid w:val="00E21D7F"/>
    <w:rsid w:val="00E2232E"/>
    <w:rsid w:val="00E23329"/>
    <w:rsid w:val="00E235C8"/>
    <w:rsid w:val="00E23CDF"/>
    <w:rsid w:val="00E23D02"/>
    <w:rsid w:val="00E24240"/>
    <w:rsid w:val="00E24665"/>
    <w:rsid w:val="00E24920"/>
    <w:rsid w:val="00E24D2F"/>
    <w:rsid w:val="00E251FC"/>
    <w:rsid w:val="00E25235"/>
    <w:rsid w:val="00E25633"/>
    <w:rsid w:val="00E2583B"/>
    <w:rsid w:val="00E25DF0"/>
    <w:rsid w:val="00E2660A"/>
    <w:rsid w:val="00E26883"/>
    <w:rsid w:val="00E26935"/>
    <w:rsid w:val="00E26AC8"/>
    <w:rsid w:val="00E26E98"/>
    <w:rsid w:val="00E26F7C"/>
    <w:rsid w:val="00E26FFB"/>
    <w:rsid w:val="00E270A7"/>
    <w:rsid w:val="00E276BC"/>
    <w:rsid w:val="00E3010E"/>
    <w:rsid w:val="00E301DB"/>
    <w:rsid w:val="00E302BC"/>
    <w:rsid w:val="00E30775"/>
    <w:rsid w:val="00E30B91"/>
    <w:rsid w:val="00E30D84"/>
    <w:rsid w:val="00E30E60"/>
    <w:rsid w:val="00E31055"/>
    <w:rsid w:val="00E31B1D"/>
    <w:rsid w:val="00E31E3C"/>
    <w:rsid w:val="00E3293F"/>
    <w:rsid w:val="00E32EC7"/>
    <w:rsid w:val="00E33458"/>
    <w:rsid w:val="00E3356A"/>
    <w:rsid w:val="00E33CC7"/>
    <w:rsid w:val="00E3422D"/>
    <w:rsid w:val="00E342AE"/>
    <w:rsid w:val="00E3476F"/>
    <w:rsid w:val="00E35145"/>
    <w:rsid w:val="00E35500"/>
    <w:rsid w:val="00E36404"/>
    <w:rsid w:val="00E36763"/>
    <w:rsid w:val="00E36940"/>
    <w:rsid w:val="00E369EB"/>
    <w:rsid w:val="00E36F96"/>
    <w:rsid w:val="00E373BE"/>
    <w:rsid w:val="00E37B4B"/>
    <w:rsid w:val="00E37DD8"/>
    <w:rsid w:val="00E40B89"/>
    <w:rsid w:val="00E40CC5"/>
    <w:rsid w:val="00E40E9A"/>
    <w:rsid w:val="00E414F1"/>
    <w:rsid w:val="00E41700"/>
    <w:rsid w:val="00E419A3"/>
    <w:rsid w:val="00E41A3B"/>
    <w:rsid w:val="00E41AB2"/>
    <w:rsid w:val="00E41D4C"/>
    <w:rsid w:val="00E41FFF"/>
    <w:rsid w:val="00E42301"/>
    <w:rsid w:val="00E42325"/>
    <w:rsid w:val="00E4264D"/>
    <w:rsid w:val="00E42CBF"/>
    <w:rsid w:val="00E431BD"/>
    <w:rsid w:val="00E434E9"/>
    <w:rsid w:val="00E4398E"/>
    <w:rsid w:val="00E43A25"/>
    <w:rsid w:val="00E43C8A"/>
    <w:rsid w:val="00E440E5"/>
    <w:rsid w:val="00E4421D"/>
    <w:rsid w:val="00E44353"/>
    <w:rsid w:val="00E44C02"/>
    <w:rsid w:val="00E44ED2"/>
    <w:rsid w:val="00E454FD"/>
    <w:rsid w:val="00E455B6"/>
    <w:rsid w:val="00E46030"/>
    <w:rsid w:val="00E464C3"/>
    <w:rsid w:val="00E46A99"/>
    <w:rsid w:val="00E46F46"/>
    <w:rsid w:val="00E46FA8"/>
    <w:rsid w:val="00E47208"/>
    <w:rsid w:val="00E47839"/>
    <w:rsid w:val="00E47B20"/>
    <w:rsid w:val="00E50AC6"/>
    <w:rsid w:val="00E51759"/>
    <w:rsid w:val="00E5179F"/>
    <w:rsid w:val="00E520D2"/>
    <w:rsid w:val="00E527FA"/>
    <w:rsid w:val="00E52FD0"/>
    <w:rsid w:val="00E530E0"/>
    <w:rsid w:val="00E531B3"/>
    <w:rsid w:val="00E53861"/>
    <w:rsid w:val="00E53A46"/>
    <w:rsid w:val="00E53EBE"/>
    <w:rsid w:val="00E53F09"/>
    <w:rsid w:val="00E544E3"/>
    <w:rsid w:val="00E54C70"/>
    <w:rsid w:val="00E55843"/>
    <w:rsid w:val="00E565B0"/>
    <w:rsid w:val="00E56BAF"/>
    <w:rsid w:val="00E5708C"/>
    <w:rsid w:val="00E600E9"/>
    <w:rsid w:val="00E60185"/>
    <w:rsid w:val="00E608C2"/>
    <w:rsid w:val="00E60B83"/>
    <w:rsid w:val="00E611B7"/>
    <w:rsid w:val="00E6135C"/>
    <w:rsid w:val="00E61647"/>
    <w:rsid w:val="00E619F3"/>
    <w:rsid w:val="00E6277E"/>
    <w:rsid w:val="00E631F9"/>
    <w:rsid w:val="00E637A4"/>
    <w:rsid w:val="00E63861"/>
    <w:rsid w:val="00E64597"/>
    <w:rsid w:val="00E6462A"/>
    <w:rsid w:val="00E64907"/>
    <w:rsid w:val="00E64C97"/>
    <w:rsid w:val="00E65281"/>
    <w:rsid w:val="00E65497"/>
    <w:rsid w:val="00E656F0"/>
    <w:rsid w:val="00E65943"/>
    <w:rsid w:val="00E65B15"/>
    <w:rsid w:val="00E65E2D"/>
    <w:rsid w:val="00E65EB3"/>
    <w:rsid w:val="00E66517"/>
    <w:rsid w:val="00E66901"/>
    <w:rsid w:val="00E67366"/>
    <w:rsid w:val="00E6781C"/>
    <w:rsid w:val="00E67D06"/>
    <w:rsid w:val="00E7017E"/>
    <w:rsid w:val="00E7024D"/>
    <w:rsid w:val="00E7027C"/>
    <w:rsid w:val="00E7053F"/>
    <w:rsid w:val="00E70577"/>
    <w:rsid w:val="00E709DB"/>
    <w:rsid w:val="00E70C09"/>
    <w:rsid w:val="00E715C9"/>
    <w:rsid w:val="00E71705"/>
    <w:rsid w:val="00E71A4C"/>
    <w:rsid w:val="00E71AB1"/>
    <w:rsid w:val="00E71D83"/>
    <w:rsid w:val="00E71DAD"/>
    <w:rsid w:val="00E71E2C"/>
    <w:rsid w:val="00E71EC2"/>
    <w:rsid w:val="00E720C1"/>
    <w:rsid w:val="00E7258E"/>
    <w:rsid w:val="00E726B8"/>
    <w:rsid w:val="00E72721"/>
    <w:rsid w:val="00E72977"/>
    <w:rsid w:val="00E738E0"/>
    <w:rsid w:val="00E738F2"/>
    <w:rsid w:val="00E73985"/>
    <w:rsid w:val="00E73B9F"/>
    <w:rsid w:val="00E74711"/>
    <w:rsid w:val="00E74B94"/>
    <w:rsid w:val="00E74CA4"/>
    <w:rsid w:val="00E74F0A"/>
    <w:rsid w:val="00E7544A"/>
    <w:rsid w:val="00E754CC"/>
    <w:rsid w:val="00E755E2"/>
    <w:rsid w:val="00E75F2C"/>
    <w:rsid w:val="00E76B67"/>
    <w:rsid w:val="00E775CC"/>
    <w:rsid w:val="00E776D6"/>
    <w:rsid w:val="00E7789F"/>
    <w:rsid w:val="00E77FE7"/>
    <w:rsid w:val="00E804DE"/>
    <w:rsid w:val="00E80853"/>
    <w:rsid w:val="00E80902"/>
    <w:rsid w:val="00E80C8C"/>
    <w:rsid w:val="00E81007"/>
    <w:rsid w:val="00E810D4"/>
    <w:rsid w:val="00E811B2"/>
    <w:rsid w:val="00E815F3"/>
    <w:rsid w:val="00E81712"/>
    <w:rsid w:val="00E818D2"/>
    <w:rsid w:val="00E8196E"/>
    <w:rsid w:val="00E81CAD"/>
    <w:rsid w:val="00E82540"/>
    <w:rsid w:val="00E825E5"/>
    <w:rsid w:val="00E82945"/>
    <w:rsid w:val="00E82975"/>
    <w:rsid w:val="00E82ADF"/>
    <w:rsid w:val="00E82B3D"/>
    <w:rsid w:val="00E82C03"/>
    <w:rsid w:val="00E82E88"/>
    <w:rsid w:val="00E83B5D"/>
    <w:rsid w:val="00E83C84"/>
    <w:rsid w:val="00E83F2B"/>
    <w:rsid w:val="00E84256"/>
    <w:rsid w:val="00E84681"/>
    <w:rsid w:val="00E8469C"/>
    <w:rsid w:val="00E84894"/>
    <w:rsid w:val="00E84E89"/>
    <w:rsid w:val="00E85441"/>
    <w:rsid w:val="00E8555B"/>
    <w:rsid w:val="00E858AC"/>
    <w:rsid w:val="00E8663A"/>
    <w:rsid w:val="00E866A5"/>
    <w:rsid w:val="00E86CEC"/>
    <w:rsid w:val="00E86DDC"/>
    <w:rsid w:val="00E873CD"/>
    <w:rsid w:val="00E8741B"/>
    <w:rsid w:val="00E878BA"/>
    <w:rsid w:val="00E87923"/>
    <w:rsid w:val="00E87AB8"/>
    <w:rsid w:val="00E87B3F"/>
    <w:rsid w:val="00E87C98"/>
    <w:rsid w:val="00E9033D"/>
    <w:rsid w:val="00E90596"/>
    <w:rsid w:val="00E90738"/>
    <w:rsid w:val="00E907B3"/>
    <w:rsid w:val="00E90D21"/>
    <w:rsid w:val="00E90F39"/>
    <w:rsid w:val="00E9164F"/>
    <w:rsid w:val="00E91AC6"/>
    <w:rsid w:val="00E91E41"/>
    <w:rsid w:val="00E920B5"/>
    <w:rsid w:val="00E922D1"/>
    <w:rsid w:val="00E9235F"/>
    <w:rsid w:val="00E927EE"/>
    <w:rsid w:val="00E92AB4"/>
    <w:rsid w:val="00E932D8"/>
    <w:rsid w:val="00E93762"/>
    <w:rsid w:val="00E93B5E"/>
    <w:rsid w:val="00E93C4B"/>
    <w:rsid w:val="00E940D2"/>
    <w:rsid w:val="00E94130"/>
    <w:rsid w:val="00E94490"/>
    <w:rsid w:val="00E94593"/>
    <w:rsid w:val="00E94872"/>
    <w:rsid w:val="00E94F6B"/>
    <w:rsid w:val="00E95A7A"/>
    <w:rsid w:val="00E96291"/>
    <w:rsid w:val="00E963AE"/>
    <w:rsid w:val="00E96703"/>
    <w:rsid w:val="00E9674E"/>
    <w:rsid w:val="00E9676C"/>
    <w:rsid w:val="00E96A0C"/>
    <w:rsid w:val="00E97054"/>
    <w:rsid w:val="00E970D3"/>
    <w:rsid w:val="00E97967"/>
    <w:rsid w:val="00E979BA"/>
    <w:rsid w:val="00E97B94"/>
    <w:rsid w:val="00E97E36"/>
    <w:rsid w:val="00E97F27"/>
    <w:rsid w:val="00EA0915"/>
    <w:rsid w:val="00EA0B45"/>
    <w:rsid w:val="00EA0FE2"/>
    <w:rsid w:val="00EA121D"/>
    <w:rsid w:val="00EA13C4"/>
    <w:rsid w:val="00EA1421"/>
    <w:rsid w:val="00EA18E2"/>
    <w:rsid w:val="00EA1A67"/>
    <w:rsid w:val="00EA1A6F"/>
    <w:rsid w:val="00EA2360"/>
    <w:rsid w:val="00EA2497"/>
    <w:rsid w:val="00EA24A8"/>
    <w:rsid w:val="00EA2654"/>
    <w:rsid w:val="00EA2698"/>
    <w:rsid w:val="00EA2EF8"/>
    <w:rsid w:val="00EA33D0"/>
    <w:rsid w:val="00EA345D"/>
    <w:rsid w:val="00EA3488"/>
    <w:rsid w:val="00EA36DB"/>
    <w:rsid w:val="00EA3F95"/>
    <w:rsid w:val="00EA4458"/>
    <w:rsid w:val="00EA4F7D"/>
    <w:rsid w:val="00EA50AE"/>
    <w:rsid w:val="00EA5223"/>
    <w:rsid w:val="00EA53FF"/>
    <w:rsid w:val="00EA5790"/>
    <w:rsid w:val="00EA5F38"/>
    <w:rsid w:val="00EA5FAD"/>
    <w:rsid w:val="00EA603B"/>
    <w:rsid w:val="00EA6128"/>
    <w:rsid w:val="00EA61DE"/>
    <w:rsid w:val="00EA63FA"/>
    <w:rsid w:val="00EA6699"/>
    <w:rsid w:val="00EA6992"/>
    <w:rsid w:val="00EA6BD6"/>
    <w:rsid w:val="00EA6F72"/>
    <w:rsid w:val="00EA787A"/>
    <w:rsid w:val="00EA79F7"/>
    <w:rsid w:val="00EA7F2C"/>
    <w:rsid w:val="00EB0097"/>
    <w:rsid w:val="00EB01B8"/>
    <w:rsid w:val="00EB020D"/>
    <w:rsid w:val="00EB0C59"/>
    <w:rsid w:val="00EB0D28"/>
    <w:rsid w:val="00EB0E89"/>
    <w:rsid w:val="00EB162D"/>
    <w:rsid w:val="00EB1676"/>
    <w:rsid w:val="00EB16CE"/>
    <w:rsid w:val="00EB173D"/>
    <w:rsid w:val="00EB1909"/>
    <w:rsid w:val="00EB1E13"/>
    <w:rsid w:val="00EB1FB1"/>
    <w:rsid w:val="00EB1FDA"/>
    <w:rsid w:val="00EB26E6"/>
    <w:rsid w:val="00EB290D"/>
    <w:rsid w:val="00EB2E5A"/>
    <w:rsid w:val="00EB2FA2"/>
    <w:rsid w:val="00EB3189"/>
    <w:rsid w:val="00EB389C"/>
    <w:rsid w:val="00EB393C"/>
    <w:rsid w:val="00EB3C4F"/>
    <w:rsid w:val="00EB3E39"/>
    <w:rsid w:val="00EB433B"/>
    <w:rsid w:val="00EB48FA"/>
    <w:rsid w:val="00EB49C4"/>
    <w:rsid w:val="00EB4F3B"/>
    <w:rsid w:val="00EB52E2"/>
    <w:rsid w:val="00EB539C"/>
    <w:rsid w:val="00EB5657"/>
    <w:rsid w:val="00EB7469"/>
    <w:rsid w:val="00EB7E24"/>
    <w:rsid w:val="00EC0385"/>
    <w:rsid w:val="00EC0E57"/>
    <w:rsid w:val="00EC1070"/>
    <w:rsid w:val="00EC11A9"/>
    <w:rsid w:val="00EC12E0"/>
    <w:rsid w:val="00EC14B1"/>
    <w:rsid w:val="00EC1C82"/>
    <w:rsid w:val="00EC1DBC"/>
    <w:rsid w:val="00EC2142"/>
    <w:rsid w:val="00EC21C7"/>
    <w:rsid w:val="00EC2488"/>
    <w:rsid w:val="00EC2E58"/>
    <w:rsid w:val="00EC3933"/>
    <w:rsid w:val="00EC41C5"/>
    <w:rsid w:val="00EC437C"/>
    <w:rsid w:val="00EC4472"/>
    <w:rsid w:val="00EC4521"/>
    <w:rsid w:val="00EC4B2E"/>
    <w:rsid w:val="00EC4CF6"/>
    <w:rsid w:val="00EC4D2C"/>
    <w:rsid w:val="00EC4F2C"/>
    <w:rsid w:val="00EC4F93"/>
    <w:rsid w:val="00EC586C"/>
    <w:rsid w:val="00EC5B4C"/>
    <w:rsid w:val="00EC642F"/>
    <w:rsid w:val="00EC6439"/>
    <w:rsid w:val="00EC65FA"/>
    <w:rsid w:val="00EC667C"/>
    <w:rsid w:val="00EC6D0B"/>
    <w:rsid w:val="00EC6D19"/>
    <w:rsid w:val="00EC7A87"/>
    <w:rsid w:val="00EC7E03"/>
    <w:rsid w:val="00EC7EC8"/>
    <w:rsid w:val="00EC7FB9"/>
    <w:rsid w:val="00ED0155"/>
    <w:rsid w:val="00ED0401"/>
    <w:rsid w:val="00ED0988"/>
    <w:rsid w:val="00ED0CFD"/>
    <w:rsid w:val="00ED0E6E"/>
    <w:rsid w:val="00ED1281"/>
    <w:rsid w:val="00ED1E77"/>
    <w:rsid w:val="00ED2BA4"/>
    <w:rsid w:val="00ED2C7D"/>
    <w:rsid w:val="00ED2DAE"/>
    <w:rsid w:val="00ED317B"/>
    <w:rsid w:val="00ED3790"/>
    <w:rsid w:val="00ED3795"/>
    <w:rsid w:val="00ED3A70"/>
    <w:rsid w:val="00ED4050"/>
    <w:rsid w:val="00ED44A5"/>
    <w:rsid w:val="00ED5136"/>
    <w:rsid w:val="00ED5271"/>
    <w:rsid w:val="00ED5402"/>
    <w:rsid w:val="00ED638C"/>
    <w:rsid w:val="00ED6457"/>
    <w:rsid w:val="00ED6665"/>
    <w:rsid w:val="00ED6724"/>
    <w:rsid w:val="00ED7120"/>
    <w:rsid w:val="00ED7123"/>
    <w:rsid w:val="00ED72E0"/>
    <w:rsid w:val="00ED73D2"/>
    <w:rsid w:val="00ED7AA4"/>
    <w:rsid w:val="00EE017E"/>
    <w:rsid w:val="00EE062A"/>
    <w:rsid w:val="00EE08B1"/>
    <w:rsid w:val="00EE0B9A"/>
    <w:rsid w:val="00EE113A"/>
    <w:rsid w:val="00EE13B9"/>
    <w:rsid w:val="00EE1478"/>
    <w:rsid w:val="00EE15B8"/>
    <w:rsid w:val="00EE165B"/>
    <w:rsid w:val="00EE17E6"/>
    <w:rsid w:val="00EE18E3"/>
    <w:rsid w:val="00EE1A96"/>
    <w:rsid w:val="00EE208A"/>
    <w:rsid w:val="00EE2152"/>
    <w:rsid w:val="00EE282C"/>
    <w:rsid w:val="00EE2A4E"/>
    <w:rsid w:val="00EE2DEF"/>
    <w:rsid w:val="00EE2F2A"/>
    <w:rsid w:val="00EE3561"/>
    <w:rsid w:val="00EE35CE"/>
    <w:rsid w:val="00EE395D"/>
    <w:rsid w:val="00EE3A4F"/>
    <w:rsid w:val="00EE3AEC"/>
    <w:rsid w:val="00EE3E1E"/>
    <w:rsid w:val="00EE407A"/>
    <w:rsid w:val="00EE4247"/>
    <w:rsid w:val="00EE4405"/>
    <w:rsid w:val="00EE4935"/>
    <w:rsid w:val="00EE496F"/>
    <w:rsid w:val="00EE50D1"/>
    <w:rsid w:val="00EE522F"/>
    <w:rsid w:val="00EE532B"/>
    <w:rsid w:val="00EE5D32"/>
    <w:rsid w:val="00EE6835"/>
    <w:rsid w:val="00EE6B60"/>
    <w:rsid w:val="00EE79B6"/>
    <w:rsid w:val="00EE7C11"/>
    <w:rsid w:val="00EE7E69"/>
    <w:rsid w:val="00EF14F1"/>
    <w:rsid w:val="00EF1CCC"/>
    <w:rsid w:val="00EF2135"/>
    <w:rsid w:val="00EF312F"/>
    <w:rsid w:val="00EF333D"/>
    <w:rsid w:val="00EF379D"/>
    <w:rsid w:val="00EF394C"/>
    <w:rsid w:val="00EF3978"/>
    <w:rsid w:val="00EF3D27"/>
    <w:rsid w:val="00EF3D5E"/>
    <w:rsid w:val="00EF3DC4"/>
    <w:rsid w:val="00EF3FCD"/>
    <w:rsid w:val="00EF4092"/>
    <w:rsid w:val="00EF429E"/>
    <w:rsid w:val="00EF46B2"/>
    <w:rsid w:val="00EF4BC9"/>
    <w:rsid w:val="00EF58FC"/>
    <w:rsid w:val="00EF5910"/>
    <w:rsid w:val="00EF5DC9"/>
    <w:rsid w:val="00EF5EC0"/>
    <w:rsid w:val="00EF5FA0"/>
    <w:rsid w:val="00EF624E"/>
    <w:rsid w:val="00EF63A2"/>
    <w:rsid w:val="00EF64C5"/>
    <w:rsid w:val="00EF6D96"/>
    <w:rsid w:val="00EF7EF1"/>
    <w:rsid w:val="00F0022E"/>
    <w:rsid w:val="00F0050C"/>
    <w:rsid w:val="00F00661"/>
    <w:rsid w:val="00F00D6D"/>
    <w:rsid w:val="00F00E5B"/>
    <w:rsid w:val="00F00E63"/>
    <w:rsid w:val="00F01546"/>
    <w:rsid w:val="00F01904"/>
    <w:rsid w:val="00F01F57"/>
    <w:rsid w:val="00F02234"/>
    <w:rsid w:val="00F02362"/>
    <w:rsid w:val="00F025A7"/>
    <w:rsid w:val="00F02B4C"/>
    <w:rsid w:val="00F03061"/>
    <w:rsid w:val="00F03464"/>
    <w:rsid w:val="00F03868"/>
    <w:rsid w:val="00F03ABC"/>
    <w:rsid w:val="00F03E0D"/>
    <w:rsid w:val="00F044EE"/>
    <w:rsid w:val="00F04C8D"/>
    <w:rsid w:val="00F05007"/>
    <w:rsid w:val="00F0541C"/>
    <w:rsid w:val="00F0592B"/>
    <w:rsid w:val="00F05AC5"/>
    <w:rsid w:val="00F05B02"/>
    <w:rsid w:val="00F05C55"/>
    <w:rsid w:val="00F06040"/>
    <w:rsid w:val="00F0665F"/>
    <w:rsid w:val="00F067C2"/>
    <w:rsid w:val="00F069E5"/>
    <w:rsid w:val="00F06D93"/>
    <w:rsid w:val="00F06ED3"/>
    <w:rsid w:val="00F06FC0"/>
    <w:rsid w:val="00F07216"/>
    <w:rsid w:val="00F0782C"/>
    <w:rsid w:val="00F0789F"/>
    <w:rsid w:val="00F07B27"/>
    <w:rsid w:val="00F07B7B"/>
    <w:rsid w:val="00F102E7"/>
    <w:rsid w:val="00F10323"/>
    <w:rsid w:val="00F10747"/>
    <w:rsid w:val="00F10B61"/>
    <w:rsid w:val="00F10D61"/>
    <w:rsid w:val="00F11267"/>
    <w:rsid w:val="00F112E0"/>
    <w:rsid w:val="00F11986"/>
    <w:rsid w:val="00F11CAF"/>
    <w:rsid w:val="00F1260D"/>
    <w:rsid w:val="00F1286C"/>
    <w:rsid w:val="00F1292B"/>
    <w:rsid w:val="00F13C23"/>
    <w:rsid w:val="00F1440E"/>
    <w:rsid w:val="00F14658"/>
    <w:rsid w:val="00F14800"/>
    <w:rsid w:val="00F148D5"/>
    <w:rsid w:val="00F14AC6"/>
    <w:rsid w:val="00F14B92"/>
    <w:rsid w:val="00F14CD8"/>
    <w:rsid w:val="00F14D80"/>
    <w:rsid w:val="00F14F7E"/>
    <w:rsid w:val="00F15233"/>
    <w:rsid w:val="00F152EF"/>
    <w:rsid w:val="00F152F9"/>
    <w:rsid w:val="00F163A8"/>
    <w:rsid w:val="00F163D6"/>
    <w:rsid w:val="00F164AE"/>
    <w:rsid w:val="00F1696B"/>
    <w:rsid w:val="00F16987"/>
    <w:rsid w:val="00F1719A"/>
    <w:rsid w:val="00F17397"/>
    <w:rsid w:val="00F175BE"/>
    <w:rsid w:val="00F17A72"/>
    <w:rsid w:val="00F17F72"/>
    <w:rsid w:val="00F20066"/>
    <w:rsid w:val="00F2009B"/>
    <w:rsid w:val="00F20451"/>
    <w:rsid w:val="00F20DED"/>
    <w:rsid w:val="00F20FCF"/>
    <w:rsid w:val="00F217E2"/>
    <w:rsid w:val="00F21DF0"/>
    <w:rsid w:val="00F22129"/>
    <w:rsid w:val="00F224A0"/>
    <w:rsid w:val="00F224D8"/>
    <w:rsid w:val="00F227BE"/>
    <w:rsid w:val="00F235FE"/>
    <w:rsid w:val="00F2377F"/>
    <w:rsid w:val="00F23A41"/>
    <w:rsid w:val="00F23B64"/>
    <w:rsid w:val="00F23B68"/>
    <w:rsid w:val="00F243D1"/>
    <w:rsid w:val="00F24AA4"/>
    <w:rsid w:val="00F24D07"/>
    <w:rsid w:val="00F24E2F"/>
    <w:rsid w:val="00F25165"/>
    <w:rsid w:val="00F254D1"/>
    <w:rsid w:val="00F256FB"/>
    <w:rsid w:val="00F25A03"/>
    <w:rsid w:val="00F25CEE"/>
    <w:rsid w:val="00F26C82"/>
    <w:rsid w:val="00F26DC9"/>
    <w:rsid w:val="00F27447"/>
    <w:rsid w:val="00F275BB"/>
    <w:rsid w:val="00F27747"/>
    <w:rsid w:val="00F27AEA"/>
    <w:rsid w:val="00F27BDB"/>
    <w:rsid w:val="00F27CBA"/>
    <w:rsid w:val="00F27F0A"/>
    <w:rsid w:val="00F27FB9"/>
    <w:rsid w:val="00F3015B"/>
    <w:rsid w:val="00F303B7"/>
    <w:rsid w:val="00F30424"/>
    <w:rsid w:val="00F308C0"/>
    <w:rsid w:val="00F30CE6"/>
    <w:rsid w:val="00F30F92"/>
    <w:rsid w:val="00F312FF"/>
    <w:rsid w:val="00F3141D"/>
    <w:rsid w:val="00F3171C"/>
    <w:rsid w:val="00F31DA6"/>
    <w:rsid w:val="00F32F3D"/>
    <w:rsid w:val="00F33072"/>
    <w:rsid w:val="00F33342"/>
    <w:rsid w:val="00F335AB"/>
    <w:rsid w:val="00F33DB5"/>
    <w:rsid w:val="00F34D0D"/>
    <w:rsid w:val="00F34F22"/>
    <w:rsid w:val="00F354A2"/>
    <w:rsid w:val="00F35C11"/>
    <w:rsid w:val="00F35CE2"/>
    <w:rsid w:val="00F36238"/>
    <w:rsid w:val="00F36893"/>
    <w:rsid w:val="00F36FEE"/>
    <w:rsid w:val="00F3758E"/>
    <w:rsid w:val="00F37AD2"/>
    <w:rsid w:val="00F37CD4"/>
    <w:rsid w:val="00F37D25"/>
    <w:rsid w:val="00F40017"/>
    <w:rsid w:val="00F4001C"/>
    <w:rsid w:val="00F404A2"/>
    <w:rsid w:val="00F40557"/>
    <w:rsid w:val="00F408CC"/>
    <w:rsid w:val="00F40BC6"/>
    <w:rsid w:val="00F416E9"/>
    <w:rsid w:val="00F41C10"/>
    <w:rsid w:val="00F41C82"/>
    <w:rsid w:val="00F41DFD"/>
    <w:rsid w:val="00F41EB3"/>
    <w:rsid w:val="00F41F14"/>
    <w:rsid w:val="00F41F66"/>
    <w:rsid w:val="00F42051"/>
    <w:rsid w:val="00F42148"/>
    <w:rsid w:val="00F424D5"/>
    <w:rsid w:val="00F4284A"/>
    <w:rsid w:val="00F4335E"/>
    <w:rsid w:val="00F4344F"/>
    <w:rsid w:val="00F4362A"/>
    <w:rsid w:val="00F43D92"/>
    <w:rsid w:val="00F447A9"/>
    <w:rsid w:val="00F44EEC"/>
    <w:rsid w:val="00F44F20"/>
    <w:rsid w:val="00F450BB"/>
    <w:rsid w:val="00F4527D"/>
    <w:rsid w:val="00F455F1"/>
    <w:rsid w:val="00F45979"/>
    <w:rsid w:val="00F45A20"/>
    <w:rsid w:val="00F45E5F"/>
    <w:rsid w:val="00F4617C"/>
    <w:rsid w:val="00F461F0"/>
    <w:rsid w:val="00F46524"/>
    <w:rsid w:val="00F46612"/>
    <w:rsid w:val="00F466D8"/>
    <w:rsid w:val="00F46872"/>
    <w:rsid w:val="00F46B6C"/>
    <w:rsid w:val="00F46FDA"/>
    <w:rsid w:val="00F478F9"/>
    <w:rsid w:val="00F47BE1"/>
    <w:rsid w:val="00F50373"/>
    <w:rsid w:val="00F50455"/>
    <w:rsid w:val="00F50472"/>
    <w:rsid w:val="00F508E5"/>
    <w:rsid w:val="00F50F6F"/>
    <w:rsid w:val="00F51135"/>
    <w:rsid w:val="00F51145"/>
    <w:rsid w:val="00F52510"/>
    <w:rsid w:val="00F52651"/>
    <w:rsid w:val="00F534F0"/>
    <w:rsid w:val="00F5369E"/>
    <w:rsid w:val="00F53D69"/>
    <w:rsid w:val="00F53DA4"/>
    <w:rsid w:val="00F53E3D"/>
    <w:rsid w:val="00F5404A"/>
    <w:rsid w:val="00F543D3"/>
    <w:rsid w:val="00F54535"/>
    <w:rsid w:val="00F54605"/>
    <w:rsid w:val="00F547CC"/>
    <w:rsid w:val="00F5490A"/>
    <w:rsid w:val="00F5496E"/>
    <w:rsid w:val="00F54B61"/>
    <w:rsid w:val="00F54F28"/>
    <w:rsid w:val="00F54FF7"/>
    <w:rsid w:val="00F556E8"/>
    <w:rsid w:val="00F55AE5"/>
    <w:rsid w:val="00F56268"/>
    <w:rsid w:val="00F56646"/>
    <w:rsid w:val="00F569B0"/>
    <w:rsid w:val="00F56AE0"/>
    <w:rsid w:val="00F56CAB"/>
    <w:rsid w:val="00F56CB0"/>
    <w:rsid w:val="00F57009"/>
    <w:rsid w:val="00F57390"/>
    <w:rsid w:val="00F57AFF"/>
    <w:rsid w:val="00F60152"/>
    <w:rsid w:val="00F6016C"/>
    <w:rsid w:val="00F602A2"/>
    <w:rsid w:val="00F60757"/>
    <w:rsid w:val="00F60913"/>
    <w:rsid w:val="00F6099D"/>
    <w:rsid w:val="00F60A7A"/>
    <w:rsid w:val="00F60BBF"/>
    <w:rsid w:val="00F60BE6"/>
    <w:rsid w:val="00F60E68"/>
    <w:rsid w:val="00F61248"/>
    <w:rsid w:val="00F62182"/>
    <w:rsid w:val="00F62C59"/>
    <w:rsid w:val="00F62EC4"/>
    <w:rsid w:val="00F62FC5"/>
    <w:rsid w:val="00F63A96"/>
    <w:rsid w:val="00F63C1B"/>
    <w:rsid w:val="00F63F47"/>
    <w:rsid w:val="00F648FA"/>
    <w:rsid w:val="00F64AAF"/>
    <w:rsid w:val="00F64C9D"/>
    <w:rsid w:val="00F65358"/>
    <w:rsid w:val="00F65478"/>
    <w:rsid w:val="00F658D4"/>
    <w:rsid w:val="00F65B91"/>
    <w:rsid w:val="00F65D1E"/>
    <w:rsid w:val="00F65D75"/>
    <w:rsid w:val="00F6633F"/>
    <w:rsid w:val="00F66562"/>
    <w:rsid w:val="00F66EC0"/>
    <w:rsid w:val="00F6712C"/>
    <w:rsid w:val="00F67157"/>
    <w:rsid w:val="00F67191"/>
    <w:rsid w:val="00F67484"/>
    <w:rsid w:val="00F674F8"/>
    <w:rsid w:val="00F67703"/>
    <w:rsid w:val="00F67968"/>
    <w:rsid w:val="00F679B3"/>
    <w:rsid w:val="00F67BDD"/>
    <w:rsid w:val="00F67D88"/>
    <w:rsid w:val="00F67E65"/>
    <w:rsid w:val="00F70404"/>
    <w:rsid w:val="00F70B7D"/>
    <w:rsid w:val="00F70F2A"/>
    <w:rsid w:val="00F71223"/>
    <w:rsid w:val="00F71243"/>
    <w:rsid w:val="00F716E6"/>
    <w:rsid w:val="00F71C81"/>
    <w:rsid w:val="00F71EE0"/>
    <w:rsid w:val="00F71F8B"/>
    <w:rsid w:val="00F72079"/>
    <w:rsid w:val="00F724C2"/>
    <w:rsid w:val="00F72B08"/>
    <w:rsid w:val="00F7302C"/>
    <w:rsid w:val="00F73282"/>
    <w:rsid w:val="00F734FB"/>
    <w:rsid w:val="00F73A2E"/>
    <w:rsid w:val="00F73A8A"/>
    <w:rsid w:val="00F73EB6"/>
    <w:rsid w:val="00F74088"/>
    <w:rsid w:val="00F743E8"/>
    <w:rsid w:val="00F746E9"/>
    <w:rsid w:val="00F74982"/>
    <w:rsid w:val="00F74AF1"/>
    <w:rsid w:val="00F74F5C"/>
    <w:rsid w:val="00F750CB"/>
    <w:rsid w:val="00F75230"/>
    <w:rsid w:val="00F75615"/>
    <w:rsid w:val="00F75667"/>
    <w:rsid w:val="00F75D50"/>
    <w:rsid w:val="00F75F22"/>
    <w:rsid w:val="00F76555"/>
    <w:rsid w:val="00F766C9"/>
    <w:rsid w:val="00F76777"/>
    <w:rsid w:val="00F76817"/>
    <w:rsid w:val="00F76A83"/>
    <w:rsid w:val="00F76DBC"/>
    <w:rsid w:val="00F7720B"/>
    <w:rsid w:val="00F778C5"/>
    <w:rsid w:val="00F77A87"/>
    <w:rsid w:val="00F77E1A"/>
    <w:rsid w:val="00F80640"/>
    <w:rsid w:val="00F812B0"/>
    <w:rsid w:val="00F817D3"/>
    <w:rsid w:val="00F819AC"/>
    <w:rsid w:val="00F81A5B"/>
    <w:rsid w:val="00F81AFD"/>
    <w:rsid w:val="00F827BB"/>
    <w:rsid w:val="00F82DCB"/>
    <w:rsid w:val="00F82F24"/>
    <w:rsid w:val="00F83400"/>
    <w:rsid w:val="00F839EF"/>
    <w:rsid w:val="00F83E05"/>
    <w:rsid w:val="00F83E51"/>
    <w:rsid w:val="00F845D3"/>
    <w:rsid w:val="00F846E6"/>
    <w:rsid w:val="00F84CD5"/>
    <w:rsid w:val="00F85425"/>
    <w:rsid w:val="00F8543F"/>
    <w:rsid w:val="00F855B4"/>
    <w:rsid w:val="00F85AD6"/>
    <w:rsid w:val="00F85C47"/>
    <w:rsid w:val="00F86020"/>
    <w:rsid w:val="00F862B3"/>
    <w:rsid w:val="00F86643"/>
    <w:rsid w:val="00F86701"/>
    <w:rsid w:val="00F86862"/>
    <w:rsid w:val="00F86D84"/>
    <w:rsid w:val="00F86DC9"/>
    <w:rsid w:val="00F8759B"/>
    <w:rsid w:val="00F87964"/>
    <w:rsid w:val="00F901F1"/>
    <w:rsid w:val="00F90457"/>
    <w:rsid w:val="00F90868"/>
    <w:rsid w:val="00F90D5D"/>
    <w:rsid w:val="00F91383"/>
    <w:rsid w:val="00F91ACA"/>
    <w:rsid w:val="00F91CE9"/>
    <w:rsid w:val="00F91E5C"/>
    <w:rsid w:val="00F922C5"/>
    <w:rsid w:val="00F926E4"/>
    <w:rsid w:val="00F927A0"/>
    <w:rsid w:val="00F92D55"/>
    <w:rsid w:val="00F9371B"/>
    <w:rsid w:val="00F94558"/>
    <w:rsid w:val="00F94595"/>
    <w:rsid w:val="00F947A7"/>
    <w:rsid w:val="00F949FD"/>
    <w:rsid w:val="00F94A4F"/>
    <w:rsid w:val="00F94AE1"/>
    <w:rsid w:val="00F94FFA"/>
    <w:rsid w:val="00F9519E"/>
    <w:rsid w:val="00F95414"/>
    <w:rsid w:val="00F955E3"/>
    <w:rsid w:val="00F9641F"/>
    <w:rsid w:val="00F96799"/>
    <w:rsid w:val="00F96BB6"/>
    <w:rsid w:val="00F96E4E"/>
    <w:rsid w:val="00F975C1"/>
    <w:rsid w:val="00F9794A"/>
    <w:rsid w:val="00FA018C"/>
    <w:rsid w:val="00FA03BA"/>
    <w:rsid w:val="00FA058E"/>
    <w:rsid w:val="00FA0685"/>
    <w:rsid w:val="00FA0F75"/>
    <w:rsid w:val="00FA0FF4"/>
    <w:rsid w:val="00FA14E4"/>
    <w:rsid w:val="00FA1B46"/>
    <w:rsid w:val="00FA1C45"/>
    <w:rsid w:val="00FA1CD3"/>
    <w:rsid w:val="00FA1F84"/>
    <w:rsid w:val="00FA26A9"/>
    <w:rsid w:val="00FA2F92"/>
    <w:rsid w:val="00FA31C9"/>
    <w:rsid w:val="00FA33B7"/>
    <w:rsid w:val="00FA38FA"/>
    <w:rsid w:val="00FA3996"/>
    <w:rsid w:val="00FA3A37"/>
    <w:rsid w:val="00FA444D"/>
    <w:rsid w:val="00FA4E24"/>
    <w:rsid w:val="00FA4F55"/>
    <w:rsid w:val="00FA58A4"/>
    <w:rsid w:val="00FA58ED"/>
    <w:rsid w:val="00FA5C4D"/>
    <w:rsid w:val="00FA5C50"/>
    <w:rsid w:val="00FA5E39"/>
    <w:rsid w:val="00FA60B2"/>
    <w:rsid w:val="00FA638C"/>
    <w:rsid w:val="00FA6394"/>
    <w:rsid w:val="00FA63A0"/>
    <w:rsid w:val="00FA6691"/>
    <w:rsid w:val="00FA68C5"/>
    <w:rsid w:val="00FA6935"/>
    <w:rsid w:val="00FA6BC7"/>
    <w:rsid w:val="00FA7A19"/>
    <w:rsid w:val="00FB02B5"/>
    <w:rsid w:val="00FB0A2D"/>
    <w:rsid w:val="00FB13CF"/>
    <w:rsid w:val="00FB156D"/>
    <w:rsid w:val="00FB1A66"/>
    <w:rsid w:val="00FB1B07"/>
    <w:rsid w:val="00FB1F98"/>
    <w:rsid w:val="00FB2172"/>
    <w:rsid w:val="00FB2D95"/>
    <w:rsid w:val="00FB315F"/>
    <w:rsid w:val="00FB31A4"/>
    <w:rsid w:val="00FB3F43"/>
    <w:rsid w:val="00FB3FFF"/>
    <w:rsid w:val="00FB4157"/>
    <w:rsid w:val="00FB4187"/>
    <w:rsid w:val="00FB43CE"/>
    <w:rsid w:val="00FB45C2"/>
    <w:rsid w:val="00FB4859"/>
    <w:rsid w:val="00FB4CF7"/>
    <w:rsid w:val="00FB4EB8"/>
    <w:rsid w:val="00FB5F8F"/>
    <w:rsid w:val="00FB61B5"/>
    <w:rsid w:val="00FB6380"/>
    <w:rsid w:val="00FB6666"/>
    <w:rsid w:val="00FB697E"/>
    <w:rsid w:val="00FB6D94"/>
    <w:rsid w:val="00FC0623"/>
    <w:rsid w:val="00FC06EF"/>
    <w:rsid w:val="00FC0805"/>
    <w:rsid w:val="00FC0DA8"/>
    <w:rsid w:val="00FC0E01"/>
    <w:rsid w:val="00FC0FCA"/>
    <w:rsid w:val="00FC1078"/>
    <w:rsid w:val="00FC1265"/>
    <w:rsid w:val="00FC176A"/>
    <w:rsid w:val="00FC185E"/>
    <w:rsid w:val="00FC2006"/>
    <w:rsid w:val="00FC2234"/>
    <w:rsid w:val="00FC2659"/>
    <w:rsid w:val="00FC278A"/>
    <w:rsid w:val="00FC28A8"/>
    <w:rsid w:val="00FC2CC5"/>
    <w:rsid w:val="00FC2E85"/>
    <w:rsid w:val="00FC37BD"/>
    <w:rsid w:val="00FC37EF"/>
    <w:rsid w:val="00FC3DC8"/>
    <w:rsid w:val="00FC3DE4"/>
    <w:rsid w:val="00FC3EA2"/>
    <w:rsid w:val="00FC4F54"/>
    <w:rsid w:val="00FC5443"/>
    <w:rsid w:val="00FC595F"/>
    <w:rsid w:val="00FC5C8A"/>
    <w:rsid w:val="00FC5DAE"/>
    <w:rsid w:val="00FC5FA6"/>
    <w:rsid w:val="00FC6139"/>
    <w:rsid w:val="00FC63E7"/>
    <w:rsid w:val="00FC647D"/>
    <w:rsid w:val="00FC682B"/>
    <w:rsid w:val="00FC6A1D"/>
    <w:rsid w:val="00FC6FBC"/>
    <w:rsid w:val="00FC707B"/>
    <w:rsid w:val="00FC7409"/>
    <w:rsid w:val="00FC7E0D"/>
    <w:rsid w:val="00FD03CC"/>
    <w:rsid w:val="00FD0748"/>
    <w:rsid w:val="00FD0790"/>
    <w:rsid w:val="00FD081A"/>
    <w:rsid w:val="00FD0C1A"/>
    <w:rsid w:val="00FD1272"/>
    <w:rsid w:val="00FD15DE"/>
    <w:rsid w:val="00FD1A43"/>
    <w:rsid w:val="00FD20A2"/>
    <w:rsid w:val="00FD259A"/>
    <w:rsid w:val="00FD27D5"/>
    <w:rsid w:val="00FD29ED"/>
    <w:rsid w:val="00FD2CA4"/>
    <w:rsid w:val="00FD3B27"/>
    <w:rsid w:val="00FD3E6E"/>
    <w:rsid w:val="00FD3FD7"/>
    <w:rsid w:val="00FD402F"/>
    <w:rsid w:val="00FD4186"/>
    <w:rsid w:val="00FD42B1"/>
    <w:rsid w:val="00FD43EC"/>
    <w:rsid w:val="00FD45C3"/>
    <w:rsid w:val="00FD52F3"/>
    <w:rsid w:val="00FD5489"/>
    <w:rsid w:val="00FD57ED"/>
    <w:rsid w:val="00FD5822"/>
    <w:rsid w:val="00FD5C71"/>
    <w:rsid w:val="00FD5F34"/>
    <w:rsid w:val="00FD5F49"/>
    <w:rsid w:val="00FD5FBA"/>
    <w:rsid w:val="00FD66CE"/>
    <w:rsid w:val="00FD6787"/>
    <w:rsid w:val="00FD6AAB"/>
    <w:rsid w:val="00FD7058"/>
    <w:rsid w:val="00FD7113"/>
    <w:rsid w:val="00FD75C4"/>
    <w:rsid w:val="00FD786C"/>
    <w:rsid w:val="00FD7B99"/>
    <w:rsid w:val="00FE00F2"/>
    <w:rsid w:val="00FE0775"/>
    <w:rsid w:val="00FE0817"/>
    <w:rsid w:val="00FE154F"/>
    <w:rsid w:val="00FE18CA"/>
    <w:rsid w:val="00FE1A12"/>
    <w:rsid w:val="00FE1A6B"/>
    <w:rsid w:val="00FE1B19"/>
    <w:rsid w:val="00FE1C4C"/>
    <w:rsid w:val="00FE20EF"/>
    <w:rsid w:val="00FE24E9"/>
    <w:rsid w:val="00FE263D"/>
    <w:rsid w:val="00FE2927"/>
    <w:rsid w:val="00FE2C45"/>
    <w:rsid w:val="00FE33C7"/>
    <w:rsid w:val="00FE3402"/>
    <w:rsid w:val="00FE383B"/>
    <w:rsid w:val="00FE38D4"/>
    <w:rsid w:val="00FE3AF6"/>
    <w:rsid w:val="00FE3D62"/>
    <w:rsid w:val="00FE440C"/>
    <w:rsid w:val="00FE4C5D"/>
    <w:rsid w:val="00FE4F10"/>
    <w:rsid w:val="00FE505B"/>
    <w:rsid w:val="00FE5228"/>
    <w:rsid w:val="00FE5328"/>
    <w:rsid w:val="00FE544C"/>
    <w:rsid w:val="00FE631B"/>
    <w:rsid w:val="00FE6500"/>
    <w:rsid w:val="00FE6724"/>
    <w:rsid w:val="00FE6789"/>
    <w:rsid w:val="00FE6841"/>
    <w:rsid w:val="00FE68CA"/>
    <w:rsid w:val="00FE6932"/>
    <w:rsid w:val="00FE6D5B"/>
    <w:rsid w:val="00FE6D67"/>
    <w:rsid w:val="00FE6FD2"/>
    <w:rsid w:val="00FE787E"/>
    <w:rsid w:val="00FE7CC1"/>
    <w:rsid w:val="00FE7FC4"/>
    <w:rsid w:val="00FF0024"/>
    <w:rsid w:val="00FF060D"/>
    <w:rsid w:val="00FF166D"/>
    <w:rsid w:val="00FF1689"/>
    <w:rsid w:val="00FF18C7"/>
    <w:rsid w:val="00FF197B"/>
    <w:rsid w:val="00FF21E7"/>
    <w:rsid w:val="00FF2399"/>
    <w:rsid w:val="00FF2496"/>
    <w:rsid w:val="00FF249F"/>
    <w:rsid w:val="00FF274B"/>
    <w:rsid w:val="00FF309F"/>
    <w:rsid w:val="00FF3198"/>
    <w:rsid w:val="00FF32E0"/>
    <w:rsid w:val="00FF36DC"/>
    <w:rsid w:val="00FF3D94"/>
    <w:rsid w:val="00FF427A"/>
    <w:rsid w:val="00FF4A3E"/>
    <w:rsid w:val="00FF4CFC"/>
    <w:rsid w:val="00FF4E7F"/>
    <w:rsid w:val="00FF51FB"/>
    <w:rsid w:val="00FF5309"/>
    <w:rsid w:val="00FF5477"/>
    <w:rsid w:val="00FF55D7"/>
    <w:rsid w:val="00FF5756"/>
    <w:rsid w:val="00FF5802"/>
    <w:rsid w:val="00FF5958"/>
    <w:rsid w:val="00FF5B0C"/>
    <w:rsid w:val="00FF5CE9"/>
    <w:rsid w:val="00FF5EAB"/>
    <w:rsid w:val="00FF6470"/>
    <w:rsid w:val="00FF64BD"/>
    <w:rsid w:val="00FF66CC"/>
    <w:rsid w:val="00FF67B3"/>
    <w:rsid w:val="00FF694F"/>
    <w:rsid w:val="00FF6BB9"/>
    <w:rsid w:val="00FF6D82"/>
    <w:rsid w:val="00FF6FF9"/>
    <w:rsid w:val="00FF702F"/>
    <w:rsid w:val="00FF744B"/>
    <w:rsid w:val="00FF77EA"/>
    <w:rsid w:val="00FF7A05"/>
    <w:rsid w:val="00FF7D1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08C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47D49"/>
    <w:pPr>
      <w:keepNext/>
      <w:keepLines/>
      <w:numPr>
        <w:numId w:val="1"/>
      </w:numPr>
      <w:spacing w:before="360" w:after="240"/>
      <w:jc w:val="center"/>
      <w:outlineLvl w:val="0"/>
    </w:pPr>
    <w:rPr>
      <w:rFonts w:asciiTheme="minorHAnsi" w:eastAsiaTheme="majorEastAsia" w:hAnsiTheme="minorHAnsi" w:cstheme="majorBidi"/>
      <w:b/>
      <w:bCs/>
      <w:color w:val="365F91" w:themeColor="accent1" w:themeShade="BF"/>
      <w:sz w:val="28"/>
      <w:szCs w:val="24"/>
      <w:lang w:eastAsia="lt-LT"/>
    </w:rPr>
  </w:style>
  <w:style w:type="paragraph" w:styleId="Antrat2">
    <w:name w:val="heading 2"/>
    <w:basedOn w:val="prastasis"/>
    <w:next w:val="prastasis"/>
    <w:link w:val="Antrat2Diagrama"/>
    <w:uiPriority w:val="9"/>
    <w:unhideWhenUsed/>
    <w:qFormat/>
    <w:rsid w:val="00B86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F7F6F"/>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DiagramaCharChar1">
    <w:name w:val="Char Diagrama Char Char1"/>
    <w:basedOn w:val="prastasis"/>
    <w:rsid w:val="002D6066"/>
    <w:pPr>
      <w:spacing w:after="160" w:line="240" w:lineRule="exact"/>
    </w:pPr>
    <w:rPr>
      <w:rFonts w:ascii="Tahoma" w:hAnsi="Tahoma"/>
      <w:sz w:val="20"/>
      <w:lang w:val="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2D6066"/>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uiPriority w:val="99"/>
    <w:semiHidden/>
    <w:unhideWhenUsed/>
    <w:rsid w:val="002D60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6066"/>
    <w:rPr>
      <w:rFonts w:ascii="Tahoma" w:eastAsia="Times New Roman" w:hAnsi="Tahoma" w:cs="Tahoma"/>
      <w:sz w:val="16"/>
      <w:szCs w:val="16"/>
    </w:rPr>
  </w:style>
  <w:style w:type="paragraph" w:customStyle="1" w:styleId="CharDiagramaCharChar">
    <w:name w:val="Char Diagrama Char Char"/>
    <w:basedOn w:val="prastasis"/>
    <w:rsid w:val="002E5B8A"/>
    <w:pPr>
      <w:spacing w:after="160" w:line="240" w:lineRule="exact"/>
    </w:pPr>
    <w:rPr>
      <w:rFonts w:ascii="Tahoma" w:hAnsi="Tahoma"/>
      <w:sz w:val="20"/>
      <w:lang w:val="en-US"/>
    </w:rPr>
  </w:style>
  <w:style w:type="character" w:styleId="Komentaronuoroda">
    <w:name w:val="annotation reference"/>
    <w:basedOn w:val="Numatytasispastraiposriftas"/>
    <w:uiPriority w:val="99"/>
    <w:semiHidden/>
    <w:unhideWhenUsed/>
    <w:rsid w:val="00C2465F"/>
    <w:rPr>
      <w:sz w:val="16"/>
      <w:szCs w:val="16"/>
    </w:rPr>
  </w:style>
  <w:style w:type="paragraph" w:styleId="Komentarotekstas">
    <w:name w:val="annotation text"/>
    <w:basedOn w:val="prastasis"/>
    <w:link w:val="KomentarotekstasDiagrama"/>
    <w:uiPriority w:val="99"/>
    <w:unhideWhenUsed/>
    <w:rsid w:val="00C2465F"/>
    <w:rPr>
      <w:sz w:val="20"/>
    </w:rPr>
  </w:style>
  <w:style w:type="character" w:customStyle="1" w:styleId="KomentarotekstasDiagrama">
    <w:name w:val="Komentaro tekstas Diagrama"/>
    <w:basedOn w:val="Numatytasispastraiposriftas"/>
    <w:link w:val="Komentarotekstas"/>
    <w:uiPriority w:val="99"/>
    <w:rsid w:val="00C246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465F"/>
    <w:rPr>
      <w:b/>
      <w:bCs/>
    </w:rPr>
  </w:style>
  <w:style w:type="character" w:customStyle="1" w:styleId="KomentarotemaDiagrama">
    <w:name w:val="Komentaro tema Diagrama"/>
    <w:basedOn w:val="KomentarotekstasDiagrama"/>
    <w:link w:val="Komentarotema"/>
    <w:uiPriority w:val="99"/>
    <w:semiHidden/>
    <w:rsid w:val="00C2465F"/>
    <w:rPr>
      <w:rFonts w:ascii="Times New Roman" w:eastAsia="Times New Roman" w:hAnsi="Times New Roman" w:cs="Times New Roman"/>
      <w:b/>
      <w:bCs/>
      <w:sz w:val="20"/>
      <w:szCs w:val="20"/>
    </w:rPr>
  </w:style>
  <w:style w:type="paragraph" w:styleId="prastasistinklapis">
    <w:name w:val="Normal (Web)"/>
    <w:basedOn w:val="prastasis"/>
    <w:uiPriority w:val="99"/>
    <w:unhideWhenUsed/>
    <w:rsid w:val="00AE3D8C"/>
    <w:pPr>
      <w:spacing w:before="100" w:beforeAutospacing="1" w:after="100" w:afterAutospacing="1"/>
    </w:pPr>
    <w:rPr>
      <w:rFonts w:eastAsiaTheme="minorEastAsia"/>
      <w:szCs w:val="24"/>
      <w:lang w:eastAsia="lt-LT"/>
    </w:rPr>
  </w:style>
  <w:style w:type="paragraph" w:styleId="Antrats">
    <w:name w:val="header"/>
    <w:basedOn w:val="prastasis"/>
    <w:link w:val="AntratsDiagrama"/>
    <w:uiPriority w:val="99"/>
    <w:unhideWhenUsed/>
    <w:rsid w:val="00885DE2"/>
    <w:pPr>
      <w:tabs>
        <w:tab w:val="center" w:pos="4819"/>
        <w:tab w:val="right" w:pos="9638"/>
      </w:tabs>
    </w:pPr>
  </w:style>
  <w:style w:type="character" w:customStyle="1" w:styleId="AntratsDiagrama">
    <w:name w:val="Antraštės Diagrama"/>
    <w:basedOn w:val="Numatytasispastraiposriftas"/>
    <w:link w:val="Antrats"/>
    <w:uiPriority w:val="99"/>
    <w:rsid w:val="00885DE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85DE2"/>
    <w:pPr>
      <w:tabs>
        <w:tab w:val="center" w:pos="4819"/>
        <w:tab w:val="right" w:pos="9638"/>
      </w:tabs>
    </w:pPr>
  </w:style>
  <w:style w:type="character" w:customStyle="1" w:styleId="PoratDiagrama">
    <w:name w:val="Poraštė Diagrama"/>
    <w:basedOn w:val="Numatytasispastraiposriftas"/>
    <w:link w:val="Porat"/>
    <w:uiPriority w:val="99"/>
    <w:rsid w:val="00885DE2"/>
    <w:rPr>
      <w:rFonts w:ascii="Times New Roman" w:eastAsia="Times New Roman" w:hAnsi="Times New Roman" w:cs="Times New Roman"/>
      <w:sz w:val="24"/>
      <w:szCs w:val="20"/>
    </w:rPr>
  </w:style>
  <w:style w:type="table" w:styleId="Lentelstinklelis">
    <w:name w:val="Table Grid"/>
    <w:basedOn w:val="prastojilentel"/>
    <w:uiPriority w:val="59"/>
    <w:rsid w:val="009E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F2736"/>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433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qFormat/>
    <w:rsid w:val="00F76555"/>
    <w:pPr>
      <w:spacing w:after="240"/>
      <w:jc w:val="both"/>
    </w:pPr>
    <w:rPr>
      <w:rFonts w:eastAsia="SimSun"/>
      <w:szCs w:val="24"/>
      <w:lang w:eastAsia="lt-LT"/>
    </w:rPr>
  </w:style>
  <w:style w:type="character" w:customStyle="1" w:styleId="PagrindinistekstasDiagrama">
    <w:name w:val="Pagrindinis tekstas Diagrama"/>
    <w:basedOn w:val="Numatytasispastraiposriftas"/>
    <w:link w:val="Pagrindinistekstas"/>
    <w:rsid w:val="00F76555"/>
    <w:rPr>
      <w:rFonts w:ascii="Times New Roman" w:eastAsia="SimSun" w:hAnsi="Times New Roman" w:cs="Times New Roman"/>
      <w:sz w:val="24"/>
      <w:szCs w:val="24"/>
      <w:lang w:eastAsia="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o"/>
    <w:basedOn w:val="prastasis"/>
    <w:link w:val="PuslapioinaostekstasDiagrama"/>
    <w:uiPriority w:val="99"/>
    <w:unhideWhenUsed/>
    <w:qFormat/>
    <w:rsid w:val="004D3793"/>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D3793"/>
    <w:rPr>
      <w:rFonts w:ascii="Times New Roman" w:eastAsia="Times New Roman" w:hAnsi="Times New Roman" w:cs="Times New Roman"/>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basedOn w:val="Numatytasispastraiposriftas"/>
    <w:link w:val="SUPERSChar"/>
    <w:uiPriority w:val="99"/>
    <w:unhideWhenUsed/>
    <w:qFormat/>
    <w:rsid w:val="004D3793"/>
    <w:rPr>
      <w:vertAlign w:val="superscript"/>
    </w:rPr>
  </w:style>
  <w:style w:type="paragraph" w:styleId="prastojitrauka">
    <w:name w:val="Normal Indent"/>
    <w:basedOn w:val="prastasis"/>
    <w:uiPriority w:val="99"/>
    <w:semiHidden/>
    <w:unhideWhenUsed/>
    <w:rsid w:val="008C4570"/>
    <w:pPr>
      <w:ind w:left="1296"/>
    </w:pPr>
  </w:style>
  <w:style w:type="character" w:customStyle="1" w:styleId="Antrat1Diagrama">
    <w:name w:val="Antraštė 1 Diagrama"/>
    <w:basedOn w:val="Numatytasispastraiposriftas"/>
    <w:link w:val="Antrat1"/>
    <w:uiPriority w:val="9"/>
    <w:rsid w:val="00547D49"/>
    <w:rPr>
      <w:rFonts w:eastAsiaTheme="majorEastAsia" w:cstheme="majorBidi"/>
      <w:b/>
      <w:bCs/>
      <w:color w:val="365F91" w:themeColor="accent1" w:themeShade="BF"/>
      <w:sz w:val="28"/>
      <w:szCs w:val="24"/>
      <w:lang w:eastAsia="lt-LT"/>
    </w:rPr>
  </w:style>
  <w:style w:type="character" w:customStyle="1" w:styleId="Antrat2Diagrama">
    <w:name w:val="Antraštė 2 Diagrama"/>
    <w:basedOn w:val="Numatytasispastraiposriftas"/>
    <w:link w:val="Antrat2"/>
    <w:uiPriority w:val="9"/>
    <w:rsid w:val="00B86403"/>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unhideWhenUsed/>
    <w:qFormat/>
    <w:rsid w:val="00B86403"/>
    <w:pPr>
      <w:spacing w:line="276" w:lineRule="auto"/>
      <w:outlineLvl w:val="9"/>
    </w:pPr>
  </w:style>
  <w:style w:type="paragraph" w:styleId="Turinys1">
    <w:name w:val="toc 1"/>
    <w:basedOn w:val="prastasis"/>
    <w:next w:val="prastasis"/>
    <w:autoRedefine/>
    <w:uiPriority w:val="39"/>
    <w:unhideWhenUsed/>
    <w:rsid w:val="00B86403"/>
    <w:pPr>
      <w:spacing w:after="100"/>
    </w:pPr>
  </w:style>
  <w:style w:type="paragraph" w:styleId="Turinys2">
    <w:name w:val="toc 2"/>
    <w:basedOn w:val="prastasis"/>
    <w:next w:val="prastasis"/>
    <w:autoRedefine/>
    <w:uiPriority w:val="39"/>
    <w:unhideWhenUsed/>
    <w:rsid w:val="00B86403"/>
    <w:pPr>
      <w:spacing w:after="100"/>
      <w:ind w:left="240"/>
    </w:pPr>
  </w:style>
  <w:style w:type="character" w:styleId="Hipersaitas">
    <w:name w:val="Hyperlink"/>
    <w:basedOn w:val="Numatytasispastraiposriftas"/>
    <w:uiPriority w:val="99"/>
    <w:unhideWhenUsed/>
    <w:rsid w:val="00B86403"/>
    <w:rPr>
      <w:color w:val="0000FF" w:themeColor="hyperlink"/>
      <w:u w:val="single"/>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B86403"/>
    <w:pPr>
      <w:spacing w:after="160" w:line="240" w:lineRule="exact"/>
    </w:pPr>
    <w:rPr>
      <w:rFonts w:ascii="Tahoma" w:hAnsi="Tahoma"/>
      <w:sz w:val="20"/>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qFormat/>
    <w:locked/>
    <w:rsid w:val="00433A9A"/>
    <w:rPr>
      <w:rFonts w:ascii="Calibri" w:eastAsia="Calibri" w:hAnsi="Calibri" w:cs="Times New Roman"/>
    </w:rPr>
  </w:style>
  <w:style w:type="paragraph" w:styleId="Antrat">
    <w:name w:val="caption"/>
    <w:aliases w:val="• Caption,Table caption,paveikslas,Paveikslo pavadinimas,TabelOverskrift"/>
    <w:basedOn w:val="prastasis"/>
    <w:next w:val="prastasis"/>
    <w:link w:val="AntratDiagrama"/>
    <w:uiPriority w:val="99"/>
    <w:unhideWhenUsed/>
    <w:qFormat/>
    <w:rsid w:val="00433A9A"/>
    <w:pPr>
      <w:spacing w:after="200"/>
    </w:pPr>
    <w:rPr>
      <w:rFonts w:ascii="Calibri" w:eastAsia="Calibri" w:hAnsi="Calibri"/>
      <w:b/>
      <w:bCs/>
      <w:color w:val="4F81BD"/>
      <w:sz w:val="18"/>
      <w:szCs w:val="18"/>
    </w:rPr>
  </w:style>
  <w:style w:type="paragraph" w:customStyle="1" w:styleId="antrat2ZZ">
    <w:name w:val="antraštė 2_ZZ"/>
    <w:basedOn w:val="prastasis"/>
    <w:link w:val="antrat2ZZDiagrama"/>
    <w:qFormat/>
    <w:rsid w:val="00547D49"/>
    <w:pPr>
      <w:keepNext/>
      <w:keepLines/>
      <w:spacing w:before="360" w:after="240"/>
      <w:jc w:val="center"/>
      <w:outlineLvl w:val="0"/>
    </w:pPr>
    <w:rPr>
      <w:rFonts w:asciiTheme="minorHAnsi" w:eastAsiaTheme="majorEastAsia" w:hAnsiTheme="minorHAnsi" w:cstheme="majorBidi"/>
      <w:b/>
      <w:bCs/>
      <w:color w:val="365F91" w:themeColor="accent1" w:themeShade="BF"/>
      <w:sz w:val="26"/>
      <w:szCs w:val="28"/>
      <w:lang w:eastAsia="lt-LT"/>
    </w:rPr>
  </w:style>
  <w:style w:type="paragraph" w:customStyle="1" w:styleId="antrat3zz">
    <w:name w:val="antraštė 3_zz"/>
    <w:basedOn w:val="Antrat2"/>
    <w:link w:val="antrat3zzDiagrama"/>
    <w:qFormat/>
    <w:rsid w:val="00547D49"/>
    <w:pPr>
      <w:spacing w:before="240" w:after="120"/>
    </w:pPr>
    <w:rPr>
      <w:rFonts w:asciiTheme="minorHAnsi" w:hAnsiTheme="minorHAnsi"/>
      <w:color w:val="595959" w:themeColor="text1" w:themeTint="A6"/>
      <w:sz w:val="24"/>
      <w:szCs w:val="24"/>
      <w:lang w:eastAsia="lt-LT"/>
    </w:rPr>
  </w:style>
  <w:style w:type="character" w:customStyle="1" w:styleId="antrat2ZZDiagrama">
    <w:name w:val="antraštė 2_ZZ Diagrama"/>
    <w:basedOn w:val="Numatytasispastraiposriftas"/>
    <w:link w:val="antrat2ZZ"/>
    <w:rsid w:val="00547D49"/>
    <w:rPr>
      <w:rFonts w:eastAsiaTheme="majorEastAsia" w:cstheme="majorBidi"/>
      <w:b/>
      <w:bCs/>
      <w:color w:val="365F91" w:themeColor="accent1" w:themeShade="BF"/>
      <w:sz w:val="26"/>
      <w:szCs w:val="28"/>
      <w:lang w:eastAsia="lt-LT"/>
    </w:rPr>
  </w:style>
  <w:style w:type="character" w:customStyle="1" w:styleId="antrat3zzDiagrama">
    <w:name w:val="antraštė 3_zz Diagrama"/>
    <w:basedOn w:val="Antrat2Diagrama"/>
    <w:link w:val="antrat3zz"/>
    <w:rsid w:val="00547D49"/>
    <w:rPr>
      <w:rFonts w:asciiTheme="majorHAnsi" w:eastAsiaTheme="majorEastAsia" w:hAnsiTheme="majorHAnsi" w:cstheme="majorBidi"/>
      <w:b/>
      <w:bCs/>
      <w:color w:val="595959" w:themeColor="text1" w:themeTint="A6"/>
      <w:sz w:val="24"/>
      <w:szCs w:val="24"/>
      <w:lang w:eastAsia="lt-LT"/>
    </w:rPr>
  </w:style>
  <w:style w:type="paragraph" w:styleId="Pavadinimas">
    <w:name w:val="Title"/>
    <w:basedOn w:val="prastasis"/>
    <w:next w:val="prastasis"/>
    <w:link w:val="PavadinimasDiagrama"/>
    <w:uiPriority w:val="10"/>
    <w:qFormat/>
    <w:rsid w:val="00FC61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PavadinimasDiagrama">
    <w:name w:val="Pavadinimas Diagrama"/>
    <w:basedOn w:val="Numatytasispastraiposriftas"/>
    <w:link w:val="Pavadinimas"/>
    <w:uiPriority w:val="10"/>
    <w:rsid w:val="00FC6139"/>
    <w:rPr>
      <w:rFonts w:asciiTheme="majorHAnsi" w:eastAsiaTheme="majorEastAsia" w:hAnsiTheme="majorHAnsi" w:cstheme="majorBidi"/>
      <w:color w:val="17365D" w:themeColor="text2" w:themeShade="BF"/>
      <w:spacing w:val="5"/>
      <w:kern w:val="28"/>
      <w:sz w:val="28"/>
      <w:szCs w:val="52"/>
    </w:rPr>
  </w:style>
  <w:style w:type="paragraph" w:customStyle="1" w:styleId="088095CB421E4E02BDC9682AFEE1723A">
    <w:name w:val="088095CB421E4E02BDC9682AFEE1723A"/>
    <w:rsid w:val="00866DFB"/>
    <w:rPr>
      <w:rFonts w:eastAsiaTheme="minorEastAsia"/>
      <w:lang w:eastAsia="lt-LT"/>
    </w:rPr>
  </w:style>
  <w:style w:type="paragraph" w:styleId="Pagrindiniotekstotrauka">
    <w:name w:val="Body Text Indent"/>
    <w:basedOn w:val="prastasis"/>
    <w:link w:val="PagrindiniotekstotraukaDiagrama"/>
    <w:uiPriority w:val="99"/>
    <w:unhideWhenUsed/>
    <w:rsid w:val="004F2F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F2F37"/>
    <w:rPr>
      <w:rFonts w:ascii="Times New Roman" w:eastAsia="Times New Roman" w:hAnsi="Times New Roman" w:cs="Times New Roman"/>
      <w:sz w:val="24"/>
      <w:szCs w:val="20"/>
    </w:rPr>
  </w:style>
  <w:style w:type="paragraph" w:customStyle="1" w:styleId="SUPERSChar">
    <w:name w:val="SUPERS Char"/>
    <w:aliases w:val="EN Footnote Reference Char"/>
    <w:basedOn w:val="prastasis"/>
    <w:link w:val="Puslapioinaosnuoroda"/>
    <w:uiPriority w:val="99"/>
    <w:rsid w:val="004F2F37"/>
    <w:pPr>
      <w:spacing w:after="160" w:line="240" w:lineRule="exact"/>
    </w:pPr>
    <w:rPr>
      <w:rFonts w:asciiTheme="minorHAnsi" w:eastAsiaTheme="minorHAnsi" w:hAnsiTheme="minorHAnsi" w:cstheme="minorBidi"/>
      <w:sz w:val="22"/>
      <w:szCs w:val="22"/>
      <w:vertAlign w:val="superscript"/>
    </w:rPr>
  </w:style>
  <w:style w:type="character" w:customStyle="1" w:styleId="AntratDiagrama">
    <w:name w:val="Antraštė Diagrama"/>
    <w:aliases w:val="• Caption Diagrama,Table caption Diagrama,paveikslas Diagrama,Paveikslo pavadinimas Diagrama,TabelOverskrift Diagrama"/>
    <w:link w:val="Antrat"/>
    <w:uiPriority w:val="99"/>
    <w:locked/>
    <w:rsid w:val="004F2F37"/>
    <w:rPr>
      <w:rFonts w:ascii="Calibri" w:eastAsia="Calibri" w:hAnsi="Calibri" w:cs="Times New Roman"/>
      <w:b/>
      <w:bCs/>
      <w:color w:val="4F81BD"/>
      <w:sz w:val="18"/>
      <w:szCs w:val="18"/>
    </w:rPr>
  </w:style>
  <w:style w:type="paragraph" w:customStyle="1" w:styleId="Pagrindinispaprastastekstas">
    <w:name w:val="• Pagrindinis paprastas tekstas"/>
    <w:basedOn w:val="prastasis"/>
    <w:link w:val="PagrindinispaprastastekstasChar"/>
    <w:uiPriority w:val="99"/>
    <w:rsid w:val="004F2F37"/>
    <w:pPr>
      <w:jc w:val="both"/>
    </w:pPr>
    <w:rPr>
      <w:rFonts w:ascii="Cambria" w:eastAsia="Calibri" w:hAnsi="Cambria" w:cs="Cambria"/>
      <w:szCs w:val="24"/>
      <w:lang w:eastAsia="lt-LT"/>
    </w:rPr>
  </w:style>
  <w:style w:type="character" w:customStyle="1" w:styleId="PagrindinispaprastastekstasChar">
    <w:name w:val="• Pagrindinis paprastas tekstas Char"/>
    <w:link w:val="Pagrindinispaprastastekstas"/>
    <w:uiPriority w:val="99"/>
    <w:locked/>
    <w:rsid w:val="004F2F37"/>
    <w:rPr>
      <w:rFonts w:ascii="Cambria" w:eastAsia="Calibri" w:hAnsi="Cambria" w:cs="Cambria"/>
      <w:sz w:val="24"/>
      <w:szCs w:val="24"/>
      <w:lang w:eastAsia="lt-LT"/>
    </w:rPr>
  </w:style>
  <w:style w:type="paragraph" w:customStyle="1" w:styleId="tekstas">
    <w:name w:val="tekstas"/>
    <w:basedOn w:val="prastasis"/>
    <w:link w:val="tekstasDiagrama"/>
    <w:qFormat/>
    <w:rsid w:val="004F2F37"/>
    <w:pPr>
      <w:ind w:firstLine="426"/>
      <w:jc w:val="both"/>
    </w:pPr>
    <w:rPr>
      <w:rFonts w:asciiTheme="minorHAnsi" w:hAnsiTheme="minorHAnsi"/>
      <w:color w:val="666666"/>
      <w:szCs w:val="24"/>
    </w:rPr>
  </w:style>
  <w:style w:type="character" w:customStyle="1" w:styleId="tekstasDiagrama">
    <w:name w:val="tekstas Diagrama"/>
    <w:basedOn w:val="Numatytasispastraiposriftas"/>
    <w:link w:val="tekstas"/>
    <w:rsid w:val="004F2F37"/>
    <w:rPr>
      <w:rFonts w:eastAsia="Times New Roman" w:cs="Times New Roman"/>
      <w:color w:val="666666"/>
      <w:sz w:val="24"/>
      <w:szCs w:val="24"/>
    </w:rPr>
  </w:style>
  <w:style w:type="paragraph" w:customStyle="1" w:styleId="Textboxtekstas">
    <w:name w:val="• Text box tekstas"/>
    <w:basedOn w:val="prastasis"/>
    <w:uiPriority w:val="99"/>
    <w:rsid w:val="001F7F6F"/>
    <w:pPr>
      <w:jc w:val="both"/>
    </w:pPr>
    <w:rPr>
      <w:rFonts w:ascii="Cambria" w:hAnsi="Cambria" w:cs="Cambria"/>
      <w:color w:val="4181B6"/>
      <w:kern w:val="32"/>
      <w:sz w:val="20"/>
      <w:lang w:eastAsia="lt-LT"/>
    </w:rPr>
  </w:style>
  <w:style w:type="character" w:customStyle="1" w:styleId="Antrat3Diagrama">
    <w:name w:val="Antraštė 3 Diagrama"/>
    <w:basedOn w:val="Numatytasispastraiposriftas"/>
    <w:link w:val="Antrat3"/>
    <w:uiPriority w:val="9"/>
    <w:semiHidden/>
    <w:rsid w:val="001F7F6F"/>
    <w:rPr>
      <w:rFonts w:asciiTheme="majorHAnsi" w:eastAsiaTheme="majorEastAsia" w:hAnsiTheme="majorHAnsi" w:cstheme="majorBidi"/>
      <w:b/>
      <w:bCs/>
      <w:color w:val="4F81BD" w:themeColor="accent1"/>
      <w:sz w:val="24"/>
      <w:szCs w:val="20"/>
    </w:rPr>
  </w:style>
  <w:style w:type="character" w:customStyle="1" w:styleId="apple-converted-space">
    <w:name w:val="apple-converted-space"/>
    <w:basedOn w:val="Numatytasispastraiposriftas"/>
    <w:uiPriority w:val="99"/>
    <w:rsid w:val="001F7F6F"/>
  </w:style>
  <w:style w:type="paragraph" w:customStyle="1" w:styleId="Default">
    <w:name w:val="Default"/>
    <w:rsid w:val="0070625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link w:val="BetarpDiagrama"/>
    <w:uiPriority w:val="1"/>
    <w:qFormat/>
    <w:rsid w:val="00E40E9A"/>
    <w:pPr>
      <w:spacing w:after="0" w:line="240" w:lineRule="auto"/>
    </w:pPr>
    <w:rPr>
      <w:rFonts w:ascii="Times New Roman" w:eastAsia="Times New Roman" w:hAnsi="Times New Roman" w:cs="Times New Roman"/>
      <w:sz w:val="24"/>
      <w:szCs w:val="20"/>
    </w:rPr>
  </w:style>
  <w:style w:type="table" w:styleId="viesussraas1parykinimas">
    <w:name w:val="Light List Accent 1"/>
    <w:basedOn w:val="prastojilentel"/>
    <w:uiPriority w:val="61"/>
    <w:rsid w:val="00007F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ntelsturinys">
    <w:name w:val="Lentelės turinys"/>
    <w:basedOn w:val="prastasis"/>
    <w:rsid w:val="00C20A70"/>
    <w:pPr>
      <w:widowControl w:val="0"/>
      <w:suppressLineNumbers/>
      <w:suppressAutoHyphens/>
    </w:pPr>
    <w:rPr>
      <w:rFonts w:eastAsia="SimSun" w:cs="Lucida Sans"/>
      <w:kern w:val="1"/>
      <w:szCs w:val="24"/>
      <w:lang w:eastAsia="hi-IN" w:bidi="hi-IN"/>
    </w:rPr>
  </w:style>
  <w:style w:type="table" w:customStyle="1" w:styleId="Lentelstinklelis2">
    <w:name w:val="Lentelės tinklelis2"/>
    <w:basedOn w:val="prastojilentel"/>
    <w:next w:val="Lentelstinklelis"/>
    <w:uiPriority w:val="59"/>
    <w:rsid w:val="00502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4A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D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807D9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tinklelis1parykinimas">
    <w:name w:val="Light Grid Accent 1"/>
    <w:basedOn w:val="prastojilentel"/>
    <w:uiPriority w:val="62"/>
    <w:rsid w:val="00807D9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entelstinklelis4">
    <w:name w:val="Lentelės tinklelis4"/>
    <w:basedOn w:val="prastojilentel"/>
    <w:next w:val="Lentelstinklelis"/>
    <w:uiPriority w:val="59"/>
    <w:rsid w:val="00BA0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39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AF0AF2"/>
    <w:rPr>
      <w:rFonts w:ascii="Times New Roman" w:eastAsia="Times New Roman" w:hAnsi="Times New Roman" w:cs="Times New Roman"/>
      <w:sz w:val="24"/>
      <w:szCs w:val="20"/>
    </w:rPr>
  </w:style>
  <w:style w:type="table" w:customStyle="1" w:styleId="Lentelstinklelis6">
    <w:name w:val="Lentelės tinklelis6"/>
    <w:basedOn w:val="prastojilentel"/>
    <w:next w:val="Lentelstinklelis"/>
    <w:uiPriority w:val="59"/>
    <w:rsid w:val="002A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DF3F93"/>
    <w:rPr>
      <w:color w:val="000000"/>
      <w:sz w:val="18"/>
    </w:rPr>
  </w:style>
  <w:style w:type="character" w:customStyle="1" w:styleId="CharAttribute5">
    <w:name w:val="CharAttribute5"/>
    <w:rsid w:val="00DF3F93"/>
    <w:rPr>
      <w:rFonts w:ascii="Times New Roman" w:eastAsia="Batang" w:hAnsi="Batang"/>
      <w:sz w:val="24"/>
    </w:rPr>
  </w:style>
  <w:style w:type="paragraph" w:styleId="Dokumentoinaostekstas">
    <w:name w:val="endnote text"/>
    <w:basedOn w:val="prastasis"/>
    <w:link w:val="DokumentoinaostekstasDiagrama"/>
    <w:uiPriority w:val="99"/>
    <w:semiHidden/>
    <w:unhideWhenUsed/>
    <w:rsid w:val="002E6DDB"/>
    <w:rPr>
      <w:sz w:val="20"/>
    </w:rPr>
  </w:style>
  <w:style w:type="character" w:customStyle="1" w:styleId="DokumentoinaostekstasDiagrama">
    <w:name w:val="Dokumento išnašos tekstas Diagrama"/>
    <w:basedOn w:val="Numatytasispastraiposriftas"/>
    <w:link w:val="Dokumentoinaostekstas"/>
    <w:uiPriority w:val="99"/>
    <w:semiHidden/>
    <w:rsid w:val="002E6DDB"/>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2E6DDB"/>
    <w:rPr>
      <w:vertAlign w:val="superscript"/>
    </w:rPr>
  </w:style>
  <w:style w:type="character" w:styleId="Perirtashipersaitas">
    <w:name w:val="FollowedHyperlink"/>
    <w:basedOn w:val="Numatytasispastraiposriftas"/>
    <w:uiPriority w:val="99"/>
    <w:semiHidden/>
    <w:unhideWhenUsed/>
    <w:rsid w:val="00A82E6C"/>
    <w:rPr>
      <w:color w:val="800080" w:themeColor="followedHyperlink"/>
      <w:u w:val="single"/>
    </w:rPr>
  </w:style>
  <w:style w:type="table" w:customStyle="1" w:styleId="Lentelstinklelis7">
    <w:name w:val="Lentelės tinklelis7"/>
    <w:basedOn w:val="prastojilentel"/>
    <w:next w:val="Lentelstinklelis"/>
    <w:uiPriority w:val="59"/>
    <w:rsid w:val="00C04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08C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47D49"/>
    <w:pPr>
      <w:keepNext/>
      <w:keepLines/>
      <w:numPr>
        <w:numId w:val="1"/>
      </w:numPr>
      <w:spacing w:before="360" w:after="240"/>
      <w:jc w:val="center"/>
      <w:outlineLvl w:val="0"/>
    </w:pPr>
    <w:rPr>
      <w:rFonts w:asciiTheme="minorHAnsi" w:eastAsiaTheme="majorEastAsia" w:hAnsiTheme="minorHAnsi" w:cstheme="majorBidi"/>
      <w:b/>
      <w:bCs/>
      <w:color w:val="365F91" w:themeColor="accent1" w:themeShade="BF"/>
      <w:sz w:val="28"/>
      <w:szCs w:val="24"/>
      <w:lang w:eastAsia="lt-LT"/>
    </w:rPr>
  </w:style>
  <w:style w:type="paragraph" w:styleId="Antrat2">
    <w:name w:val="heading 2"/>
    <w:basedOn w:val="prastasis"/>
    <w:next w:val="prastasis"/>
    <w:link w:val="Antrat2Diagrama"/>
    <w:uiPriority w:val="9"/>
    <w:unhideWhenUsed/>
    <w:qFormat/>
    <w:rsid w:val="00B86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F7F6F"/>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DiagramaCharChar1">
    <w:name w:val="Char Diagrama Char Char1"/>
    <w:basedOn w:val="prastasis"/>
    <w:rsid w:val="002D6066"/>
    <w:pPr>
      <w:spacing w:after="160" w:line="240" w:lineRule="exact"/>
    </w:pPr>
    <w:rPr>
      <w:rFonts w:ascii="Tahoma" w:hAnsi="Tahoma"/>
      <w:sz w:val="20"/>
      <w:lang w:val="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2D6066"/>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uiPriority w:val="99"/>
    <w:semiHidden/>
    <w:unhideWhenUsed/>
    <w:rsid w:val="002D60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6066"/>
    <w:rPr>
      <w:rFonts w:ascii="Tahoma" w:eastAsia="Times New Roman" w:hAnsi="Tahoma" w:cs="Tahoma"/>
      <w:sz w:val="16"/>
      <w:szCs w:val="16"/>
    </w:rPr>
  </w:style>
  <w:style w:type="paragraph" w:customStyle="1" w:styleId="CharDiagramaCharChar">
    <w:name w:val="Char Diagrama Char Char"/>
    <w:basedOn w:val="prastasis"/>
    <w:rsid w:val="002E5B8A"/>
    <w:pPr>
      <w:spacing w:after="160" w:line="240" w:lineRule="exact"/>
    </w:pPr>
    <w:rPr>
      <w:rFonts w:ascii="Tahoma" w:hAnsi="Tahoma"/>
      <w:sz w:val="20"/>
      <w:lang w:val="en-US"/>
    </w:rPr>
  </w:style>
  <w:style w:type="character" w:styleId="Komentaronuoroda">
    <w:name w:val="annotation reference"/>
    <w:basedOn w:val="Numatytasispastraiposriftas"/>
    <w:uiPriority w:val="99"/>
    <w:semiHidden/>
    <w:unhideWhenUsed/>
    <w:rsid w:val="00C2465F"/>
    <w:rPr>
      <w:sz w:val="16"/>
      <w:szCs w:val="16"/>
    </w:rPr>
  </w:style>
  <w:style w:type="paragraph" w:styleId="Komentarotekstas">
    <w:name w:val="annotation text"/>
    <w:basedOn w:val="prastasis"/>
    <w:link w:val="KomentarotekstasDiagrama"/>
    <w:uiPriority w:val="99"/>
    <w:unhideWhenUsed/>
    <w:rsid w:val="00C2465F"/>
    <w:rPr>
      <w:sz w:val="20"/>
    </w:rPr>
  </w:style>
  <w:style w:type="character" w:customStyle="1" w:styleId="KomentarotekstasDiagrama">
    <w:name w:val="Komentaro tekstas Diagrama"/>
    <w:basedOn w:val="Numatytasispastraiposriftas"/>
    <w:link w:val="Komentarotekstas"/>
    <w:uiPriority w:val="99"/>
    <w:rsid w:val="00C246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465F"/>
    <w:rPr>
      <w:b/>
      <w:bCs/>
    </w:rPr>
  </w:style>
  <w:style w:type="character" w:customStyle="1" w:styleId="KomentarotemaDiagrama">
    <w:name w:val="Komentaro tema Diagrama"/>
    <w:basedOn w:val="KomentarotekstasDiagrama"/>
    <w:link w:val="Komentarotema"/>
    <w:uiPriority w:val="99"/>
    <w:semiHidden/>
    <w:rsid w:val="00C2465F"/>
    <w:rPr>
      <w:rFonts w:ascii="Times New Roman" w:eastAsia="Times New Roman" w:hAnsi="Times New Roman" w:cs="Times New Roman"/>
      <w:b/>
      <w:bCs/>
      <w:sz w:val="20"/>
      <w:szCs w:val="20"/>
    </w:rPr>
  </w:style>
  <w:style w:type="paragraph" w:styleId="prastasistinklapis">
    <w:name w:val="Normal (Web)"/>
    <w:basedOn w:val="prastasis"/>
    <w:uiPriority w:val="99"/>
    <w:unhideWhenUsed/>
    <w:rsid w:val="00AE3D8C"/>
    <w:pPr>
      <w:spacing w:before="100" w:beforeAutospacing="1" w:after="100" w:afterAutospacing="1"/>
    </w:pPr>
    <w:rPr>
      <w:rFonts w:eastAsiaTheme="minorEastAsia"/>
      <w:szCs w:val="24"/>
      <w:lang w:eastAsia="lt-LT"/>
    </w:rPr>
  </w:style>
  <w:style w:type="paragraph" w:styleId="Antrats">
    <w:name w:val="header"/>
    <w:basedOn w:val="prastasis"/>
    <w:link w:val="AntratsDiagrama"/>
    <w:uiPriority w:val="99"/>
    <w:unhideWhenUsed/>
    <w:rsid w:val="00885DE2"/>
    <w:pPr>
      <w:tabs>
        <w:tab w:val="center" w:pos="4819"/>
        <w:tab w:val="right" w:pos="9638"/>
      </w:tabs>
    </w:pPr>
  </w:style>
  <w:style w:type="character" w:customStyle="1" w:styleId="AntratsDiagrama">
    <w:name w:val="Antraštės Diagrama"/>
    <w:basedOn w:val="Numatytasispastraiposriftas"/>
    <w:link w:val="Antrats"/>
    <w:uiPriority w:val="99"/>
    <w:rsid w:val="00885DE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85DE2"/>
    <w:pPr>
      <w:tabs>
        <w:tab w:val="center" w:pos="4819"/>
        <w:tab w:val="right" w:pos="9638"/>
      </w:tabs>
    </w:pPr>
  </w:style>
  <w:style w:type="character" w:customStyle="1" w:styleId="PoratDiagrama">
    <w:name w:val="Poraštė Diagrama"/>
    <w:basedOn w:val="Numatytasispastraiposriftas"/>
    <w:link w:val="Porat"/>
    <w:uiPriority w:val="99"/>
    <w:rsid w:val="00885DE2"/>
    <w:rPr>
      <w:rFonts w:ascii="Times New Roman" w:eastAsia="Times New Roman" w:hAnsi="Times New Roman" w:cs="Times New Roman"/>
      <w:sz w:val="24"/>
      <w:szCs w:val="20"/>
    </w:rPr>
  </w:style>
  <w:style w:type="table" w:styleId="Lentelstinklelis">
    <w:name w:val="Table Grid"/>
    <w:basedOn w:val="prastojilentel"/>
    <w:uiPriority w:val="59"/>
    <w:rsid w:val="009E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F2736"/>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433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qFormat/>
    <w:rsid w:val="00F76555"/>
    <w:pPr>
      <w:spacing w:after="240"/>
      <w:jc w:val="both"/>
    </w:pPr>
    <w:rPr>
      <w:rFonts w:eastAsia="SimSun"/>
      <w:szCs w:val="24"/>
      <w:lang w:eastAsia="lt-LT"/>
    </w:rPr>
  </w:style>
  <w:style w:type="character" w:customStyle="1" w:styleId="PagrindinistekstasDiagrama">
    <w:name w:val="Pagrindinis tekstas Diagrama"/>
    <w:basedOn w:val="Numatytasispastraiposriftas"/>
    <w:link w:val="Pagrindinistekstas"/>
    <w:rsid w:val="00F76555"/>
    <w:rPr>
      <w:rFonts w:ascii="Times New Roman" w:eastAsia="SimSun" w:hAnsi="Times New Roman" w:cs="Times New Roman"/>
      <w:sz w:val="24"/>
      <w:szCs w:val="24"/>
      <w:lang w:eastAsia="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o"/>
    <w:basedOn w:val="prastasis"/>
    <w:link w:val="PuslapioinaostekstasDiagrama"/>
    <w:uiPriority w:val="99"/>
    <w:unhideWhenUsed/>
    <w:qFormat/>
    <w:rsid w:val="004D3793"/>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D3793"/>
    <w:rPr>
      <w:rFonts w:ascii="Times New Roman" w:eastAsia="Times New Roman" w:hAnsi="Times New Roman" w:cs="Times New Roman"/>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basedOn w:val="Numatytasispastraiposriftas"/>
    <w:link w:val="SUPERSChar"/>
    <w:uiPriority w:val="99"/>
    <w:unhideWhenUsed/>
    <w:qFormat/>
    <w:rsid w:val="004D3793"/>
    <w:rPr>
      <w:vertAlign w:val="superscript"/>
    </w:rPr>
  </w:style>
  <w:style w:type="paragraph" w:styleId="prastojitrauka">
    <w:name w:val="Normal Indent"/>
    <w:basedOn w:val="prastasis"/>
    <w:uiPriority w:val="99"/>
    <w:semiHidden/>
    <w:unhideWhenUsed/>
    <w:rsid w:val="008C4570"/>
    <w:pPr>
      <w:ind w:left="1296"/>
    </w:pPr>
  </w:style>
  <w:style w:type="character" w:customStyle="1" w:styleId="Antrat1Diagrama">
    <w:name w:val="Antraštė 1 Diagrama"/>
    <w:basedOn w:val="Numatytasispastraiposriftas"/>
    <w:link w:val="Antrat1"/>
    <w:uiPriority w:val="9"/>
    <w:rsid w:val="00547D49"/>
    <w:rPr>
      <w:rFonts w:eastAsiaTheme="majorEastAsia" w:cstheme="majorBidi"/>
      <w:b/>
      <w:bCs/>
      <w:color w:val="365F91" w:themeColor="accent1" w:themeShade="BF"/>
      <w:sz w:val="28"/>
      <w:szCs w:val="24"/>
      <w:lang w:eastAsia="lt-LT"/>
    </w:rPr>
  </w:style>
  <w:style w:type="character" w:customStyle="1" w:styleId="Antrat2Diagrama">
    <w:name w:val="Antraštė 2 Diagrama"/>
    <w:basedOn w:val="Numatytasispastraiposriftas"/>
    <w:link w:val="Antrat2"/>
    <w:uiPriority w:val="9"/>
    <w:rsid w:val="00B86403"/>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unhideWhenUsed/>
    <w:qFormat/>
    <w:rsid w:val="00B86403"/>
    <w:pPr>
      <w:spacing w:line="276" w:lineRule="auto"/>
      <w:outlineLvl w:val="9"/>
    </w:pPr>
  </w:style>
  <w:style w:type="paragraph" w:styleId="Turinys1">
    <w:name w:val="toc 1"/>
    <w:basedOn w:val="prastasis"/>
    <w:next w:val="prastasis"/>
    <w:autoRedefine/>
    <w:uiPriority w:val="39"/>
    <w:unhideWhenUsed/>
    <w:rsid w:val="00B86403"/>
    <w:pPr>
      <w:spacing w:after="100"/>
    </w:pPr>
  </w:style>
  <w:style w:type="paragraph" w:styleId="Turinys2">
    <w:name w:val="toc 2"/>
    <w:basedOn w:val="prastasis"/>
    <w:next w:val="prastasis"/>
    <w:autoRedefine/>
    <w:uiPriority w:val="39"/>
    <w:unhideWhenUsed/>
    <w:rsid w:val="00B86403"/>
    <w:pPr>
      <w:spacing w:after="100"/>
      <w:ind w:left="240"/>
    </w:pPr>
  </w:style>
  <w:style w:type="character" w:styleId="Hipersaitas">
    <w:name w:val="Hyperlink"/>
    <w:basedOn w:val="Numatytasispastraiposriftas"/>
    <w:uiPriority w:val="99"/>
    <w:unhideWhenUsed/>
    <w:rsid w:val="00B86403"/>
    <w:rPr>
      <w:color w:val="0000FF" w:themeColor="hyperlink"/>
      <w:u w:val="single"/>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B86403"/>
    <w:pPr>
      <w:spacing w:after="160" w:line="240" w:lineRule="exact"/>
    </w:pPr>
    <w:rPr>
      <w:rFonts w:ascii="Tahoma" w:hAnsi="Tahoma"/>
      <w:sz w:val="20"/>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qFormat/>
    <w:locked/>
    <w:rsid w:val="00433A9A"/>
    <w:rPr>
      <w:rFonts w:ascii="Calibri" w:eastAsia="Calibri" w:hAnsi="Calibri" w:cs="Times New Roman"/>
    </w:rPr>
  </w:style>
  <w:style w:type="paragraph" w:styleId="Antrat">
    <w:name w:val="caption"/>
    <w:aliases w:val="• Caption,Table caption,paveikslas,Paveikslo pavadinimas,TabelOverskrift"/>
    <w:basedOn w:val="prastasis"/>
    <w:next w:val="prastasis"/>
    <w:link w:val="AntratDiagrama"/>
    <w:uiPriority w:val="99"/>
    <w:unhideWhenUsed/>
    <w:qFormat/>
    <w:rsid w:val="00433A9A"/>
    <w:pPr>
      <w:spacing w:after="200"/>
    </w:pPr>
    <w:rPr>
      <w:rFonts w:ascii="Calibri" w:eastAsia="Calibri" w:hAnsi="Calibri"/>
      <w:b/>
      <w:bCs/>
      <w:color w:val="4F81BD"/>
      <w:sz w:val="18"/>
      <w:szCs w:val="18"/>
    </w:rPr>
  </w:style>
  <w:style w:type="paragraph" w:customStyle="1" w:styleId="antrat2ZZ">
    <w:name w:val="antraštė 2_ZZ"/>
    <w:basedOn w:val="prastasis"/>
    <w:link w:val="antrat2ZZDiagrama"/>
    <w:qFormat/>
    <w:rsid w:val="00547D49"/>
    <w:pPr>
      <w:keepNext/>
      <w:keepLines/>
      <w:spacing w:before="360" w:after="240"/>
      <w:jc w:val="center"/>
      <w:outlineLvl w:val="0"/>
    </w:pPr>
    <w:rPr>
      <w:rFonts w:asciiTheme="minorHAnsi" w:eastAsiaTheme="majorEastAsia" w:hAnsiTheme="minorHAnsi" w:cstheme="majorBidi"/>
      <w:b/>
      <w:bCs/>
      <w:color w:val="365F91" w:themeColor="accent1" w:themeShade="BF"/>
      <w:sz w:val="26"/>
      <w:szCs w:val="28"/>
      <w:lang w:eastAsia="lt-LT"/>
    </w:rPr>
  </w:style>
  <w:style w:type="paragraph" w:customStyle="1" w:styleId="antrat3zz">
    <w:name w:val="antraštė 3_zz"/>
    <w:basedOn w:val="Antrat2"/>
    <w:link w:val="antrat3zzDiagrama"/>
    <w:qFormat/>
    <w:rsid w:val="00547D49"/>
    <w:pPr>
      <w:spacing w:before="240" w:after="120"/>
    </w:pPr>
    <w:rPr>
      <w:rFonts w:asciiTheme="minorHAnsi" w:hAnsiTheme="minorHAnsi"/>
      <w:color w:val="595959" w:themeColor="text1" w:themeTint="A6"/>
      <w:sz w:val="24"/>
      <w:szCs w:val="24"/>
      <w:lang w:eastAsia="lt-LT"/>
    </w:rPr>
  </w:style>
  <w:style w:type="character" w:customStyle="1" w:styleId="antrat2ZZDiagrama">
    <w:name w:val="antraštė 2_ZZ Diagrama"/>
    <w:basedOn w:val="Numatytasispastraiposriftas"/>
    <w:link w:val="antrat2ZZ"/>
    <w:rsid w:val="00547D49"/>
    <w:rPr>
      <w:rFonts w:eastAsiaTheme="majorEastAsia" w:cstheme="majorBidi"/>
      <w:b/>
      <w:bCs/>
      <w:color w:val="365F91" w:themeColor="accent1" w:themeShade="BF"/>
      <w:sz w:val="26"/>
      <w:szCs w:val="28"/>
      <w:lang w:eastAsia="lt-LT"/>
    </w:rPr>
  </w:style>
  <w:style w:type="character" w:customStyle="1" w:styleId="antrat3zzDiagrama">
    <w:name w:val="antraštė 3_zz Diagrama"/>
    <w:basedOn w:val="Antrat2Diagrama"/>
    <w:link w:val="antrat3zz"/>
    <w:rsid w:val="00547D49"/>
    <w:rPr>
      <w:rFonts w:asciiTheme="majorHAnsi" w:eastAsiaTheme="majorEastAsia" w:hAnsiTheme="majorHAnsi" w:cstheme="majorBidi"/>
      <w:b/>
      <w:bCs/>
      <w:color w:val="595959" w:themeColor="text1" w:themeTint="A6"/>
      <w:sz w:val="24"/>
      <w:szCs w:val="24"/>
      <w:lang w:eastAsia="lt-LT"/>
    </w:rPr>
  </w:style>
  <w:style w:type="paragraph" w:styleId="Pavadinimas">
    <w:name w:val="Title"/>
    <w:basedOn w:val="prastasis"/>
    <w:next w:val="prastasis"/>
    <w:link w:val="PavadinimasDiagrama"/>
    <w:uiPriority w:val="10"/>
    <w:qFormat/>
    <w:rsid w:val="00FC61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PavadinimasDiagrama">
    <w:name w:val="Pavadinimas Diagrama"/>
    <w:basedOn w:val="Numatytasispastraiposriftas"/>
    <w:link w:val="Pavadinimas"/>
    <w:uiPriority w:val="10"/>
    <w:rsid w:val="00FC6139"/>
    <w:rPr>
      <w:rFonts w:asciiTheme="majorHAnsi" w:eastAsiaTheme="majorEastAsia" w:hAnsiTheme="majorHAnsi" w:cstheme="majorBidi"/>
      <w:color w:val="17365D" w:themeColor="text2" w:themeShade="BF"/>
      <w:spacing w:val="5"/>
      <w:kern w:val="28"/>
      <w:sz w:val="28"/>
      <w:szCs w:val="52"/>
    </w:rPr>
  </w:style>
  <w:style w:type="paragraph" w:customStyle="1" w:styleId="088095CB421E4E02BDC9682AFEE1723A">
    <w:name w:val="088095CB421E4E02BDC9682AFEE1723A"/>
    <w:rsid w:val="00866DFB"/>
    <w:rPr>
      <w:rFonts w:eastAsiaTheme="minorEastAsia"/>
      <w:lang w:eastAsia="lt-LT"/>
    </w:rPr>
  </w:style>
  <w:style w:type="paragraph" w:styleId="Pagrindiniotekstotrauka">
    <w:name w:val="Body Text Indent"/>
    <w:basedOn w:val="prastasis"/>
    <w:link w:val="PagrindiniotekstotraukaDiagrama"/>
    <w:uiPriority w:val="99"/>
    <w:unhideWhenUsed/>
    <w:rsid w:val="004F2F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F2F37"/>
    <w:rPr>
      <w:rFonts w:ascii="Times New Roman" w:eastAsia="Times New Roman" w:hAnsi="Times New Roman" w:cs="Times New Roman"/>
      <w:sz w:val="24"/>
      <w:szCs w:val="20"/>
    </w:rPr>
  </w:style>
  <w:style w:type="paragraph" w:customStyle="1" w:styleId="SUPERSChar">
    <w:name w:val="SUPERS Char"/>
    <w:aliases w:val="EN Footnote Reference Char"/>
    <w:basedOn w:val="prastasis"/>
    <w:link w:val="Puslapioinaosnuoroda"/>
    <w:uiPriority w:val="99"/>
    <w:rsid w:val="004F2F37"/>
    <w:pPr>
      <w:spacing w:after="160" w:line="240" w:lineRule="exact"/>
    </w:pPr>
    <w:rPr>
      <w:rFonts w:asciiTheme="minorHAnsi" w:eastAsiaTheme="minorHAnsi" w:hAnsiTheme="minorHAnsi" w:cstheme="minorBidi"/>
      <w:sz w:val="22"/>
      <w:szCs w:val="22"/>
      <w:vertAlign w:val="superscript"/>
    </w:rPr>
  </w:style>
  <w:style w:type="character" w:customStyle="1" w:styleId="AntratDiagrama">
    <w:name w:val="Antraštė Diagrama"/>
    <w:aliases w:val="• Caption Diagrama,Table caption Diagrama,paveikslas Diagrama,Paveikslo pavadinimas Diagrama,TabelOverskrift Diagrama"/>
    <w:link w:val="Antrat"/>
    <w:uiPriority w:val="99"/>
    <w:locked/>
    <w:rsid w:val="004F2F37"/>
    <w:rPr>
      <w:rFonts w:ascii="Calibri" w:eastAsia="Calibri" w:hAnsi="Calibri" w:cs="Times New Roman"/>
      <w:b/>
      <w:bCs/>
      <w:color w:val="4F81BD"/>
      <w:sz w:val="18"/>
      <w:szCs w:val="18"/>
    </w:rPr>
  </w:style>
  <w:style w:type="paragraph" w:customStyle="1" w:styleId="Pagrindinispaprastastekstas">
    <w:name w:val="• Pagrindinis paprastas tekstas"/>
    <w:basedOn w:val="prastasis"/>
    <w:link w:val="PagrindinispaprastastekstasChar"/>
    <w:uiPriority w:val="99"/>
    <w:rsid w:val="004F2F37"/>
    <w:pPr>
      <w:jc w:val="both"/>
    </w:pPr>
    <w:rPr>
      <w:rFonts w:ascii="Cambria" w:eastAsia="Calibri" w:hAnsi="Cambria" w:cs="Cambria"/>
      <w:szCs w:val="24"/>
      <w:lang w:eastAsia="lt-LT"/>
    </w:rPr>
  </w:style>
  <w:style w:type="character" w:customStyle="1" w:styleId="PagrindinispaprastastekstasChar">
    <w:name w:val="• Pagrindinis paprastas tekstas Char"/>
    <w:link w:val="Pagrindinispaprastastekstas"/>
    <w:uiPriority w:val="99"/>
    <w:locked/>
    <w:rsid w:val="004F2F37"/>
    <w:rPr>
      <w:rFonts w:ascii="Cambria" w:eastAsia="Calibri" w:hAnsi="Cambria" w:cs="Cambria"/>
      <w:sz w:val="24"/>
      <w:szCs w:val="24"/>
      <w:lang w:eastAsia="lt-LT"/>
    </w:rPr>
  </w:style>
  <w:style w:type="paragraph" w:customStyle="1" w:styleId="tekstas">
    <w:name w:val="tekstas"/>
    <w:basedOn w:val="prastasis"/>
    <w:link w:val="tekstasDiagrama"/>
    <w:qFormat/>
    <w:rsid w:val="004F2F37"/>
    <w:pPr>
      <w:ind w:firstLine="426"/>
      <w:jc w:val="both"/>
    </w:pPr>
    <w:rPr>
      <w:rFonts w:asciiTheme="minorHAnsi" w:hAnsiTheme="minorHAnsi"/>
      <w:color w:val="666666"/>
      <w:szCs w:val="24"/>
    </w:rPr>
  </w:style>
  <w:style w:type="character" w:customStyle="1" w:styleId="tekstasDiagrama">
    <w:name w:val="tekstas Diagrama"/>
    <w:basedOn w:val="Numatytasispastraiposriftas"/>
    <w:link w:val="tekstas"/>
    <w:rsid w:val="004F2F37"/>
    <w:rPr>
      <w:rFonts w:eastAsia="Times New Roman" w:cs="Times New Roman"/>
      <w:color w:val="666666"/>
      <w:sz w:val="24"/>
      <w:szCs w:val="24"/>
    </w:rPr>
  </w:style>
  <w:style w:type="paragraph" w:customStyle="1" w:styleId="Textboxtekstas">
    <w:name w:val="• Text box tekstas"/>
    <w:basedOn w:val="prastasis"/>
    <w:uiPriority w:val="99"/>
    <w:rsid w:val="001F7F6F"/>
    <w:pPr>
      <w:jc w:val="both"/>
    </w:pPr>
    <w:rPr>
      <w:rFonts w:ascii="Cambria" w:hAnsi="Cambria" w:cs="Cambria"/>
      <w:color w:val="4181B6"/>
      <w:kern w:val="32"/>
      <w:sz w:val="20"/>
      <w:lang w:eastAsia="lt-LT"/>
    </w:rPr>
  </w:style>
  <w:style w:type="character" w:customStyle="1" w:styleId="Antrat3Diagrama">
    <w:name w:val="Antraštė 3 Diagrama"/>
    <w:basedOn w:val="Numatytasispastraiposriftas"/>
    <w:link w:val="Antrat3"/>
    <w:uiPriority w:val="9"/>
    <w:semiHidden/>
    <w:rsid w:val="001F7F6F"/>
    <w:rPr>
      <w:rFonts w:asciiTheme="majorHAnsi" w:eastAsiaTheme="majorEastAsia" w:hAnsiTheme="majorHAnsi" w:cstheme="majorBidi"/>
      <w:b/>
      <w:bCs/>
      <w:color w:val="4F81BD" w:themeColor="accent1"/>
      <w:sz w:val="24"/>
      <w:szCs w:val="20"/>
    </w:rPr>
  </w:style>
  <w:style w:type="character" w:customStyle="1" w:styleId="apple-converted-space">
    <w:name w:val="apple-converted-space"/>
    <w:basedOn w:val="Numatytasispastraiposriftas"/>
    <w:uiPriority w:val="99"/>
    <w:rsid w:val="001F7F6F"/>
  </w:style>
  <w:style w:type="paragraph" w:customStyle="1" w:styleId="Default">
    <w:name w:val="Default"/>
    <w:rsid w:val="0070625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link w:val="BetarpDiagrama"/>
    <w:uiPriority w:val="1"/>
    <w:qFormat/>
    <w:rsid w:val="00E40E9A"/>
    <w:pPr>
      <w:spacing w:after="0" w:line="240" w:lineRule="auto"/>
    </w:pPr>
    <w:rPr>
      <w:rFonts w:ascii="Times New Roman" w:eastAsia="Times New Roman" w:hAnsi="Times New Roman" w:cs="Times New Roman"/>
      <w:sz w:val="24"/>
      <w:szCs w:val="20"/>
    </w:rPr>
  </w:style>
  <w:style w:type="table" w:styleId="viesussraas1parykinimas">
    <w:name w:val="Light List Accent 1"/>
    <w:basedOn w:val="prastojilentel"/>
    <w:uiPriority w:val="61"/>
    <w:rsid w:val="00007F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ntelsturinys">
    <w:name w:val="Lentelės turinys"/>
    <w:basedOn w:val="prastasis"/>
    <w:rsid w:val="00C20A70"/>
    <w:pPr>
      <w:widowControl w:val="0"/>
      <w:suppressLineNumbers/>
      <w:suppressAutoHyphens/>
    </w:pPr>
    <w:rPr>
      <w:rFonts w:eastAsia="SimSun" w:cs="Lucida Sans"/>
      <w:kern w:val="1"/>
      <w:szCs w:val="24"/>
      <w:lang w:eastAsia="hi-IN" w:bidi="hi-IN"/>
    </w:rPr>
  </w:style>
  <w:style w:type="table" w:customStyle="1" w:styleId="Lentelstinklelis2">
    <w:name w:val="Lentelės tinklelis2"/>
    <w:basedOn w:val="prastojilentel"/>
    <w:next w:val="Lentelstinklelis"/>
    <w:uiPriority w:val="59"/>
    <w:rsid w:val="00502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4A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D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807D9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tinklelis1parykinimas">
    <w:name w:val="Light Grid Accent 1"/>
    <w:basedOn w:val="prastojilentel"/>
    <w:uiPriority w:val="62"/>
    <w:rsid w:val="00807D9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entelstinklelis4">
    <w:name w:val="Lentelės tinklelis4"/>
    <w:basedOn w:val="prastojilentel"/>
    <w:next w:val="Lentelstinklelis"/>
    <w:uiPriority w:val="59"/>
    <w:rsid w:val="00BA0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39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AF0AF2"/>
    <w:rPr>
      <w:rFonts w:ascii="Times New Roman" w:eastAsia="Times New Roman" w:hAnsi="Times New Roman" w:cs="Times New Roman"/>
      <w:sz w:val="24"/>
      <w:szCs w:val="20"/>
    </w:rPr>
  </w:style>
  <w:style w:type="table" w:customStyle="1" w:styleId="Lentelstinklelis6">
    <w:name w:val="Lentelės tinklelis6"/>
    <w:basedOn w:val="prastojilentel"/>
    <w:next w:val="Lentelstinklelis"/>
    <w:uiPriority w:val="59"/>
    <w:rsid w:val="002A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DF3F93"/>
    <w:rPr>
      <w:color w:val="000000"/>
      <w:sz w:val="18"/>
    </w:rPr>
  </w:style>
  <w:style w:type="character" w:customStyle="1" w:styleId="CharAttribute5">
    <w:name w:val="CharAttribute5"/>
    <w:rsid w:val="00DF3F93"/>
    <w:rPr>
      <w:rFonts w:ascii="Times New Roman" w:eastAsia="Batang" w:hAnsi="Batang"/>
      <w:sz w:val="24"/>
    </w:rPr>
  </w:style>
  <w:style w:type="paragraph" w:styleId="Dokumentoinaostekstas">
    <w:name w:val="endnote text"/>
    <w:basedOn w:val="prastasis"/>
    <w:link w:val="DokumentoinaostekstasDiagrama"/>
    <w:uiPriority w:val="99"/>
    <w:semiHidden/>
    <w:unhideWhenUsed/>
    <w:rsid w:val="002E6DDB"/>
    <w:rPr>
      <w:sz w:val="20"/>
    </w:rPr>
  </w:style>
  <w:style w:type="character" w:customStyle="1" w:styleId="DokumentoinaostekstasDiagrama">
    <w:name w:val="Dokumento išnašos tekstas Diagrama"/>
    <w:basedOn w:val="Numatytasispastraiposriftas"/>
    <w:link w:val="Dokumentoinaostekstas"/>
    <w:uiPriority w:val="99"/>
    <w:semiHidden/>
    <w:rsid w:val="002E6DDB"/>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2E6DDB"/>
    <w:rPr>
      <w:vertAlign w:val="superscript"/>
    </w:rPr>
  </w:style>
  <w:style w:type="character" w:styleId="Perirtashipersaitas">
    <w:name w:val="FollowedHyperlink"/>
    <w:basedOn w:val="Numatytasispastraiposriftas"/>
    <w:uiPriority w:val="99"/>
    <w:semiHidden/>
    <w:unhideWhenUsed/>
    <w:rsid w:val="00A82E6C"/>
    <w:rPr>
      <w:color w:val="800080" w:themeColor="followedHyperlink"/>
      <w:u w:val="single"/>
    </w:rPr>
  </w:style>
  <w:style w:type="table" w:customStyle="1" w:styleId="Lentelstinklelis7">
    <w:name w:val="Lentelės tinklelis7"/>
    <w:basedOn w:val="prastojilentel"/>
    <w:next w:val="Lentelstinklelis"/>
    <w:uiPriority w:val="59"/>
    <w:rsid w:val="00C04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9900">
      <w:bodyDiv w:val="1"/>
      <w:marLeft w:val="0"/>
      <w:marRight w:val="0"/>
      <w:marTop w:val="0"/>
      <w:marBottom w:val="0"/>
      <w:divBdr>
        <w:top w:val="none" w:sz="0" w:space="0" w:color="auto"/>
        <w:left w:val="none" w:sz="0" w:space="0" w:color="auto"/>
        <w:bottom w:val="none" w:sz="0" w:space="0" w:color="auto"/>
        <w:right w:val="none" w:sz="0" w:space="0" w:color="auto"/>
      </w:divBdr>
    </w:div>
    <w:div w:id="155414527">
      <w:bodyDiv w:val="1"/>
      <w:marLeft w:val="0"/>
      <w:marRight w:val="0"/>
      <w:marTop w:val="0"/>
      <w:marBottom w:val="0"/>
      <w:divBdr>
        <w:top w:val="none" w:sz="0" w:space="0" w:color="auto"/>
        <w:left w:val="none" w:sz="0" w:space="0" w:color="auto"/>
        <w:bottom w:val="none" w:sz="0" w:space="0" w:color="auto"/>
        <w:right w:val="none" w:sz="0" w:space="0" w:color="auto"/>
      </w:divBdr>
    </w:div>
    <w:div w:id="163715740">
      <w:bodyDiv w:val="1"/>
      <w:marLeft w:val="0"/>
      <w:marRight w:val="0"/>
      <w:marTop w:val="0"/>
      <w:marBottom w:val="0"/>
      <w:divBdr>
        <w:top w:val="none" w:sz="0" w:space="0" w:color="auto"/>
        <w:left w:val="none" w:sz="0" w:space="0" w:color="auto"/>
        <w:bottom w:val="none" w:sz="0" w:space="0" w:color="auto"/>
        <w:right w:val="none" w:sz="0" w:space="0" w:color="auto"/>
      </w:divBdr>
    </w:div>
    <w:div w:id="221986623">
      <w:bodyDiv w:val="1"/>
      <w:marLeft w:val="0"/>
      <w:marRight w:val="0"/>
      <w:marTop w:val="0"/>
      <w:marBottom w:val="0"/>
      <w:divBdr>
        <w:top w:val="none" w:sz="0" w:space="0" w:color="auto"/>
        <w:left w:val="none" w:sz="0" w:space="0" w:color="auto"/>
        <w:bottom w:val="none" w:sz="0" w:space="0" w:color="auto"/>
        <w:right w:val="none" w:sz="0" w:space="0" w:color="auto"/>
      </w:divBdr>
    </w:div>
    <w:div w:id="270474910">
      <w:bodyDiv w:val="1"/>
      <w:marLeft w:val="0"/>
      <w:marRight w:val="0"/>
      <w:marTop w:val="0"/>
      <w:marBottom w:val="0"/>
      <w:divBdr>
        <w:top w:val="none" w:sz="0" w:space="0" w:color="auto"/>
        <w:left w:val="none" w:sz="0" w:space="0" w:color="auto"/>
        <w:bottom w:val="none" w:sz="0" w:space="0" w:color="auto"/>
        <w:right w:val="none" w:sz="0" w:space="0" w:color="auto"/>
      </w:divBdr>
    </w:div>
    <w:div w:id="284775129">
      <w:bodyDiv w:val="1"/>
      <w:marLeft w:val="0"/>
      <w:marRight w:val="0"/>
      <w:marTop w:val="0"/>
      <w:marBottom w:val="0"/>
      <w:divBdr>
        <w:top w:val="none" w:sz="0" w:space="0" w:color="auto"/>
        <w:left w:val="none" w:sz="0" w:space="0" w:color="auto"/>
        <w:bottom w:val="none" w:sz="0" w:space="0" w:color="auto"/>
        <w:right w:val="none" w:sz="0" w:space="0" w:color="auto"/>
      </w:divBdr>
    </w:div>
    <w:div w:id="291253484">
      <w:bodyDiv w:val="1"/>
      <w:marLeft w:val="0"/>
      <w:marRight w:val="0"/>
      <w:marTop w:val="0"/>
      <w:marBottom w:val="0"/>
      <w:divBdr>
        <w:top w:val="none" w:sz="0" w:space="0" w:color="auto"/>
        <w:left w:val="none" w:sz="0" w:space="0" w:color="auto"/>
        <w:bottom w:val="none" w:sz="0" w:space="0" w:color="auto"/>
        <w:right w:val="none" w:sz="0" w:space="0" w:color="auto"/>
      </w:divBdr>
    </w:div>
    <w:div w:id="314459824">
      <w:bodyDiv w:val="1"/>
      <w:marLeft w:val="0"/>
      <w:marRight w:val="0"/>
      <w:marTop w:val="0"/>
      <w:marBottom w:val="0"/>
      <w:divBdr>
        <w:top w:val="none" w:sz="0" w:space="0" w:color="auto"/>
        <w:left w:val="none" w:sz="0" w:space="0" w:color="auto"/>
        <w:bottom w:val="none" w:sz="0" w:space="0" w:color="auto"/>
        <w:right w:val="none" w:sz="0" w:space="0" w:color="auto"/>
      </w:divBdr>
    </w:div>
    <w:div w:id="373164676">
      <w:bodyDiv w:val="1"/>
      <w:marLeft w:val="0"/>
      <w:marRight w:val="0"/>
      <w:marTop w:val="0"/>
      <w:marBottom w:val="0"/>
      <w:divBdr>
        <w:top w:val="none" w:sz="0" w:space="0" w:color="auto"/>
        <w:left w:val="none" w:sz="0" w:space="0" w:color="auto"/>
        <w:bottom w:val="none" w:sz="0" w:space="0" w:color="auto"/>
        <w:right w:val="none" w:sz="0" w:space="0" w:color="auto"/>
      </w:divBdr>
    </w:div>
    <w:div w:id="391582831">
      <w:bodyDiv w:val="1"/>
      <w:marLeft w:val="0"/>
      <w:marRight w:val="0"/>
      <w:marTop w:val="0"/>
      <w:marBottom w:val="0"/>
      <w:divBdr>
        <w:top w:val="none" w:sz="0" w:space="0" w:color="auto"/>
        <w:left w:val="none" w:sz="0" w:space="0" w:color="auto"/>
        <w:bottom w:val="none" w:sz="0" w:space="0" w:color="auto"/>
        <w:right w:val="none" w:sz="0" w:space="0" w:color="auto"/>
      </w:divBdr>
    </w:div>
    <w:div w:id="488207009">
      <w:bodyDiv w:val="1"/>
      <w:marLeft w:val="0"/>
      <w:marRight w:val="0"/>
      <w:marTop w:val="0"/>
      <w:marBottom w:val="0"/>
      <w:divBdr>
        <w:top w:val="none" w:sz="0" w:space="0" w:color="auto"/>
        <w:left w:val="none" w:sz="0" w:space="0" w:color="auto"/>
        <w:bottom w:val="none" w:sz="0" w:space="0" w:color="auto"/>
        <w:right w:val="none" w:sz="0" w:space="0" w:color="auto"/>
      </w:divBdr>
    </w:div>
    <w:div w:id="537206612">
      <w:bodyDiv w:val="1"/>
      <w:marLeft w:val="0"/>
      <w:marRight w:val="0"/>
      <w:marTop w:val="0"/>
      <w:marBottom w:val="0"/>
      <w:divBdr>
        <w:top w:val="none" w:sz="0" w:space="0" w:color="auto"/>
        <w:left w:val="none" w:sz="0" w:space="0" w:color="auto"/>
        <w:bottom w:val="none" w:sz="0" w:space="0" w:color="auto"/>
        <w:right w:val="none" w:sz="0" w:space="0" w:color="auto"/>
      </w:divBdr>
    </w:div>
    <w:div w:id="571938157">
      <w:bodyDiv w:val="1"/>
      <w:marLeft w:val="0"/>
      <w:marRight w:val="0"/>
      <w:marTop w:val="0"/>
      <w:marBottom w:val="0"/>
      <w:divBdr>
        <w:top w:val="none" w:sz="0" w:space="0" w:color="auto"/>
        <w:left w:val="none" w:sz="0" w:space="0" w:color="auto"/>
        <w:bottom w:val="none" w:sz="0" w:space="0" w:color="auto"/>
        <w:right w:val="none" w:sz="0" w:space="0" w:color="auto"/>
      </w:divBdr>
    </w:div>
    <w:div w:id="609706730">
      <w:bodyDiv w:val="1"/>
      <w:marLeft w:val="0"/>
      <w:marRight w:val="0"/>
      <w:marTop w:val="0"/>
      <w:marBottom w:val="0"/>
      <w:divBdr>
        <w:top w:val="none" w:sz="0" w:space="0" w:color="auto"/>
        <w:left w:val="none" w:sz="0" w:space="0" w:color="auto"/>
        <w:bottom w:val="none" w:sz="0" w:space="0" w:color="auto"/>
        <w:right w:val="none" w:sz="0" w:space="0" w:color="auto"/>
      </w:divBdr>
      <w:divsChild>
        <w:div w:id="396052592">
          <w:marLeft w:val="1714"/>
          <w:marRight w:val="0"/>
          <w:marTop w:val="75"/>
          <w:marBottom w:val="0"/>
          <w:divBdr>
            <w:top w:val="none" w:sz="0" w:space="0" w:color="auto"/>
            <w:left w:val="none" w:sz="0" w:space="0" w:color="auto"/>
            <w:bottom w:val="none" w:sz="0" w:space="0" w:color="auto"/>
            <w:right w:val="none" w:sz="0" w:space="0" w:color="auto"/>
          </w:divBdr>
        </w:div>
        <w:div w:id="905215583">
          <w:marLeft w:val="1714"/>
          <w:marRight w:val="0"/>
          <w:marTop w:val="75"/>
          <w:marBottom w:val="0"/>
          <w:divBdr>
            <w:top w:val="none" w:sz="0" w:space="0" w:color="auto"/>
            <w:left w:val="none" w:sz="0" w:space="0" w:color="auto"/>
            <w:bottom w:val="none" w:sz="0" w:space="0" w:color="auto"/>
            <w:right w:val="none" w:sz="0" w:space="0" w:color="auto"/>
          </w:divBdr>
        </w:div>
        <w:div w:id="967510897">
          <w:marLeft w:val="1714"/>
          <w:marRight w:val="0"/>
          <w:marTop w:val="75"/>
          <w:marBottom w:val="0"/>
          <w:divBdr>
            <w:top w:val="none" w:sz="0" w:space="0" w:color="auto"/>
            <w:left w:val="none" w:sz="0" w:space="0" w:color="auto"/>
            <w:bottom w:val="none" w:sz="0" w:space="0" w:color="auto"/>
            <w:right w:val="none" w:sz="0" w:space="0" w:color="auto"/>
          </w:divBdr>
        </w:div>
        <w:div w:id="968781886">
          <w:marLeft w:val="1714"/>
          <w:marRight w:val="0"/>
          <w:marTop w:val="75"/>
          <w:marBottom w:val="0"/>
          <w:divBdr>
            <w:top w:val="none" w:sz="0" w:space="0" w:color="auto"/>
            <w:left w:val="none" w:sz="0" w:space="0" w:color="auto"/>
            <w:bottom w:val="none" w:sz="0" w:space="0" w:color="auto"/>
            <w:right w:val="none" w:sz="0" w:space="0" w:color="auto"/>
          </w:divBdr>
        </w:div>
        <w:div w:id="1092822886">
          <w:marLeft w:val="1714"/>
          <w:marRight w:val="0"/>
          <w:marTop w:val="75"/>
          <w:marBottom w:val="0"/>
          <w:divBdr>
            <w:top w:val="none" w:sz="0" w:space="0" w:color="auto"/>
            <w:left w:val="none" w:sz="0" w:space="0" w:color="auto"/>
            <w:bottom w:val="none" w:sz="0" w:space="0" w:color="auto"/>
            <w:right w:val="none" w:sz="0" w:space="0" w:color="auto"/>
          </w:divBdr>
        </w:div>
        <w:div w:id="1123118034">
          <w:marLeft w:val="1714"/>
          <w:marRight w:val="0"/>
          <w:marTop w:val="75"/>
          <w:marBottom w:val="0"/>
          <w:divBdr>
            <w:top w:val="none" w:sz="0" w:space="0" w:color="auto"/>
            <w:left w:val="none" w:sz="0" w:space="0" w:color="auto"/>
            <w:bottom w:val="none" w:sz="0" w:space="0" w:color="auto"/>
            <w:right w:val="none" w:sz="0" w:space="0" w:color="auto"/>
          </w:divBdr>
        </w:div>
        <w:div w:id="1359312501">
          <w:marLeft w:val="1714"/>
          <w:marRight w:val="0"/>
          <w:marTop w:val="75"/>
          <w:marBottom w:val="0"/>
          <w:divBdr>
            <w:top w:val="none" w:sz="0" w:space="0" w:color="auto"/>
            <w:left w:val="none" w:sz="0" w:space="0" w:color="auto"/>
            <w:bottom w:val="none" w:sz="0" w:space="0" w:color="auto"/>
            <w:right w:val="none" w:sz="0" w:space="0" w:color="auto"/>
          </w:divBdr>
        </w:div>
        <w:div w:id="1544361329">
          <w:marLeft w:val="1714"/>
          <w:marRight w:val="0"/>
          <w:marTop w:val="75"/>
          <w:marBottom w:val="0"/>
          <w:divBdr>
            <w:top w:val="none" w:sz="0" w:space="0" w:color="auto"/>
            <w:left w:val="none" w:sz="0" w:space="0" w:color="auto"/>
            <w:bottom w:val="none" w:sz="0" w:space="0" w:color="auto"/>
            <w:right w:val="none" w:sz="0" w:space="0" w:color="auto"/>
          </w:divBdr>
        </w:div>
        <w:div w:id="1598906246">
          <w:marLeft w:val="1714"/>
          <w:marRight w:val="0"/>
          <w:marTop w:val="75"/>
          <w:marBottom w:val="0"/>
          <w:divBdr>
            <w:top w:val="none" w:sz="0" w:space="0" w:color="auto"/>
            <w:left w:val="none" w:sz="0" w:space="0" w:color="auto"/>
            <w:bottom w:val="none" w:sz="0" w:space="0" w:color="auto"/>
            <w:right w:val="none" w:sz="0" w:space="0" w:color="auto"/>
          </w:divBdr>
        </w:div>
        <w:div w:id="1650475242">
          <w:marLeft w:val="907"/>
          <w:marRight w:val="0"/>
          <w:marTop w:val="0"/>
          <w:marBottom w:val="0"/>
          <w:divBdr>
            <w:top w:val="none" w:sz="0" w:space="0" w:color="auto"/>
            <w:left w:val="none" w:sz="0" w:space="0" w:color="auto"/>
            <w:bottom w:val="none" w:sz="0" w:space="0" w:color="auto"/>
            <w:right w:val="none" w:sz="0" w:space="0" w:color="auto"/>
          </w:divBdr>
        </w:div>
      </w:divsChild>
    </w:div>
    <w:div w:id="630941715">
      <w:bodyDiv w:val="1"/>
      <w:marLeft w:val="0"/>
      <w:marRight w:val="0"/>
      <w:marTop w:val="0"/>
      <w:marBottom w:val="0"/>
      <w:divBdr>
        <w:top w:val="none" w:sz="0" w:space="0" w:color="auto"/>
        <w:left w:val="none" w:sz="0" w:space="0" w:color="auto"/>
        <w:bottom w:val="none" w:sz="0" w:space="0" w:color="auto"/>
        <w:right w:val="none" w:sz="0" w:space="0" w:color="auto"/>
      </w:divBdr>
    </w:div>
    <w:div w:id="646474119">
      <w:bodyDiv w:val="1"/>
      <w:marLeft w:val="0"/>
      <w:marRight w:val="0"/>
      <w:marTop w:val="0"/>
      <w:marBottom w:val="0"/>
      <w:divBdr>
        <w:top w:val="none" w:sz="0" w:space="0" w:color="auto"/>
        <w:left w:val="none" w:sz="0" w:space="0" w:color="auto"/>
        <w:bottom w:val="none" w:sz="0" w:space="0" w:color="auto"/>
        <w:right w:val="none" w:sz="0" w:space="0" w:color="auto"/>
      </w:divBdr>
    </w:div>
    <w:div w:id="788399989">
      <w:bodyDiv w:val="1"/>
      <w:marLeft w:val="0"/>
      <w:marRight w:val="0"/>
      <w:marTop w:val="0"/>
      <w:marBottom w:val="0"/>
      <w:divBdr>
        <w:top w:val="none" w:sz="0" w:space="0" w:color="auto"/>
        <w:left w:val="none" w:sz="0" w:space="0" w:color="auto"/>
        <w:bottom w:val="none" w:sz="0" w:space="0" w:color="auto"/>
        <w:right w:val="none" w:sz="0" w:space="0" w:color="auto"/>
      </w:divBdr>
    </w:div>
    <w:div w:id="793907955">
      <w:bodyDiv w:val="1"/>
      <w:marLeft w:val="0"/>
      <w:marRight w:val="0"/>
      <w:marTop w:val="0"/>
      <w:marBottom w:val="0"/>
      <w:divBdr>
        <w:top w:val="none" w:sz="0" w:space="0" w:color="auto"/>
        <w:left w:val="none" w:sz="0" w:space="0" w:color="auto"/>
        <w:bottom w:val="none" w:sz="0" w:space="0" w:color="auto"/>
        <w:right w:val="none" w:sz="0" w:space="0" w:color="auto"/>
      </w:divBdr>
    </w:div>
    <w:div w:id="809596204">
      <w:bodyDiv w:val="1"/>
      <w:marLeft w:val="0"/>
      <w:marRight w:val="0"/>
      <w:marTop w:val="0"/>
      <w:marBottom w:val="0"/>
      <w:divBdr>
        <w:top w:val="none" w:sz="0" w:space="0" w:color="auto"/>
        <w:left w:val="none" w:sz="0" w:space="0" w:color="auto"/>
        <w:bottom w:val="none" w:sz="0" w:space="0" w:color="auto"/>
        <w:right w:val="none" w:sz="0" w:space="0" w:color="auto"/>
      </w:divBdr>
    </w:div>
    <w:div w:id="825323978">
      <w:bodyDiv w:val="1"/>
      <w:marLeft w:val="0"/>
      <w:marRight w:val="0"/>
      <w:marTop w:val="0"/>
      <w:marBottom w:val="0"/>
      <w:divBdr>
        <w:top w:val="none" w:sz="0" w:space="0" w:color="auto"/>
        <w:left w:val="none" w:sz="0" w:space="0" w:color="auto"/>
        <w:bottom w:val="none" w:sz="0" w:space="0" w:color="auto"/>
        <w:right w:val="none" w:sz="0" w:space="0" w:color="auto"/>
      </w:divBdr>
    </w:div>
    <w:div w:id="829828410">
      <w:bodyDiv w:val="1"/>
      <w:marLeft w:val="0"/>
      <w:marRight w:val="0"/>
      <w:marTop w:val="0"/>
      <w:marBottom w:val="0"/>
      <w:divBdr>
        <w:top w:val="none" w:sz="0" w:space="0" w:color="auto"/>
        <w:left w:val="none" w:sz="0" w:space="0" w:color="auto"/>
        <w:bottom w:val="none" w:sz="0" w:space="0" w:color="auto"/>
        <w:right w:val="none" w:sz="0" w:space="0" w:color="auto"/>
      </w:divBdr>
    </w:div>
    <w:div w:id="842476026">
      <w:bodyDiv w:val="1"/>
      <w:marLeft w:val="0"/>
      <w:marRight w:val="0"/>
      <w:marTop w:val="0"/>
      <w:marBottom w:val="0"/>
      <w:divBdr>
        <w:top w:val="none" w:sz="0" w:space="0" w:color="auto"/>
        <w:left w:val="none" w:sz="0" w:space="0" w:color="auto"/>
        <w:bottom w:val="none" w:sz="0" w:space="0" w:color="auto"/>
        <w:right w:val="none" w:sz="0" w:space="0" w:color="auto"/>
      </w:divBdr>
    </w:div>
    <w:div w:id="874661843">
      <w:bodyDiv w:val="1"/>
      <w:marLeft w:val="0"/>
      <w:marRight w:val="0"/>
      <w:marTop w:val="0"/>
      <w:marBottom w:val="0"/>
      <w:divBdr>
        <w:top w:val="none" w:sz="0" w:space="0" w:color="auto"/>
        <w:left w:val="none" w:sz="0" w:space="0" w:color="auto"/>
        <w:bottom w:val="none" w:sz="0" w:space="0" w:color="auto"/>
        <w:right w:val="none" w:sz="0" w:space="0" w:color="auto"/>
      </w:divBdr>
    </w:div>
    <w:div w:id="900604446">
      <w:bodyDiv w:val="1"/>
      <w:marLeft w:val="0"/>
      <w:marRight w:val="0"/>
      <w:marTop w:val="0"/>
      <w:marBottom w:val="0"/>
      <w:divBdr>
        <w:top w:val="none" w:sz="0" w:space="0" w:color="auto"/>
        <w:left w:val="none" w:sz="0" w:space="0" w:color="auto"/>
        <w:bottom w:val="none" w:sz="0" w:space="0" w:color="auto"/>
        <w:right w:val="none" w:sz="0" w:space="0" w:color="auto"/>
      </w:divBdr>
    </w:div>
    <w:div w:id="934824993">
      <w:bodyDiv w:val="1"/>
      <w:marLeft w:val="0"/>
      <w:marRight w:val="0"/>
      <w:marTop w:val="0"/>
      <w:marBottom w:val="0"/>
      <w:divBdr>
        <w:top w:val="none" w:sz="0" w:space="0" w:color="auto"/>
        <w:left w:val="none" w:sz="0" w:space="0" w:color="auto"/>
        <w:bottom w:val="none" w:sz="0" w:space="0" w:color="auto"/>
        <w:right w:val="none" w:sz="0" w:space="0" w:color="auto"/>
      </w:divBdr>
    </w:div>
    <w:div w:id="972055152">
      <w:bodyDiv w:val="1"/>
      <w:marLeft w:val="0"/>
      <w:marRight w:val="0"/>
      <w:marTop w:val="0"/>
      <w:marBottom w:val="0"/>
      <w:divBdr>
        <w:top w:val="none" w:sz="0" w:space="0" w:color="auto"/>
        <w:left w:val="none" w:sz="0" w:space="0" w:color="auto"/>
        <w:bottom w:val="none" w:sz="0" w:space="0" w:color="auto"/>
        <w:right w:val="none" w:sz="0" w:space="0" w:color="auto"/>
      </w:divBdr>
    </w:div>
    <w:div w:id="986125759">
      <w:bodyDiv w:val="1"/>
      <w:marLeft w:val="0"/>
      <w:marRight w:val="0"/>
      <w:marTop w:val="0"/>
      <w:marBottom w:val="0"/>
      <w:divBdr>
        <w:top w:val="none" w:sz="0" w:space="0" w:color="auto"/>
        <w:left w:val="none" w:sz="0" w:space="0" w:color="auto"/>
        <w:bottom w:val="none" w:sz="0" w:space="0" w:color="auto"/>
        <w:right w:val="none" w:sz="0" w:space="0" w:color="auto"/>
      </w:divBdr>
    </w:div>
    <w:div w:id="990986465">
      <w:bodyDiv w:val="1"/>
      <w:marLeft w:val="0"/>
      <w:marRight w:val="0"/>
      <w:marTop w:val="0"/>
      <w:marBottom w:val="0"/>
      <w:divBdr>
        <w:top w:val="none" w:sz="0" w:space="0" w:color="auto"/>
        <w:left w:val="none" w:sz="0" w:space="0" w:color="auto"/>
        <w:bottom w:val="none" w:sz="0" w:space="0" w:color="auto"/>
        <w:right w:val="none" w:sz="0" w:space="0" w:color="auto"/>
      </w:divBdr>
    </w:div>
    <w:div w:id="996542787">
      <w:bodyDiv w:val="1"/>
      <w:marLeft w:val="0"/>
      <w:marRight w:val="0"/>
      <w:marTop w:val="0"/>
      <w:marBottom w:val="0"/>
      <w:divBdr>
        <w:top w:val="none" w:sz="0" w:space="0" w:color="auto"/>
        <w:left w:val="none" w:sz="0" w:space="0" w:color="auto"/>
        <w:bottom w:val="none" w:sz="0" w:space="0" w:color="auto"/>
        <w:right w:val="none" w:sz="0" w:space="0" w:color="auto"/>
      </w:divBdr>
    </w:div>
    <w:div w:id="1004088443">
      <w:bodyDiv w:val="1"/>
      <w:marLeft w:val="0"/>
      <w:marRight w:val="0"/>
      <w:marTop w:val="0"/>
      <w:marBottom w:val="0"/>
      <w:divBdr>
        <w:top w:val="none" w:sz="0" w:space="0" w:color="auto"/>
        <w:left w:val="none" w:sz="0" w:space="0" w:color="auto"/>
        <w:bottom w:val="none" w:sz="0" w:space="0" w:color="auto"/>
        <w:right w:val="none" w:sz="0" w:space="0" w:color="auto"/>
      </w:divBdr>
    </w:div>
    <w:div w:id="1021081779">
      <w:bodyDiv w:val="1"/>
      <w:marLeft w:val="0"/>
      <w:marRight w:val="0"/>
      <w:marTop w:val="0"/>
      <w:marBottom w:val="0"/>
      <w:divBdr>
        <w:top w:val="none" w:sz="0" w:space="0" w:color="auto"/>
        <w:left w:val="none" w:sz="0" w:space="0" w:color="auto"/>
        <w:bottom w:val="none" w:sz="0" w:space="0" w:color="auto"/>
        <w:right w:val="none" w:sz="0" w:space="0" w:color="auto"/>
      </w:divBdr>
    </w:div>
    <w:div w:id="1065185875">
      <w:bodyDiv w:val="1"/>
      <w:marLeft w:val="0"/>
      <w:marRight w:val="0"/>
      <w:marTop w:val="0"/>
      <w:marBottom w:val="0"/>
      <w:divBdr>
        <w:top w:val="none" w:sz="0" w:space="0" w:color="auto"/>
        <w:left w:val="none" w:sz="0" w:space="0" w:color="auto"/>
        <w:bottom w:val="none" w:sz="0" w:space="0" w:color="auto"/>
        <w:right w:val="none" w:sz="0" w:space="0" w:color="auto"/>
      </w:divBdr>
    </w:div>
    <w:div w:id="1146049598">
      <w:bodyDiv w:val="1"/>
      <w:marLeft w:val="0"/>
      <w:marRight w:val="0"/>
      <w:marTop w:val="0"/>
      <w:marBottom w:val="0"/>
      <w:divBdr>
        <w:top w:val="none" w:sz="0" w:space="0" w:color="auto"/>
        <w:left w:val="none" w:sz="0" w:space="0" w:color="auto"/>
        <w:bottom w:val="none" w:sz="0" w:space="0" w:color="auto"/>
        <w:right w:val="none" w:sz="0" w:space="0" w:color="auto"/>
      </w:divBdr>
    </w:div>
    <w:div w:id="1179198039">
      <w:bodyDiv w:val="1"/>
      <w:marLeft w:val="0"/>
      <w:marRight w:val="0"/>
      <w:marTop w:val="0"/>
      <w:marBottom w:val="0"/>
      <w:divBdr>
        <w:top w:val="none" w:sz="0" w:space="0" w:color="auto"/>
        <w:left w:val="none" w:sz="0" w:space="0" w:color="auto"/>
        <w:bottom w:val="none" w:sz="0" w:space="0" w:color="auto"/>
        <w:right w:val="none" w:sz="0" w:space="0" w:color="auto"/>
      </w:divBdr>
    </w:div>
    <w:div w:id="1241064183">
      <w:bodyDiv w:val="1"/>
      <w:marLeft w:val="0"/>
      <w:marRight w:val="0"/>
      <w:marTop w:val="0"/>
      <w:marBottom w:val="0"/>
      <w:divBdr>
        <w:top w:val="none" w:sz="0" w:space="0" w:color="auto"/>
        <w:left w:val="none" w:sz="0" w:space="0" w:color="auto"/>
        <w:bottom w:val="none" w:sz="0" w:space="0" w:color="auto"/>
        <w:right w:val="none" w:sz="0" w:space="0" w:color="auto"/>
      </w:divBdr>
    </w:div>
    <w:div w:id="1273904846">
      <w:bodyDiv w:val="1"/>
      <w:marLeft w:val="0"/>
      <w:marRight w:val="0"/>
      <w:marTop w:val="0"/>
      <w:marBottom w:val="0"/>
      <w:divBdr>
        <w:top w:val="none" w:sz="0" w:space="0" w:color="auto"/>
        <w:left w:val="none" w:sz="0" w:space="0" w:color="auto"/>
        <w:bottom w:val="none" w:sz="0" w:space="0" w:color="auto"/>
        <w:right w:val="none" w:sz="0" w:space="0" w:color="auto"/>
      </w:divBdr>
    </w:div>
    <w:div w:id="1292050136">
      <w:bodyDiv w:val="1"/>
      <w:marLeft w:val="0"/>
      <w:marRight w:val="0"/>
      <w:marTop w:val="0"/>
      <w:marBottom w:val="0"/>
      <w:divBdr>
        <w:top w:val="none" w:sz="0" w:space="0" w:color="auto"/>
        <w:left w:val="none" w:sz="0" w:space="0" w:color="auto"/>
        <w:bottom w:val="none" w:sz="0" w:space="0" w:color="auto"/>
        <w:right w:val="none" w:sz="0" w:space="0" w:color="auto"/>
      </w:divBdr>
    </w:div>
    <w:div w:id="1318917887">
      <w:bodyDiv w:val="1"/>
      <w:marLeft w:val="0"/>
      <w:marRight w:val="0"/>
      <w:marTop w:val="0"/>
      <w:marBottom w:val="0"/>
      <w:divBdr>
        <w:top w:val="none" w:sz="0" w:space="0" w:color="auto"/>
        <w:left w:val="none" w:sz="0" w:space="0" w:color="auto"/>
        <w:bottom w:val="none" w:sz="0" w:space="0" w:color="auto"/>
        <w:right w:val="none" w:sz="0" w:space="0" w:color="auto"/>
      </w:divBdr>
    </w:div>
    <w:div w:id="1344748184">
      <w:bodyDiv w:val="1"/>
      <w:marLeft w:val="0"/>
      <w:marRight w:val="0"/>
      <w:marTop w:val="0"/>
      <w:marBottom w:val="0"/>
      <w:divBdr>
        <w:top w:val="none" w:sz="0" w:space="0" w:color="auto"/>
        <w:left w:val="none" w:sz="0" w:space="0" w:color="auto"/>
        <w:bottom w:val="none" w:sz="0" w:space="0" w:color="auto"/>
        <w:right w:val="none" w:sz="0" w:space="0" w:color="auto"/>
      </w:divBdr>
    </w:div>
    <w:div w:id="1364747160">
      <w:bodyDiv w:val="1"/>
      <w:marLeft w:val="0"/>
      <w:marRight w:val="0"/>
      <w:marTop w:val="0"/>
      <w:marBottom w:val="0"/>
      <w:divBdr>
        <w:top w:val="none" w:sz="0" w:space="0" w:color="auto"/>
        <w:left w:val="none" w:sz="0" w:space="0" w:color="auto"/>
        <w:bottom w:val="none" w:sz="0" w:space="0" w:color="auto"/>
        <w:right w:val="none" w:sz="0" w:space="0" w:color="auto"/>
      </w:divBdr>
    </w:div>
    <w:div w:id="1370186813">
      <w:bodyDiv w:val="1"/>
      <w:marLeft w:val="0"/>
      <w:marRight w:val="0"/>
      <w:marTop w:val="0"/>
      <w:marBottom w:val="0"/>
      <w:divBdr>
        <w:top w:val="none" w:sz="0" w:space="0" w:color="auto"/>
        <w:left w:val="none" w:sz="0" w:space="0" w:color="auto"/>
        <w:bottom w:val="none" w:sz="0" w:space="0" w:color="auto"/>
        <w:right w:val="none" w:sz="0" w:space="0" w:color="auto"/>
      </w:divBdr>
    </w:div>
    <w:div w:id="1401362700">
      <w:bodyDiv w:val="1"/>
      <w:marLeft w:val="0"/>
      <w:marRight w:val="0"/>
      <w:marTop w:val="0"/>
      <w:marBottom w:val="0"/>
      <w:divBdr>
        <w:top w:val="none" w:sz="0" w:space="0" w:color="auto"/>
        <w:left w:val="none" w:sz="0" w:space="0" w:color="auto"/>
        <w:bottom w:val="none" w:sz="0" w:space="0" w:color="auto"/>
        <w:right w:val="none" w:sz="0" w:space="0" w:color="auto"/>
      </w:divBdr>
      <w:divsChild>
        <w:div w:id="3211662">
          <w:marLeft w:val="2246"/>
          <w:marRight w:val="0"/>
          <w:marTop w:val="75"/>
          <w:marBottom w:val="0"/>
          <w:divBdr>
            <w:top w:val="none" w:sz="0" w:space="0" w:color="auto"/>
            <w:left w:val="none" w:sz="0" w:space="0" w:color="auto"/>
            <w:bottom w:val="none" w:sz="0" w:space="0" w:color="auto"/>
            <w:right w:val="none" w:sz="0" w:space="0" w:color="auto"/>
          </w:divBdr>
        </w:div>
        <w:div w:id="35080355">
          <w:marLeft w:val="2246"/>
          <w:marRight w:val="0"/>
          <w:marTop w:val="75"/>
          <w:marBottom w:val="0"/>
          <w:divBdr>
            <w:top w:val="none" w:sz="0" w:space="0" w:color="auto"/>
            <w:left w:val="none" w:sz="0" w:space="0" w:color="auto"/>
            <w:bottom w:val="none" w:sz="0" w:space="0" w:color="auto"/>
            <w:right w:val="none" w:sz="0" w:space="0" w:color="auto"/>
          </w:divBdr>
        </w:div>
        <w:div w:id="183399961">
          <w:marLeft w:val="2246"/>
          <w:marRight w:val="0"/>
          <w:marTop w:val="75"/>
          <w:marBottom w:val="0"/>
          <w:divBdr>
            <w:top w:val="none" w:sz="0" w:space="0" w:color="auto"/>
            <w:left w:val="none" w:sz="0" w:space="0" w:color="auto"/>
            <w:bottom w:val="none" w:sz="0" w:space="0" w:color="auto"/>
            <w:right w:val="none" w:sz="0" w:space="0" w:color="auto"/>
          </w:divBdr>
        </w:div>
        <w:div w:id="554973074">
          <w:marLeft w:val="1714"/>
          <w:marRight w:val="0"/>
          <w:marTop w:val="75"/>
          <w:marBottom w:val="0"/>
          <w:divBdr>
            <w:top w:val="none" w:sz="0" w:space="0" w:color="auto"/>
            <w:left w:val="none" w:sz="0" w:space="0" w:color="auto"/>
            <w:bottom w:val="none" w:sz="0" w:space="0" w:color="auto"/>
            <w:right w:val="none" w:sz="0" w:space="0" w:color="auto"/>
          </w:divBdr>
        </w:div>
        <w:div w:id="1426001830">
          <w:marLeft w:val="2246"/>
          <w:marRight w:val="0"/>
          <w:marTop w:val="75"/>
          <w:marBottom w:val="0"/>
          <w:divBdr>
            <w:top w:val="none" w:sz="0" w:space="0" w:color="auto"/>
            <w:left w:val="none" w:sz="0" w:space="0" w:color="auto"/>
            <w:bottom w:val="none" w:sz="0" w:space="0" w:color="auto"/>
            <w:right w:val="none" w:sz="0" w:space="0" w:color="auto"/>
          </w:divBdr>
        </w:div>
        <w:div w:id="1439518957">
          <w:marLeft w:val="1714"/>
          <w:marRight w:val="0"/>
          <w:marTop w:val="75"/>
          <w:marBottom w:val="0"/>
          <w:divBdr>
            <w:top w:val="none" w:sz="0" w:space="0" w:color="auto"/>
            <w:left w:val="none" w:sz="0" w:space="0" w:color="auto"/>
            <w:bottom w:val="none" w:sz="0" w:space="0" w:color="auto"/>
            <w:right w:val="none" w:sz="0" w:space="0" w:color="auto"/>
          </w:divBdr>
        </w:div>
        <w:div w:id="1639870623">
          <w:marLeft w:val="1714"/>
          <w:marRight w:val="0"/>
          <w:marTop w:val="75"/>
          <w:marBottom w:val="0"/>
          <w:divBdr>
            <w:top w:val="none" w:sz="0" w:space="0" w:color="auto"/>
            <w:left w:val="none" w:sz="0" w:space="0" w:color="auto"/>
            <w:bottom w:val="none" w:sz="0" w:space="0" w:color="auto"/>
            <w:right w:val="none" w:sz="0" w:space="0" w:color="auto"/>
          </w:divBdr>
        </w:div>
        <w:div w:id="1641768776">
          <w:marLeft w:val="2246"/>
          <w:marRight w:val="0"/>
          <w:marTop w:val="75"/>
          <w:marBottom w:val="0"/>
          <w:divBdr>
            <w:top w:val="none" w:sz="0" w:space="0" w:color="auto"/>
            <w:left w:val="none" w:sz="0" w:space="0" w:color="auto"/>
            <w:bottom w:val="none" w:sz="0" w:space="0" w:color="auto"/>
            <w:right w:val="none" w:sz="0" w:space="0" w:color="auto"/>
          </w:divBdr>
        </w:div>
        <w:div w:id="1783958724">
          <w:marLeft w:val="907"/>
          <w:marRight w:val="0"/>
          <w:marTop w:val="0"/>
          <w:marBottom w:val="0"/>
          <w:divBdr>
            <w:top w:val="none" w:sz="0" w:space="0" w:color="auto"/>
            <w:left w:val="none" w:sz="0" w:space="0" w:color="auto"/>
            <w:bottom w:val="none" w:sz="0" w:space="0" w:color="auto"/>
            <w:right w:val="none" w:sz="0" w:space="0" w:color="auto"/>
          </w:divBdr>
        </w:div>
      </w:divsChild>
    </w:div>
    <w:div w:id="1429232724">
      <w:bodyDiv w:val="1"/>
      <w:marLeft w:val="0"/>
      <w:marRight w:val="0"/>
      <w:marTop w:val="0"/>
      <w:marBottom w:val="0"/>
      <w:divBdr>
        <w:top w:val="none" w:sz="0" w:space="0" w:color="auto"/>
        <w:left w:val="none" w:sz="0" w:space="0" w:color="auto"/>
        <w:bottom w:val="none" w:sz="0" w:space="0" w:color="auto"/>
        <w:right w:val="none" w:sz="0" w:space="0" w:color="auto"/>
      </w:divBdr>
    </w:div>
    <w:div w:id="1440953067">
      <w:bodyDiv w:val="1"/>
      <w:marLeft w:val="0"/>
      <w:marRight w:val="0"/>
      <w:marTop w:val="0"/>
      <w:marBottom w:val="0"/>
      <w:divBdr>
        <w:top w:val="none" w:sz="0" w:space="0" w:color="auto"/>
        <w:left w:val="none" w:sz="0" w:space="0" w:color="auto"/>
        <w:bottom w:val="none" w:sz="0" w:space="0" w:color="auto"/>
        <w:right w:val="none" w:sz="0" w:space="0" w:color="auto"/>
      </w:divBdr>
    </w:div>
    <w:div w:id="1480725485">
      <w:bodyDiv w:val="1"/>
      <w:marLeft w:val="0"/>
      <w:marRight w:val="0"/>
      <w:marTop w:val="0"/>
      <w:marBottom w:val="0"/>
      <w:divBdr>
        <w:top w:val="none" w:sz="0" w:space="0" w:color="auto"/>
        <w:left w:val="none" w:sz="0" w:space="0" w:color="auto"/>
        <w:bottom w:val="none" w:sz="0" w:space="0" w:color="auto"/>
        <w:right w:val="none" w:sz="0" w:space="0" w:color="auto"/>
      </w:divBdr>
    </w:div>
    <w:div w:id="1521160118">
      <w:bodyDiv w:val="1"/>
      <w:marLeft w:val="0"/>
      <w:marRight w:val="0"/>
      <w:marTop w:val="0"/>
      <w:marBottom w:val="0"/>
      <w:divBdr>
        <w:top w:val="none" w:sz="0" w:space="0" w:color="auto"/>
        <w:left w:val="none" w:sz="0" w:space="0" w:color="auto"/>
        <w:bottom w:val="none" w:sz="0" w:space="0" w:color="auto"/>
        <w:right w:val="none" w:sz="0" w:space="0" w:color="auto"/>
      </w:divBdr>
    </w:div>
    <w:div w:id="1545369386">
      <w:bodyDiv w:val="1"/>
      <w:marLeft w:val="0"/>
      <w:marRight w:val="0"/>
      <w:marTop w:val="0"/>
      <w:marBottom w:val="0"/>
      <w:divBdr>
        <w:top w:val="none" w:sz="0" w:space="0" w:color="auto"/>
        <w:left w:val="none" w:sz="0" w:space="0" w:color="auto"/>
        <w:bottom w:val="none" w:sz="0" w:space="0" w:color="auto"/>
        <w:right w:val="none" w:sz="0" w:space="0" w:color="auto"/>
      </w:divBdr>
      <w:divsChild>
        <w:div w:id="773325959">
          <w:marLeft w:val="547"/>
          <w:marRight w:val="0"/>
          <w:marTop w:val="0"/>
          <w:marBottom w:val="120"/>
          <w:divBdr>
            <w:top w:val="none" w:sz="0" w:space="0" w:color="auto"/>
            <w:left w:val="none" w:sz="0" w:space="0" w:color="auto"/>
            <w:bottom w:val="none" w:sz="0" w:space="0" w:color="auto"/>
            <w:right w:val="none" w:sz="0" w:space="0" w:color="auto"/>
          </w:divBdr>
        </w:div>
        <w:div w:id="1025904838">
          <w:marLeft w:val="547"/>
          <w:marRight w:val="0"/>
          <w:marTop w:val="0"/>
          <w:marBottom w:val="120"/>
          <w:divBdr>
            <w:top w:val="none" w:sz="0" w:space="0" w:color="auto"/>
            <w:left w:val="none" w:sz="0" w:space="0" w:color="auto"/>
            <w:bottom w:val="none" w:sz="0" w:space="0" w:color="auto"/>
            <w:right w:val="none" w:sz="0" w:space="0" w:color="auto"/>
          </w:divBdr>
        </w:div>
        <w:div w:id="1440030669">
          <w:marLeft w:val="547"/>
          <w:marRight w:val="0"/>
          <w:marTop w:val="0"/>
          <w:marBottom w:val="120"/>
          <w:divBdr>
            <w:top w:val="none" w:sz="0" w:space="0" w:color="auto"/>
            <w:left w:val="none" w:sz="0" w:space="0" w:color="auto"/>
            <w:bottom w:val="none" w:sz="0" w:space="0" w:color="auto"/>
            <w:right w:val="none" w:sz="0" w:space="0" w:color="auto"/>
          </w:divBdr>
        </w:div>
        <w:div w:id="1642616531">
          <w:marLeft w:val="547"/>
          <w:marRight w:val="0"/>
          <w:marTop w:val="0"/>
          <w:marBottom w:val="120"/>
          <w:divBdr>
            <w:top w:val="none" w:sz="0" w:space="0" w:color="auto"/>
            <w:left w:val="none" w:sz="0" w:space="0" w:color="auto"/>
            <w:bottom w:val="none" w:sz="0" w:space="0" w:color="auto"/>
            <w:right w:val="none" w:sz="0" w:space="0" w:color="auto"/>
          </w:divBdr>
        </w:div>
        <w:div w:id="1679691509">
          <w:marLeft w:val="547"/>
          <w:marRight w:val="0"/>
          <w:marTop w:val="0"/>
          <w:marBottom w:val="120"/>
          <w:divBdr>
            <w:top w:val="none" w:sz="0" w:space="0" w:color="auto"/>
            <w:left w:val="none" w:sz="0" w:space="0" w:color="auto"/>
            <w:bottom w:val="none" w:sz="0" w:space="0" w:color="auto"/>
            <w:right w:val="none" w:sz="0" w:space="0" w:color="auto"/>
          </w:divBdr>
        </w:div>
      </w:divsChild>
    </w:div>
    <w:div w:id="1584490561">
      <w:bodyDiv w:val="1"/>
      <w:marLeft w:val="0"/>
      <w:marRight w:val="0"/>
      <w:marTop w:val="0"/>
      <w:marBottom w:val="0"/>
      <w:divBdr>
        <w:top w:val="none" w:sz="0" w:space="0" w:color="auto"/>
        <w:left w:val="none" w:sz="0" w:space="0" w:color="auto"/>
        <w:bottom w:val="none" w:sz="0" w:space="0" w:color="auto"/>
        <w:right w:val="none" w:sz="0" w:space="0" w:color="auto"/>
      </w:divBdr>
    </w:div>
    <w:div w:id="1706710330">
      <w:bodyDiv w:val="1"/>
      <w:marLeft w:val="0"/>
      <w:marRight w:val="0"/>
      <w:marTop w:val="0"/>
      <w:marBottom w:val="0"/>
      <w:divBdr>
        <w:top w:val="none" w:sz="0" w:space="0" w:color="auto"/>
        <w:left w:val="none" w:sz="0" w:space="0" w:color="auto"/>
        <w:bottom w:val="none" w:sz="0" w:space="0" w:color="auto"/>
        <w:right w:val="none" w:sz="0" w:space="0" w:color="auto"/>
      </w:divBdr>
    </w:div>
    <w:div w:id="1735276090">
      <w:bodyDiv w:val="1"/>
      <w:marLeft w:val="0"/>
      <w:marRight w:val="0"/>
      <w:marTop w:val="0"/>
      <w:marBottom w:val="0"/>
      <w:divBdr>
        <w:top w:val="none" w:sz="0" w:space="0" w:color="auto"/>
        <w:left w:val="none" w:sz="0" w:space="0" w:color="auto"/>
        <w:bottom w:val="none" w:sz="0" w:space="0" w:color="auto"/>
        <w:right w:val="none" w:sz="0" w:space="0" w:color="auto"/>
      </w:divBdr>
    </w:div>
    <w:div w:id="1743016621">
      <w:bodyDiv w:val="1"/>
      <w:marLeft w:val="0"/>
      <w:marRight w:val="0"/>
      <w:marTop w:val="0"/>
      <w:marBottom w:val="0"/>
      <w:divBdr>
        <w:top w:val="none" w:sz="0" w:space="0" w:color="auto"/>
        <w:left w:val="none" w:sz="0" w:space="0" w:color="auto"/>
        <w:bottom w:val="none" w:sz="0" w:space="0" w:color="auto"/>
        <w:right w:val="none" w:sz="0" w:space="0" w:color="auto"/>
      </w:divBdr>
    </w:div>
    <w:div w:id="1789742753">
      <w:bodyDiv w:val="1"/>
      <w:marLeft w:val="0"/>
      <w:marRight w:val="0"/>
      <w:marTop w:val="0"/>
      <w:marBottom w:val="0"/>
      <w:divBdr>
        <w:top w:val="none" w:sz="0" w:space="0" w:color="auto"/>
        <w:left w:val="none" w:sz="0" w:space="0" w:color="auto"/>
        <w:bottom w:val="none" w:sz="0" w:space="0" w:color="auto"/>
        <w:right w:val="none" w:sz="0" w:space="0" w:color="auto"/>
      </w:divBdr>
    </w:div>
    <w:div w:id="1863322403">
      <w:bodyDiv w:val="1"/>
      <w:marLeft w:val="0"/>
      <w:marRight w:val="0"/>
      <w:marTop w:val="0"/>
      <w:marBottom w:val="0"/>
      <w:divBdr>
        <w:top w:val="none" w:sz="0" w:space="0" w:color="auto"/>
        <w:left w:val="none" w:sz="0" w:space="0" w:color="auto"/>
        <w:bottom w:val="none" w:sz="0" w:space="0" w:color="auto"/>
        <w:right w:val="none" w:sz="0" w:space="0" w:color="auto"/>
      </w:divBdr>
      <w:divsChild>
        <w:div w:id="575359000">
          <w:marLeft w:val="1714"/>
          <w:marRight w:val="0"/>
          <w:marTop w:val="75"/>
          <w:marBottom w:val="0"/>
          <w:divBdr>
            <w:top w:val="none" w:sz="0" w:space="0" w:color="auto"/>
            <w:left w:val="none" w:sz="0" w:space="0" w:color="auto"/>
            <w:bottom w:val="none" w:sz="0" w:space="0" w:color="auto"/>
            <w:right w:val="none" w:sz="0" w:space="0" w:color="auto"/>
          </w:divBdr>
        </w:div>
        <w:div w:id="940408560">
          <w:marLeft w:val="1714"/>
          <w:marRight w:val="0"/>
          <w:marTop w:val="75"/>
          <w:marBottom w:val="0"/>
          <w:divBdr>
            <w:top w:val="none" w:sz="0" w:space="0" w:color="auto"/>
            <w:left w:val="none" w:sz="0" w:space="0" w:color="auto"/>
            <w:bottom w:val="none" w:sz="0" w:space="0" w:color="auto"/>
            <w:right w:val="none" w:sz="0" w:space="0" w:color="auto"/>
          </w:divBdr>
        </w:div>
        <w:div w:id="1194147734">
          <w:marLeft w:val="1714"/>
          <w:marRight w:val="0"/>
          <w:marTop w:val="75"/>
          <w:marBottom w:val="0"/>
          <w:divBdr>
            <w:top w:val="none" w:sz="0" w:space="0" w:color="auto"/>
            <w:left w:val="none" w:sz="0" w:space="0" w:color="auto"/>
            <w:bottom w:val="none" w:sz="0" w:space="0" w:color="auto"/>
            <w:right w:val="none" w:sz="0" w:space="0" w:color="auto"/>
          </w:divBdr>
        </w:div>
      </w:divsChild>
    </w:div>
    <w:div w:id="1916474860">
      <w:bodyDiv w:val="1"/>
      <w:marLeft w:val="0"/>
      <w:marRight w:val="0"/>
      <w:marTop w:val="0"/>
      <w:marBottom w:val="0"/>
      <w:divBdr>
        <w:top w:val="none" w:sz="0" w:space="0" w:color="auto"/>
        <w:left w:val="none" w:sz="0" w:space="0" w:color="auto"/>
        <w:bottom w:val="none" w:sz="0" w:space="0" w:color="auto"/>
        <w:right w:val="none" w:sz="0" w:space="0" w:color="auto"/>
      </w:divBdr>
    </w:div>
    <w:div w:id="1922912658">
      <w:bodyDiv w:val="1"/>
      <w:marLeft w:val="0"/>
      <w:marRight w:val="0"/>
      <w:marTop w:val="0"/>
      <w:marBottom w:val="0"/>
      <w:divBdr>
        <w:top w:val="none" w:sz="0" w:space="0" w:color="auto"/>
        <w:left w:val="none" w:sz="0" w:space="0" w:color="auto"/>
        <w:bottom w:val="none" w:sz="0" w:space="0" w:color="auto"/>
        <w:right w:val="none" w:sz="0" w:space="0" w:color="auto"/>
      </w:divBdr>
    </w:div>
    <w:div w:id="1948734642">
      <w:bodyDiv w:val="1"/>
      <w:marLeft w:val="0"/>
      <w:marRight w:val="0"/>
      <w:marTop w:val="0"/>
      <w:marBottom w:val="0"/>
      <w:divBdr>
        <w:top w:val="none" w:sz="0" w:space="0" w:color="auto"/>
        <w:left w:val="none" w:sz="0" w:space="0" w:color="auto"/>
        <w:bottom w:val="none" w:sz="0" w:space="0" w:color="auto"/>
        <w:right w:val="none" w:sz="0" w:space="0" w:color="auto"/>
      </w:divBdr>
    </w:div>
    <w:div w:id="1970234001">
      <w:bodyDiv w:val="1"/>
      <w:marLeft w:val="0"/>
      <w:marRight w:val="0"/>
      <w:marTop w:val="0"/>
      <w:marBottom w:val="0"/>
      <w:divBdr>
        <w:top w:val="none" w:sz="0" w:space="0" w:color="auto"/>
        <w:left w:val="none" w:sz="0" w:space="0" w:color="auto"/>
        <w:bottom w:val="none" w:sz="0" w:space="0" w:color="auto"/>
        <w:right w:val="none" w:sz="0" w:space="0" w:color="auto"/>
      </w:divBdr>
    </w:div>
    <w:div w:id="1974407042">
      <w:bodyDiv w:val="1"/>
      <w:marLeft w:val="0"/>
      <w:marRight w:val="0"/>
      <w:marTop w:val="0"/>
      <w:marBottom w:val="0"/>
      <w:divBdr>
        <w:top w:val="none" w:sz="0" w:space="0" w:color="auto"/>
        <w:left w:val="none" w:sz="0" w:space="0" w:color="auto"/>
        <w:bottom w:val="none" w:sz="0" w:space="0" w:color="auto"/>
        <w:right w:val="none" w:sz="0" w:space="0" w:color="auto"/>
      </w:divBdr>
      <w:divsChild>
        <w:div w:id="925379446">
          <w:marLeft w:val="0"/>
          <w:marRight w:val="0"/>
          <w:marTop w:val="0"/>
          <w:marBottom w:val="0"/>
          <w:divBdr>
            <w:top w:val="none" w:sz="0" w:space="0" w:color="auto"/>
            <w:left w:val="none" w:sz="0" w:space="0" w:color="auto"/>
            <w:bottom w:val="none" w:sz="0" w:space="0" w:color="auto"/>
            <w:right w:val="none" w:sz="0" w:space="0" w:color="auto"/>
          </w:divBdr>
          <w:divsChild>
            <w:div w:id="1457067384">
              <w:marLeft w:val="0"/>
              <w:marRight w:val="0"/>
              <w:marTop w:val="0"/>
              <w:marBottom w:val="0"/>
              <w:divBdr>
                <w:top w:val="none" w:sz="0" w:space="0" w:color="auto"/>
                <w:left w:val="none" w:sz="0" w:space="0" w:color="auto"/>
                <w:bottom w:val="none" w:sz="0" w:space="0" w:color="auto"/>
                <w:right w:val="none" w:sz="0" w:space="0" w:color="auto"/>
              </w:divBdr>
              <w:divsChild>
                <w:div w:id="1386100382">
                  <w:marLeft w:val="0"/>
                  <w:marRight w:val="0"/>
                  <w:marTop w:val="0"/>
                  <w:marBottom w:val="0"/>
                  <w:divBdr>
                    <w:top w:val="none" w:sz="0" w:space="0" w:color="auto"/>
                    <w:left w:val="none" w:sz="0" w:space="0" w:color="auto"/>
                    <w:bottom w:val="none" w:sz="0" w:space="0" w:color="auto"/>
                    <w:right w:val="none" w:sz="0" w:space="0" w:color="auto"/>
                  </w:divBdr>
                  <w:divsChild>
                    <w:div w:id="2017415372">
                      <w:marLeft w:val="0"/>
                      <w:marRight w:val="0"/>
                      <w:marTop w:val="0"/>
                      <w:marBottom w:val="0"/>
                      <w:divBdr>
                        <w:top w:val="none" w:sz="0" w:space="0" w:color="auto"/>
                        <w:left w:val="none" w:sz="0" w:space="0" w:color="auto"/>
                        <w:bottom w:val="none" w:sz="0" w:space="0" w:color="auto"/>
                        <w:right w:val="none" w:sz="0" w:space="0" w:color="auto"/>
                      </w:divBdr>
                      <w:divsChild>
                        <w:div w:id="1879854719">
                          <w:marLeft w:val="0"/>
                          <w:marRight w:val="0"/>
                          <w:marTop w:val="0"/>
                          <w:marBottom w:val="0"/>
                          <w:divBdr>
                            <w:top w:val="none" w:sz="0" w:space="0" w:color="auto"/>
                            <w:left w:val="none" w:sz="0" w:space="0" w:color="auto"/>
                            <w:bottom w:val="none" w:sz="0" w:space="0" w:color="auto"/>
                            <w:right w:val="none" w:sz="0" w:space="0" w:color="auto"/>
                          </w:divBdr>
                          <w:divsChild>
                            <w:div w:id="1718121927">
                              <w:marLeft w:val="0"/>
                              <w:marRight w:val="0"/>
                              <w:marTop w:val="0"/>
                              <w:marBottom w:val="0"/>
                              <w:divBdr>
                                <w:top w:val="none" w:sz="0" w:space="0" w:color="auto"/>
                                <w:left w:val="none" w:sz="0" w:space="0" w:color="auto"/>
                                <w:bottom w:val="none" w:sz="0" w:space="0" w:color="auto"/>
                                <w:right w:val="none" w:sz="0" w:space="0" w:color="auto"/>
                              </w:divBdr>
                              <w:divsChild>
                                <w:div w:id="1015691624">
                                  <w:marLeft w:val="0"/>
                                  <w:marRight w:val="0"/>
                                  <w:marTop w:val="0"/>
                                  <w:marBottom w:val="0"/>
                                  <w:divBdr>
                                    <w:top w:val="none" w:sz="0" w:space="0" w:color="auto"/>
                                    <w:left w:val="none" w:sz="0" w:space="0" w:color="auto"/>
                                    <w:bottom w:val="none" w:sz="0" w:space="0" w:color="auto"/>
                                    <w:right w:val="none" w:sz="0" w:space="0" w:color="auto"/>
                                  </w:divBdr>
                                  <w:divsChild>
                                    <w:div w:id="273055534">
                                      <w:marLeft w:val="0"/>
                                      <w:marRight w:val="0"/>
                                      <w:marTop w:val="0"/>
                                      <w:marBottom w:val="0"/>
                                      <w:divBdr>
                                        <w:top w:val="none" w:sz="0" w:space="0" w:color="auto"/>
                                        <w:left w:val="none" w:sz="0" w:space="0" w:color="auto"/>
                                        <w:bottom w:val="none" w:sz="0" w:space="0" w:color="auto"/>
                                        <w:right w:val="none" w:sz="0" w:space="0" w:color="auto"/>
                                      </w:divBdr>
                                      <w:divsChild>
                                        <w:div w:id="316111951">
                                          <w:marLeft w:val="0"/>
                                          <w:marRight w:val="0"/>
                                          <w:marTop w:val="0"/>
                                          <w:marBottom w:val="0"/>
                                          <w:divBdr>
                                            <w:top w:val="none" w:sz="0" w:space="0" w:color="auto"/>
                                            <w:left w:val="none" w:sz="0" w:space="0" w:color="auto"/>
                                            <w:bottom w:val="none" w:sz="0" w:space="0" w:color="auto"/>
                                            <w:right w:val="none" w:sz="0" w:space="0" w:color="auto"/>
                                          </w:divBdr>
                                          <w:divsChild>
                                            <w:div w:id="1874223752">
                                              <w:marLeft w:val="0"/>
                                              <w:marRight w:val="0"/>
                                              <w:marTop w:val="0"/>
                                              <w:marBottom w:val="0"/>
                                              <w:divBdr>
                                                <w:top w:val="none" w:sz="0" w:space="0" w:color="auto"/>
                                                <w:left w:val="none" w:sz="0" w:space="0" w:color="auto"/>
                                                <w:bottom w:val="none" w:sz="0" w:space="0" w:color="auto"/>
                                                <w:right w:val="none" w:sz="0" w:space="0" w:color="auto"/>
                                              </w:divBdr>
                                              <w:divsChild>
                                                <w:div w:id="264770170">
                                                  <w:marLeft w:val="0"/>
                                                  <w:marRight w:val="0"/>
                                                  <w:marTop w:val="0"/>
                                                  <w:marBottom w:val="0"/>
                                                  <w:divBdr>
                                                    <w:top w:val="none" w:sz="0" w:space="0" w:color="auto"/>
                                                    <w:left w:val="none" w:sz="0" w:space="0" w:color="auto"/>
                                                    <w:bottom w:val="none" w:sz="0" w:space="0" w:color="auto"/>
                                                    <w:right w:val="none" w:sz="0" w:space="0" w:color="auto"/>
                                                  </w:divBdr>
                                                  <w:divsChild>
                                                    <w:div w:id="1511796723">
                                                      <w:marLeft w:val="0"/>
                                                      <w:marRight w:val="0"/>
                                                      <w:marTop w:val="0"/>
                                                      <w:marBottom w:val="0"/>
                                                      <w:divBdr>
                                                        <w:top w:val="none" w:sz="0" w:space="0" w:color="auto"/>
                                                        <w:left w:val="none" w:sz="0" w:space="0" w:color="auto"/>
                                                        <w:bottom w:val="none" w:sz="0" w:space="0" w:color="auto"/>
                                                        <w:right w:val="none" w:sz="0" w:space="0" w:color="auto"/>
                                                      </w:divBdr>
                                                      <w:divsChild>
                                                        <w:div w:id="1230506294">
                                                          <w:marLeft w:val="0"/>
                                                          <w:marRight w:val="0"/>
                                                          <w:marTop w:val="0"/>
                                                          <w:marBottom w:val="0"/>
                                                          <w:divBdr>
                                                            <w:top w:val="none" w:sz="0" w:space="0" w:color="auto"/>
                                                            <w:left w:val="none" w:sz="0" w:space="0" w:color="auto"/>
                                                            <w:bottom w:val="none" w:sz="0" w:space="0" w:color="auto"/>
                                                            <w:right w:val="none" w:sz="0" w:space="0" w:color="auto"/>
                                                          </w:divBdr>
                                                          <w:divsChild>
                                                            <w:div w:id="1548031106">
                                                              <w:marLeft w:val="0"/>
                                                              <w:marRight w:val="0"/>
                                                              <w:marTop w:val="0"/>
                                                              <w:marBottom w:val="0"/>
                                                              <w:divBdr>
                                                                <w:top w:val="none" w:sz="0" w:space="0" w:color="auto"/>
                                                                <w:left w:val="none" w:sz="0" w:space="0" w:color="auto"/>
                                                                <w:bottom w:val="none" w:sz="0" w:space="0" w:color="auto"/>
                                                                <w:right w:val="none" w:sz="0" w:space="0" w:color="auto"/>
                                                              </w:divBdr>
                                                              <w:divsChild>
                                                                <w:div w:id="367804266">
                                                                  <w:marLeft w:val="0"/>
                                                                  <w:marRight w:val="0"/>
                                                                  <w:marTop w:val="0"/>
                                                                  <w:marBottom w:val="0"/>
                                                                  <w:divBdr>
                                                                    <w:top w:val="none" w:sz="0" w:space="0" w:color="auto"/>
                                                                    <w:left w:val="none" w:sz="0" w:space="0" w:color="auto"/>
                                                                    <w:bottom w:val="none" w:sz="0" w:space="0" w:color="auto"/>
                                                                    <w:right w:val="none" w:sz="0" w:space="0" w:color="auto"/>
                                                                  </w:divBdr>
                                                                  <w:divsChild>
                                                                    <w:div w:id="217061428">
                                                                      <w:marLeft w:val="0"/>
                                                                      <w:marRight w:val="0"/>
                                                                      <w:marTop w:val="0"/>
                                                                      <w:marBottom w:val="0"/>
                                                                      <w:divBdr>
                                                                        <w:top w:val="none" w:sz="0" w:space="0" w:color="auto"/>
                                                                        <w:left w:val="none" w:sz="0" w:space="0" w:color="auto"/>
                                                                        <w:bottom w:val="none" w:sz="0" w:space="0" w:color="auto"/>
                                                                        <w:right w:val="none" w:sz="0" w:space="0" w:color="auto"/>
                                                                      </w:divBdr>
                                                                      <w:divsChild>
                                                                        <w:div w:id="722022671">
                                                                          <w:marLeft w:val="0"/>
                                                                          <w:marRight w:val="0"/>
                                                                          <w:marTop w:val="0"/>
                                                                          <w:marBottom w:val="0"/>
                                                                          <w:divBdr>
                                                                            <w:top w:val="none" w:sz="0" w:space="0" w:color="auto"/>
                                                                            <w:left w:val="none" w:sz="0" w:space="0" w:color="auto"/>
                                                                            <w:bottom w:val="none" w:sz="0" w:space="0" w:color="auto"/>
                                                                            <w:right w:val="none" w:sz="0" w:space="0" w:color="auto"/>
                                                                          </w:divBdr>
                                                                          <w:divsChild>
                                                                            <w:div w:id="69893904">
                                                                              <w:marLeft w:val="0"/>
                                                                              <w:marRight w:val="0"/>
                                                                              <w:marTop w:val="0"/>
                                                                              <w:marBottom w:val="0"/>
                                                                              <w:divBdr>
                                                                                <w:top w:val="none" w:sz="0" w:space="0" w:color="auto"/>
                                                                                <w:left w:val="none" w:sz="0" w:space="0" w:color="auto"/>
                                                                                <w:bottom w:val="none" w:sz="0" w:space="0" w:color="auto"/>
                                                                                <w:right w:val="none" w:sz="0" w:space="0" w:color="auto"/>
                                                                              </w:divBdr>
                                                                              <w:divsChild>
                                                                                <w:div w:id="1578901660">
                                                                                  <w:marLeft w:val="0"/>
                                                                                  <w:marRight w:val="0"/>
                                                                                  <w:marTop w:val="0"/>
                                                                                  <w:marBottom w:val="0"/>
                                                                                  <w:divBdr>
                                                                                    <w:top w:val="none" w:sz="0" w:space="0" w:color="auto"/>
                                                                                    <w:left w:val="none" w:sz="0" w:space="0" w:color="auto"/>
                                                                                    <w:bottom w:val="none" w:sz="0" w:space="0" w:color="auto"/>
                                                                                    <w:right w:val="none" w:sz="0" w:space="0" w:color="auto"/>
                                                                                  </w:divBdr>
                                                                                  <w:divsChild>
                                                                                    <w:div w:id="63988098">
                                                                                      <w:marLeft w:val="0"/>
                                                                                      <w:marRight w:val="0"/>
                                                                                      <w:marTop w:val="0"/>
                                                                                      <w:marBottom w:val="0"/>
                                                                                      <w:divBdr>
                                                                                        <w:top w:val="none" w:sz="0" w:space="0" w:color="auto"/>
                                                                                        <w:left w:val="none" w:sz="0" w:space="0" w:color="auto"/>
                                                                                        <w:bottom w:val="none" w:sz="0" w:space="0" w:color="auto"/>
                                                                                        <w:right w:val="none" w:sz="0" w:space="0" w:color="auto"/>
                                                                                      </w:divBdr>
                                                                                      <w:divsChild>
                                                                                        <w:div w:id="2115175538">
                                                                                          <w:marLeft w:val="0"/>
                                                                                          <w:marRight w:val="0"/>
                                                                                          <w:marTop w:val="0"/>
                                                                                          <w:marBottom w:val="0"/>
                                                                                          <w:divBdr>
                                                                                            <w:top w:val="none" w:sz="0" w:space="0" w:color="auto"/>
                                                                                            <w:left w:val="none" w:sz="0" w:space="0" w:color="auto"/>
                                                                                            <w:bottom w:val="none" w:sz="0" w:space="0" w:color="auto"/>
                                                                                            <w:right w:val="none" w:sz="0" w:space="0" w:color="auto"/>
                                                                                          </w:divBdr>
                                                                                          <w:divsChild>
                                                                                            <w:div w:id="1272938034">
                                                                                              <w:marLeft w:val="0"/>
                                                                                              <w:marRight w:val="120"/>
                                                                                              <w:marTop w:val="0"/>
                                                                                              <w:marBottom w:val="150"/>
                                                                                              <w:divBdr>
                                                                                                <w:top w:val="single" w:sz="2" w:space="0" w:color="EFEFEF"/>
                                                                                                <w:left w:val="single" w:sz="6" w:space="0" w:color="EFEFEF"/>
                                                                                                <w:bottom w:val="single" w:sz="6" w:space="0" w:color="E2E2E2"/>
                                                                                                <w:right w:val="single" w:sz="6" w:space="0" w:color="EFEFEF"/>
                                                                                              </w:divBdr>
                                                                                              <w:divsChild>
                                                                                                <w:div w:id="1857694728">
                                                                                                  <w:marLeft w:val="0"/>
                                                                                                  <w:marRight w:val="0"/>
                                                                                                  <w:marTop w:val="0"/>
                                                                                                  <w:marBottom w:val="0"/>
                                                                                                  <w:divBdr>
                                                                                                    <w:top w:val="none" w:sz="0" w:space="0" w:color="auto"/>
                                                                                                    <w:left w:val="none" w:sz="0" w:space="0" w:color="auto"/>
                                                                                                    <w:bottom w:val="none" w:sz="0" w:space="0" w:color="auto"/>
                                                                                                    <w:right w:val="none" w:sz="0" w:space="0" w:color="auto"/>
                                                                                                  </w:divBdr>
                                                                                                  <w:divsChild>
                                                                                                    <w:div w:id="1277643474">
                                                                                                      <w:marLeft w:val="0"/>
                                                                                                      <w:marRight w:val="0"/>
                                                                                                      <w:marTop w:val="0"/>
                                                                                                      <w:marBottom w:val="0"/>
                                                                                                      <w:divBdr>
                                                                                                        <w:top w:val="none" w:sz="0" w:space="0" w:color="auto"/>
                                                                                                        <w:left w:val="none" w:sz="0" w:space="0" w:color="auto"/>
                                                                                                        <w:bottom w:val="none" w:sz="0" w:space="0" w:color="auto"/>
                                                                                                        <w:right w:val="none" w:sz="0" w:space="0" w:color="auto"/>
                                                                                                      </w:divBdr>
                                                                                                      <w:divsChild>
                                                                                                        <w:div w:id="1755393663">
                                                                                                          <w:marLeft w:val="0"/>
                                                                                                          <w:marRight w:val="0"/>
                                                                                                          <w:marTop w:val="0"/>
                                                                                                          <w:marBottom w:val="0"/>
                                                                                                          <w:divBdr>
                                                                                                            <w:top w:val="none" w:sz="0" w:space="0" w:color="auto"/>
                                                                                                            <w:left w:val="none" w:sz="0" w:space="0" w:color="auto"/>
                                                                                                            <w:bottom w:val="none" w:sz="0" w:space="0" w:color="auto"/>
                                                                                                            <w:right w:val="none" w:sz="0" w:space="0" w:color="auto"/>
                                                                                                          </w:divBdr>
                                                                                                          <w:divsChild>
                                                                                                            <w:div w:id="1910572172">
                                                                                                              <w:marLeft w:val="0"/>
                                                                                                              <w:marRight w:val="0"/>
                                                                                                              <w:marTop w:val="0"/>
                                                                                                              <w:marBottom w:val="0"/>
                                                                                                              <w:divBdr>
                                                                                                                <w:top w:val="none" w:sz="0" w:space="0" w:color="auto"/>
                                                                                                                <w:left w:val="none" w:sz="0" w:space="0" w:color="auto"/>
                                                                                                                <w:bottom w:val="none" w:sz="0" w:space="0" w:color="auto"/>
                                                                                                                <w:right w:val="none" w:sz="0" w:space="0" w:color="auto"/>
                                                                                                              </w:divBdr>
                                                                                                              <w:divsChild>
                                                                                                                <w:div w:id="89378387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917737481">
                                                                                                                      <w:marLeft w:val="225"/>
                                                                                                                      <w:marRight w:val="225"/>
                                                                                                                      <w:marTop w:val="75"/>
                                                                                                                      <w:marBottom w:val="75"/>
                                                                                                                      <w:divBdr>
                                                                                                                        <w:top w:val="none" w:sz="0" w:space="0" w:color="auto"/>
                                                                                                                        <w:left w:val="none" w:sz="0" w:space="0" w:color="auto"/>
                                                                                                                        <w:bottom w:val="none" w:sz="0" w:space="0" w:color="auto"/>
                                                                                                                        <w:right w:val="none" w:sz="0" w:space="0" w:color="auto"/>
                                                                                                                      </w:divBdr>
                                                                                                                      <w:divsChild>
                                                                                                                        <w:div w:id="1098333278">
                                                                                                                          <w:marLeft w:val="0"/>
                                                                                                                          <w:marRight w:val="0"/>
                                                                                                                          <w:marTop w:val="0"/>
                                                                                                                          <w:marBottom w:val="0"/>
                                                                                                                          <w:divBdr>
                                                                                                                            <w:top w:val="single" w:sz="6" w:space="0" w:color="auto"/>
                                                                                                                            <w:left w:val="single" w:sz="6" w:space="0" w:color="auto"/>
                                                                                                                            <w:bottom w:val="single" w:sz="6" w:space="0" w:color="auto"/>
                                                                                                                            <w:right w:val="single" w:sz="6" w:space="0" w:color="auto"/>
                                                                                                                          </w:divBdr>
                                                                                                                          <w:divsChild>
                                                                                                                            <w:div w:id="839999963">
                                                                                                                              <w:marLeft w:val="0"/>
                                                                                                                              <w:marRight w:val="0"/>
                                                                                                                              <w:marTop w:val="0"/>
                                                                                                                              <w:marBottom w:val="0"/>
                                                                                                                              <w:divBdr>
                                                                                                                                <w:top w:val="none" w:sz="0" w:space="0" w:color="auto"/>
                                                                                                                                <w:left w:val="none" w:sz="0" w:space="0" w:color="auto"/>
                                                                                                                                <w:bottom w:val="none" w:sz="0" w:space="0" w:color="auto"/>
                                                                                                                                <w:right w:val="none" w:sz="0" w:space="0" w:color="auto"/>
                                                                                                                              </w:divBdr>
                                                                                                                              <w:divsChild>
                                                                                                                                <w:div w:id="252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4556326">
      <w:bodyDiv w:val="1"/>
      <w:marLeft w:val="0"/>
      <w:marRight w:val="0"/>
      <w:marTop w:val="0"/>
      <w:marBottom w:val="0"/>
      <w:divBdr>
        <w:top w:val="none" w:sz="0" w:space="0" w:color="auto"/>
        <w:left w:val="none" w:sz="0" w:space="0" w:color="auto"/>
        <w:bottom w:val="none" w:sz="0" w:space="0" w:color="auto"/>
        <w:right w:val="none" w:sz="0" w:space="0" w:color="auto"/>
      </w:divBdr>
      <w:divsChild>
        <w:div w:id="78840869">
          <w:marLeft w:val="2246"/>
          <w:marRight w:val="0"/>
          <w:marTop w:val="75"/>
          <w:marBottom w:val="0"/>
          <w:divBdr>
            <w:top w:val="none" w:sz="0" w:space="0" w:color="auto"/>
            <w:left w:val="none" w:sz="0" w:space="0" w:color="auto"/>
            <w:bottom w:val="none" w:sz="0" w:space="0" w:color="auto"/>
            <w:right w:val="none" w:sz="0" w:space="0" w:color="auto"/>
          </w:divBdr>
        </w:div>
        <w:div w:id="413472044">
          <w:marLeft w:val="1714"/>
          <w:marRight w:val="0"/>
          <w:marTop w:val="75"/>
          <w:marBottom w:val="0"/>
          <w:divBdr>
            <w:top w:val="none" w:sz="0" w:space="0" w:color="auto"/>
            <w:left w:val="none" w:sz="0" w:space="0" w:color="auto"/>
            <w:bottom w:val="none" w:sz="0" w:space="0" w:color="auto"/>
            <w:right w:val="none" w:sz="0" w:space="0" w:color="auto"/>
          </w:divBdr>
        </w:div>
        <w:div w:id="815142804">
          <w:marLeft w:val="2246"/>
          <w:marRight w:val="0"/>
          <w:marTop w:val="75"/>
          <w:marBottom w:val="0"/>
          <w:divBdr>
            <w:top w:val="none" w:sz="0" w:space="0" w:color="auto"/>
            <w:left w:val="none" w:sz="0" w:space="0" w:color="auto"/>
            <w:bottom w:val="none" w:sz="0" w:space="0" w:color="auto"/>
            <w:right w:val="none" w:sz="0" w:space="0" w:color="auto"/>
          </w:divBdr>
        </w:div>
        <w:div w:id="930819035">
          <w:marLeft w:val="2246"/>
          <w:marRight w:val="0"/>
          <w:marTop w:val="75"/>
          <w:marBottom w:val="0"/>
          <w:divBdr>
            <w:top w:val="none" w:sz="0" w:space="0" w:color="auto"/>
            <w:left w:val="none" w:sz="0" w:space="0" w:color="auto"/>
            <w:bottom w:val="none" w:sz="0" w:space="0" w:color="auto"/>
            <w:right w:val="none" w:sz="0" w:space="0" w:color="auto"/>
          </w:divBdr>
        </w:div>
        <w:div w:id="1077484853">
          <w:marLeft w:val="2246"/>
          <w:marRight w:val="0"/>
          <w:marTop w:val="75"/>
          <w:marBottom w:val="0"/>
          <w:divBdr>
            <w:top w:val="none" w:sz="0" w:space="0" w:color="auto"/>
            <w:left w:val="none" w:sz="0" w:space="0" w:color="auto"/>
            <w:bottom w:val="none" w:sz="0" w:space="0" w:color="auto"/>
            <w:right w:val="none" w:sz="0" w:space="0" w:color="auto"/>
          </w:divBdr>
        </w:div>
        <w:div w:id="1124738849">
          <w:marLeft w:val="2246"/>
          <w:marRight w:val="0"/>
          <w:marTop w:val="75"/>
          <w:marBottom w:val="0"/>
          <w:divBdr>
            <w:top w:val="none" w:sz="0" w:space="0" w:color="auto"/>
            <w:left w:val="none" w:sz="0" w:space="0" w:color="auto"/>
            <w:bottom w:val="none" w:sz="0" w:space="0" w:color="auto"/>
            <w:right w:val="none" w:sz="0" w:space="0" w:color="auto"/>
          </w:divBdr>
        </w:div>
        <w:div w:id="1242983860">
          <w:marLeft w:val="1714"/>
          <w:marRight w:val="0"/>
          <w:marTop w:val="75"/>
          <w:marBottom w:val="0"/>
          <w:divBdr>
            <w:top w:val="none" w:sz="0" w:space="0" w:color="auto"/>
            <w:left w:val="none" w:sz="0" w:space="0" w:color="auto"/>
            <w:bottom w:val="none" w:sz="0" w:space="0" w:color="auto"/>
            <w:right w:val="none" w:sz="0" w:space="0" w:color="auto"/>
          </w:divBdr>
        </w:div>
        <w:div w:id="1297250690">
          <w:marLeft w:val="907"/>
          <w:marRight w:val="0"/>
          <w:marTop w:val="0"/>
          <w:marBottom w:val="0"/>
          <w:divBdr>
            <w:top w:val="none" w:sz="0" w:space="0" w:color="auto"/>
            <w:left w:val="none" w:sz="0" w:space="0" w:color="auto"/>
            <w:bottom w:val="none" w:sz="0" w:space="0" w:color="auto"/>
            <w:right w:val="none" w:sz="0" w:space="0" w:color="auto"/>
          </w:divBdr>
        </w:div>
        <w:div w:id="1938635852">
          <w:marLeft w:val="2246"/>
          <w:marRight w:val="0"/>
          <w:marTop w:val="75"/>
          <w:marBottom w:val="0"/>
          <w:divBdr>
            <w:top w:val="none" w:sz="0" w:space="0" w:color="auto"/>
            <w:left w:val="none" w:sz="0" w:space="0" w:color="auto"/>
            <w:bottom w:val="none" w:sz="0" w:space="0" w:color="auto"/>
            <w:right w:val="none" w:sz="0" w:space="0" w:color="auto"/>
          </w:divBdr>
        </w:div>
      </w:divsChild>
    </w:div>
    <w:div w:id="1989625104">
      <w:bodyDiv w:val="1"/>
      <w:marLeft w:val="0"/>
      <w:marRight w:val="0"/>
      <w:marTop w:val="0"/>
      <w:marBottom w:val="0"/>
      <w:divBdr>
        <w:top w:val="none" w:sz="0" w:space="0" w:color="auto"/>
        <w:left w:val="none" w:sz="0" w:space="0" w:color="auto"/>
        <w:bottom w:val="none" w:sz="0" w:space="0" w:color="auto"/>
        <w:right w:val="none" w:sz="0" w:space="0" w:color="auto"/>
      </w:divBdr>
    </w:div>
    <w:div w:id="2023777950">
      <w:bodyDiv w:val="1"/>
      <w:marLeft w:val="0"/>
      <w:marRight w:val="0"/>
      <w:marTop w:val="0"/>
      <w:marBottom w:val="0"/>
      <w:divBdr>
        <w:top w:val="none" w:sz="0" w:space="0" w:color="auto"/>
        <w:left w:val="none" w:sz="0" w:space="0" w:color="auto"/>
        <w:bottom w:val="none" w:sz="0" w:space="0" w:color="auto"/>
        <w:right w:val="none" w:sz="0" w:space="0" w:color="auto"/>
      </w:divBdr>
    </w:div>
    <w:div w:id="2064020783">
      <w:bodyDiv w:val="1"/>
      <w:marLeft w:val="0"/>
      <w:marRight w:val="0"/>
      <w:marTop w:val="0"/>
      <w:marBottom w:val="0"/>
      <w:divBdr>
        <w:top w:val="none" w:sz="0" w:space="0" w:color="auto"/>
        <w:left w:val="none" w:sz="0" w:space="0" w:color="auto"/>
        <w:bottom w:val="none" w:sz="0" w:space="0" w:color="auto"/>
        <w:right w:val="none" w:sz="0" w:space="0" w:color="auto"/>
      </w:divBdr>
    </w:div>
    <w:div w:id="2114931811">
      <w:bodyDiv w:val="1"/>
      <w:marLeft w:val="0"/>
      <w:marRight w:val="0"/>
      <w:marTop w:val="0"/>
      <w:marBottom w:val="0"/>
      <w:divBdr>
        <w:top w:val="none" w:sz="0" w:space="0" w:color="auto"/>
        <w:left w:val="none" w:sz="0" w:space="0" w:color="auto"/>
        <w:bottom w:val="none" w:sz="0" w:space="0" w:color="auto"/>
        <w:right w:val="none" w:sz="0" w:space="0" w:color="auto"/>
      </w:divBdr>
      <w:divsChild>
        <w:div w:id="1833791646">
          <w:marLeft w:val="0"/>
          <w:marRight w:val="0"/>
          <w:marTop w:val="0"/>
          <w:marBottom w:val="0"/>
          <w:divBdr>
            <w:top w:val="none" w:sz="0" w:space="0" w:color="auto"/>
            <w:left w:val="none" w:sz="0" w:space="0" w:color="auto"/>
            <w:bottom w:val="none" w:sz="0" w:space="0" w:color="auto"/>
            <w:right w:val="none" w:sz="0" w:space="0" w:color="auto"/>
          </w:divBdr>
          <w:divsChild>
            <w:div w:id="16607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8.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hyperlink" Target="https://www.esinvesticijos.lt/lt/pasirengimas-2021-2027"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chart" Target="charts/chart3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9.xml"/><Relationship Id="rId45"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image" Target="media/image3.png"/><Relationship Id="rId48" Type="http://schemas.openxmlformats.org/officeDocument/2006/relationships/fontTable" Target="fontTable.xml"/><Relationship Id="rId8" Type="http://schemas.openxmlformats.org/officeDocument/2006/relationships/endnotes" Target="endnotes.xml"/><Relationship Id="rId51"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21%20I%20ketv\Darb\ESIF_2014-2020_EU_payments_2021-04-0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1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3.xml"/></Relationships>
</file>

<file path=word/charts/_rels/chart15.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_rels/chart19.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Home\Desktop\2021%20m.%20I%20ketv.%20finans%20duom.xlsx" TargetMode="External"/><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ome\Desktop\2021%20m.%20I%20ketv.%20finans%20duo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3"/>
            </a:solidFill>
            <a:ln>
              <a:noFill/>
            </a:ln>
          </c:spPr>
          <c:invertIfNegative val="0"/>
          <c:dPt>
            <c:idx val="2"/>
            <c:invertIfNegative val="0"/>
            <c:bubble3D val="0"/>
          </c:dPt>
          <c:dPt>
            <c:idx val="3"/>
            <c:invertIfNegative val="0"/>
            <c:bubble3D val="0"/>
          </c:dPt>
          <c:dPt>
            <c:idx val="4"/>
            <c:invertIfNegative val="0"/>
            <c:bubble3D val="0"/>
          </c:dPt>
          <c:dPt>
            <c:idx val="5"/>
            <c:invertIfNegative val="0"/>
            <c:bubble3D val="0"/>
            <c:spPr>
              <a:solidFill>
                <a:schemeClr val="accent4"/>
              </a:solidFill>
              <a:ln>
                <a:noFill/>
              </a:ln>
            </c:spPr>
          </c:dPt>
          <c:dPt>
            <c:idx val="12"/>
            <c:invertIfNegative val="0"/>
            <c:bubble3D val="0"/>
          </c:dPt>
          <c:dPt>
            <c:idx val="14"/>
            <c:invertIfNegative val="0"/>
            <c:bubble3D val="0"/>
          </c:dPt>
          <c:dPt>
            <c:idx val="15"/>
            <c:invertIfNegative val="0"/>
            <c:bubble3D val="0"/>
          </c:dPt>
          <c:dPt>
            <c:idx val="16"/>
            <c:invertIfNegative val="0"/>
            <c:bubble3D val="0"/>
          </c:dPt>
          <c:dLbls>
            <c:dLbl>
              <c:idx val="0"/>
              <c:layout>
                <c:manualLayout>
                  <c:x val="2.0964360587002098E-3"/>
                  <c:y val="9.7163896179644164E-3"/>
                </c:manualLayout>
              </c:layout>
              <c:dLblPos val="outEnd"/>
              <c:showLegendKey val="0"/>
              <c:showVal val="1"/>
              <c:showCatName val="0"/>
              <c:showSerName val="0"/>
              <c:showPercent val="0"/>
              <c:showBubbleSize val="0"/>
            </c:dLbl>
            <c:dLbl>
              <c:idx val="1"/>
              <c:layout>
                <c:manualLayout>
                  <c:x val="4.1928721174004195E-3"/>
                  <c:y val="3.85615339749198E-2"/>
                </c:manualLayout>
              </c:layout>
              <c:dLblPos val="outEnd"/>
              <c:showLegendKey val="0"/>
              <c:showVal val="1"/>
              <c:showCatName val="0"/>
              <c:showSerName val="0"/>
              <c:showPercent val="0"/>
              <c:showBubbleSize val="0"/>
            </c:dLbl>
            <c:dLbl>
              <c:idx val="2"/>
              <c:layout>
                <c:manualLayout>
                  <c:x val="2.0964360587002098E-3"/>
                  <c:y val="-3.1470545348497997E-3"/>
                </c:manualLayout>
              </c:layout>
              <c:dLblPos val="outEnd"/>
              <c:showLegendKey val="0"/>
              <c:showVal val="1"/>
              <c:showCatName val="0"/>
              <c:showSerName val="0"/>
              <c:showPercent val="0"/>
              <c:showBubbleSize val="0"/>
            </c:dLbl>
            <c:dLbl>
              <c:idx val="3"/>
              <c:layout>
                <c:manualLayout>
                  <c:x val="0"/>
                  <c:y val="2.9987241178186082E-2"/>
                </c:manualLayout>
              </c:layout>
              <c:dLblPos val="outEnd"/>
              <c:showLegendKey val="0"/>
              <c:showVal val="1"/>
              <c:showCatName val="0"/>
              <c:showSerName val="0"/>
              <c:showPercent val="0"/>
              <c:showBubbleSize val="0"/>
            </c:dLbl>
            <c:dLbl>
              <c:idx val="4"/>
              <c:layout>
                <c:manualLayout>
                  <c:x val="4.1928721174004195E-3"/>
                  <c:y val="4.6186934966462529E-3"/>
                </c:manualLayout>
              </c:layout>
              <c:dLblPos val="outEnd"/>
              <c:showLegendKey val="0"/>
              <c:showVal val="1"/>
              <c:showCatName val="0"/>
              <c:showSerName val="0"/>
              <c:showPercent val="0"/>
              <c:showBubbleSize val="0"/>
            </c:dLbl>
            <c:dLbl>
              <c:idx val="5"/>
              <c:layout>
                <c:manualLayout>
                  <c:x val="-2.0964360587002098E-3"/>
                  <c:y val="2.8726305045202682E-2"/>
                </c:manualLayout>
              </c:layout>
              <c:dLblPos val="outEnd"/>
              <c:showLegendKey val="0"/>
              <c:showVal val="1"/>
              <c:showCatName val="0"/>
              <c:showSerName val="0"/>
              <c:showPercent val="0"/>
              <c:showBubbleSize val="0"/>
            </c:dLbl>
            <c:dLbl>
              <c:idx val="6"/>
              <c:layout>
                <c:manualLayout>
                  <c:x val="-2.0964360587002098E-3"/>
                  <c:y val="1.0852289297171188E-3"/>
                </c:manualLayout>
              </c:layout>
              <c:dLblPos val="outEnd"/>
              <c:showLegendKey val="0"/>
              <c:showVal val="1"/>
              <c:showCatName val="0"/>
              <c:showSerName val="0"/>
              <c:showPercent val="0"/>
              <c:showBubbleSize val="0"/>
            </c:dLbl>
            <c:dLbl>
              <c:idx val="7"/>
              <c:layout>
                <c:manualLayout>
                  <c:x val="0"/>
                  <c:y val="3.3745261009040559E-2"/>
                </c:manualLayout>
              </c:layout>
              <c:dLblPos val="outEnd"/>
              <c:showLegendKey val="0"/>
              <c:showVal val="1"/>
              <c:showCatName val="0"/>
              <c:showSerName val="0"/>
              <c:showPercent val="0"/>
              <c:showBubbleSize val="0"/>
            </c:dLbl>
            <c:dLbl>
              <c:idx val="8"/>
              <c:layout>
                <c:manualLayout>
                  <c:x val="2.0964360587002098E-3"/>
                  <c:y val="-8.051910177894429E-3"/>
                </c:manualLayout>
              </c:layout>
              <c:dLblPos val="outEnd"/>
              <c:showLegendKey val="0"/>
              <c:showVal val="1"/>
              <c:showCatName val="0"/>
              <c:showSerName val="0"/>
              <c:showPercent val="0"/>
              <c:showBubbleSize val="0"/>
            </c:dLbl>
            <c:dLbl>
              <c:idx val="9"/>
              <c:layout>
                <c:manualLayout>
                  <c:x val="0"/>
                  <c:y val="2.5675123942840456E-2"/>
                </c:manualLayout>
              </c:layout>
              <c:dLblPos val="outEnd"/>
              <c:showLegendKey val="0"/>
              <c:showVal val="1"/>
              <c:showCatName val="0"/>
              <c:showSerName val="0"/>
              <c:showPercent val="0"/>
              <c:showBubbleSize val="0"/>
            </c:dLbl>
            <c:dLbl>
              <c:idx val="10"/>
              <c:layout>
                <c:manualLayout>
                  <c:x val="0"/>
                  <c:y val="-1.1708953047535746E-2"/>
                </c:manualLayout>
              </c:layout>
              <c:dLblPos val="outEnd"/>
              <c:showLegendKey val="0"/>
              <c:showVal val="1"/>
              <c:showCatName val="0"/>
              <c:showSerName val="0"/>
              <c:showPercent val="0"/>
              <c:showBubbleSize val="0"/>
            </c:dLbl>
            <c:dLbl>
              <c:idx val="11"/>
              <c:layout>
                <c:manualLayout>
                  <c:x val="0"/>
                  <c:y val="2.4739720034995645E-2"/>
                </c:manualLayout>
              </c:layout>
              <c:dLblPos val="outEnd"/>
              <c:showLegendKey val="0"/>
              <c:showVal val="1"/>
              <c:showCatName val="0"/>
              <c:showSerName val="0"/>
              <c:showPercent val="0"/>
              <c:showBubbleSize val="0"/>
            </c:dLbl>
            <c:dLbl>
              <c:idx val="12"/>
              <c:layout>
                <c:manualLayout>
                  <c:x val="-4.1928721174004195E-3"/>
                  <c:y val="-1.2681904345290172E-2"/>
                </c:manualLayout>
              </c:layout>
              <c:dLblPos val="outEnd"/>
              <c:showLegendKey val="0"/>
              <c:showVal val="1"/>
              <c:showCatName val="0"/>
              <c:showSerName val="0"/>
              <c:showPercent val="0"/>
              <c:showBubbleSize val="0"/>
            </c:dLbl>
            <c:dLbl>
              <c:idx val="13"/>
              <c:layout>
                <c:manualLayout>
                  <c:x val="2.0964360587002098E-3"/>
                  <c:y val="6.4993438320209975E-3"/>
                </c:manualLayout>
              </c:layout>
              <c:dLblPos val="outEnd"/>
              <c:showLegendKey val="0"/>
              <c:showVal val="1"/>
              <c:showCatName val="0"/>
              <c:showSerName val="0"/>
              <c:showPercent val="0"/>
              <c:showBubbleSize val="0"/>
            </c:dLbl>
            <c:dLbl>
              <c:idx val="14"/>
              <c:layout>
                <c:manualLayout>
                  <c:x val="2.0964360587002098E-3"/>
                  <c:y val="2.4119641294838144E-2"/>
                </c:manualLayout>
              </c:layout>
              <c:dLblPos val="outEnd"/>
              <c:showLegendKey val="0"/>
              <c:showVal val="1"/>
              <c:showCatName val="0"/>
              <c:showSerName val="0"/>
              <c:showPercent val="0"/>
              <c:showBubbleSize val="0"/>
            </c:dLbl>
            <c:dLbl>
              <c:idx val="15"/>
              <c:layout>
                <c:manualLayout>
                  <c:x val="6.2893081761006293E-3"/>
                  <c:y val="6.5742198891805187E-2"/>
                </c:manualLayout>
              </c:layout>
              <c:dLblPos val="outEnd"/>
              <c:showLegendKey val="0"/>
              <c:showVal val="1"/>
              <c:showCatName val="0"/>
              <c:showSerName val="0"/>
              <c:showPercent val="0"/>
              <c:showBubbleSize val="0"/>
            </c:dLbl>
            <c:dLbl>
              <c:idx val="16"/>
              <c:layout>
                <c:manualLayout>
                  <c:x val="6.2893081761006293E-3"/>
                  <c:y val="0.12554644211140273"/>
                </c:manualLayout>
              </c:layout>
              <c:dLblPos val="outEnd"/>
              <c:showLegendKey val="0"/>
              <c:showVal val="1"/>
              <c:showCatName val="0"/>
              <c:showSerName val="0"/>
              <c:showPercent val="0"/>
              <c:showBubbleSize val="0"/>
            </c:dLbl>
            <c:dLbl>
              <c:idx val="17"/>
              <c:layout>
                <c:manualLayout>
                  <c:x val="4.1928721174004195E-3"/>
                  <c:y val="7.1506270049577131E-2"/>
                </c:manualLayout>
              </c:layout>
              <c:dLblPos val="outEnd"/>
              <c:showLegendKey val="0"/>
              <c:showVal val="1"/>
              <c:showCatName val="0"/>
              <c:showSerName val="0"/>
              <c:showPercent val="0"/>
              <c:showBubbleSize val="0"/>
            </c:dLbl>
            <c:dLbl>
              <c:idx val="18"/>
              <c:layout>
                <c:manualLayout>
                  <c:x val="8.3855791610954293E-3"/>
                  <c:y val="0.12207822980460775"/>
                </c:manualLayout>
              </c:layout>
              <c:dLblPos val="outEnd"/>
              <c:showLegendKey val="0"/>
              <c:showVal val="1"/>
              <c:showCatName val="0"/>
              <c:showSerName val="0"/>
              <c:showPercent val="0"/>
              <c:showBubbleSize val="0"/>
            </c:dLbl>
            <c:dLbl>
              <c:idx val="19"/>
              <c:layout>
                <c:manualLayout>
                  <c:x val="2.0964360587002098E-3"/>
                  <c:y val="7.9699620880723243E-2"/>
                </c:manualLayout>
              </c:layout>
              <c:dLblPos val="outEnd"/>
              <c:showLegendKey val="0"/>
              <c:showVal val="1"/>
              <c:showCatName val="0"/>
              <c:showSerName val="0"/>
              <c:showPercent val="0"/>
              <c:showBubbleSize val="0"/>
            </c:dLbl>
            <c:dLbl>
              <c:idx val="20"/>
              <c:layout>
                <c:manualLayout>
                  <c:x val="0"/>
                  <c:y val="0.15738225430154565"/>
                </c:manualLayout>
              </c:layout>
              <c:dLblPos val="outEnd"/>
              <c:showLegendKey val="0"/>
              <c:showVal val="1"/>
              <c:showCatName val="0"/>
              <c:showSerName val="0"/>
              <c:showPercent val="0"/>
              <c:showBubbleSize val="0"/>
            </c:dLbl>
            <c:dLbl>
              <c:idx val="21"/>
              <c:layout>
                <c:manualLayout>
                  <c:x val="0"/>
                  <c:y val="8.7553222513852433E-2"/>
                </c:manualLayout>
              </c:layout>
              <c:dLblPos val="outEnd"/>
              <c:showLegendKey val="0"/>
              <c:showVal val="1"/>
              <c:showCatName val="0"/>
              <c:showSerName val="0"/>
              <c:showPercent val="0"/>
              <c:showBubbleSize val="0"/>
            </c:dLbl>
            <c:dLbl>
              <c:idx val="22"/>
              <c:layout>
                <c:manualLayout>
                  <c:x val="0"/>
                  <c:y val="0.14775554097404492"/>
                </c:manualLayout>
              </c:layout>
              <c:dLblPos val="outEnd"/>
              <c:showLegendKey val="0"/>
              <c:showVal val="1"/>
              <c:showCatName val="0"/>
              <c:showSerName val="0"/>
              <c:showPercent val="0"/>
              <c:showBubbleSize val="0"/>
            </c:dLbl>
            <c:dLbl>
              <c:idx val="23"/>
              <c:layout>
                <c:manualLayout>
                  <c:x val="-2.0964360587002098E-3"/>
                  <c:y val="8.9148075240594968E-2"/>
                </c:manualLayout>
              </c:layout>
              <c:dLblPos val="outEnd"/>
              <c:showLegendKey val="0"/>
              <c:showVal val="1"/>
              <c:showCatName val="0"/>
              <c:showSerName val="0"/>
              <c:showPercent val="0"/>
              <c:showBubbleSize val="0"/>
            </c:dLbl>
            <c:dLbl>
              <c:idx val="24"/>
              <c:layout>
                <c:manualLayout>
                  <c:x val="2.0964360587002098E-3"/>
                  <c:y val="0.13961431904345289"/>
                </c:manualLayout>
              </c:layout>
              <c:dLblPos val="outEnd"/>
              <c:showLegendKey val="0"/>
              <c:showVal val="1"/>
              <c:showCatName val="0"/>
              <c:showSerName val="0"/>
              <c:showPercent val="0"/>
              <c:showBubbleSize val="0"/>
            </c:dLbl>
            <c:dLbl>
              <c:idx val="25"/>
              <c:layout>
                <c:manualLayout>
                  <c:x val="0"/>
                  <c:y val="8.4948235637212016E-2"/>
                </c:manualLayout>
              </c:layout>
              <c:dLblPos val="outEnd"/>
              <c:showLegendKey val="0"/>
              <c:showVal val="1"/>
              <c:showCatName val="0"/>
              <c:showSerName val="0"/>
              <c:showPercent val="0"/>
              <c:showBubbleSize val="0"/>
            </c:dLbl>
            <c:dLbl>
              <c:idx val="26"/>
              <c:layout>
                <c:manualLayout>
                  <c:x val="4.1928721174004195E-3"/>
                  <c:y val="0.15210885097696122"/>
                </c:manualLayout>
              </c:layout>
              <c:dLblPos val="outEnd"/>
              <c:showLegendKey val="0"/>
              <c:showVal val="1"/>
              <c:showCatName val="0"/>
              <c:showSerName val="0"/>
              <c:showPercent val="0"/>
              <c:showBubbleSize val="0"/>
            </c:dLbl>
            <c:dLbl>
              <c:idx val="27"/>
              <c:layout>
                <c:manualLayout>
                  <c:x val="2.0964360587002098E-3"/>
                  <c:y val="8.3431393992417613E-2"/>
                </c:manualLayout>
              </c:layout>
              <c:dLblPos val="outEnd"/>
              <c:showLegendKey val="0"/>
              <c:showVal val="1"/>
              <c:showCatName val="0"/>
              <c:showSerName val="0"/>
              <c:showPercent val="0"/>
              <c:showBubbleSize val="0"/>
            </c:dLbl>
            <c:txPr>
              <a:bodyPr/>
              <a:lstStyle/>
              <a:p>
                <a:pPr>
                  <a:defRPr>
                    <a:solidFill>
                      <a:schemeClr val="tx2"/>
                    </a:solidFill>
                  </a:defRPr>
                </a:pPr>
                <a:endParaRPr lang="lt-LT"/>
              </a:p>
            </c:txPr>
            <c:dLblPos val="ctr"/>
            <c:showLegendKey val="0"/>
            <c:showVal val="1"/>
            <c:showCatName val="0"/>
            <c:showSerName val="0"/>
            <c:showPercent val="0"/>
            <c:showBubbleSize val="0"/>
            <c:showLeaderLines val="0"/>
          </c:dLbls>
          <c:cat>
            <c:strRef>
              <c:f>'Mokėjimų grafikas'!$M$3:$M$30</c:f>
              <c:strCache>
                <c:ptCount val="28"/>
                <c:pt idx="0">
                  <c:v>Graikija</c:v>
                </c:pt>
                <c:pt idx="1">
                  <c:v>Liuksemburgas</c:v>
                </c:pt>
                <c:pt idx="2">
                  <c:v>Suomija</c:v>
                </c:pt>
                <c:pt idx="3">
                  <c:v>Estija</c:v>
                </c:pt>
                <c:pt idx="4">
                  <c:v>Lenkija</c:v>
                </c:pt>
                <c:pt idx="5">
                  <c:v>Lietuva</c:v>
                </c:pt>
                <c:pt idx="6">
                  <c:v>Vengrija</c:v>
                </c:pt>
                <c:pt idx="7">
                  <c:v>Portugalija</c:v>
                </c:pt>
                <c:pt idx="8">
                  <c:v>Slovėnija</c:v>
                </c:pt>
                <c:pt idx="9">
                  <c:v>Kipras</c:v>
                </c:pt>
                <c:pt idx="10">
                  <c:v>Čekija</c:v>
                </c:pt>
                <c:pt idx="11">
                  <c:v>Airija</c:v>
                </c:pt>
                <c:pt idx="12">
                  <c:v>Latvija</c:v>
                </c:pt>
                <c:pt idx="13">
                  <c:v>Austrija</c:v>
                </c:pt>
                <c:pt idx="14">
                  <c:v>Švedija</c:v>
                </c:pt>
                <c:pt idx="15">
                  <c:v>Prancūzija</c:v>
                </c:pt>
                <c:pt idx="16">
                  <c:v>Vokietija</c:v>
                </c:pt>
                <c:pt idx="17">
                  <c:v>Bulgarija</c:v>
                </c:pt>
                <c:pt idx="18">
                  <c:v>Danija</c:v>
                </c:pt>
                <c:pt idx="19">
                  <c:v>Italija</c:v>
                </c:pt>
                <c:pt idx="20">
                  <c:v>Belgija</c:v>
                </c:pt>
                <c:pt idx="21">
                  <c:v>Nyderlandai</c:v>
                </c:pt>
                <c:pt idx="22">
                  <c:v>D. Britanija</c:v>
                </c:pt>
                <c:pt idx="23">
                  <c:v>Ispanija</c:v>
                </c:pt>
                <c:pt idx="24">
                  <c:v>Malta</c:v>
                </c:pt>
                <c:pt idx="25">
                  <c:v>Slovakija</c:v>
                </c:pt>
                <c:pt idx="26">
                  <c:v>Rumunija</c:v>
                </c:pt>
                <c:pt idx="27">
                  <c:v>Kroatija</c:v>
                </c:pt>
              </c:strCache>
            </c:strRef>
          </c:cat>
          <c:val>
            <c:numRef>
              <c:f>'Mokėjimų grafikas'!$N$3:$N$30</c:f>
              <c:numCache>
                <c:formatCode>0%</c:formatCode>
                <c:ptCount val="28"/>
                <c:pt idx="0">
                  <c:v>0.7118737927334009</c:v>
                </c:pt>
                <c:pt idx="1">
                  <c:v>0.66600155425013996</c:v>
                </c:pt>
                <c:pt idx="2">
                  <c:v>0.65372122626799856</c:v>
                </c:pt>
                <c:pt idx="3">
                  <c:v>0.63129334077918964</c:v>
                </c:pt>
                <c:pt idx="4">
                  <c:v>0.62545840330488334</c:v>
                </c:pt>
                <c:pt idx="5">
                  <c:v>0.61580941551143742</c:v>
                </c:pt>
                <c:pt idx="6">
                  <c:v>0.61616837155072746</c:v>
                </c:pt>
                <c:pt idx="7">
                  <c:v>0.61683239230801978</c:v>
                </c:pt>
                <c:pt idx="8">
                  <c:v>0.60431975400441063</c:v>
                </c:pt>
                <c:pt idx="9">
                  <c:v>0.59561951224978293</c:v>
                </c:pt>
                <c:pt idx="10">
                  <c:v>0.5947064113680981</c:v>
                </c:pt>
                <c:pt idx="11">
                  <c:v>0.59316007028880735</c:v>
                </c:pt>
                <c:pt idx="12">
                  <c:v>0.5921495331052028</c:v>
                </c:pt>
                <c:pt idx="13">
                  <c:v>0.56955328849212228</c:v>
                </c:pt>
                <c:pt idx="14">
                  <c:v>0.55502115516699424</c:v>
                </c:pt>
                <c:pt idx="15">
                  <c:v>0.53056610290290518</c:v>
                </c:pt>
                <c:pt idx="16">
                  <c:v>0.51739603671126377</c:v>
                </c:pt>
                <c:pt idx="17">
                  <c:v>0.52137926175384086</c:v>
                </c:pt>
                <c:pt idx="18">
                  <c:v>0.50827886498532149</c:v>
                </c:pt>
                <c:pt idx="19">
                  <c:v>0.50640862201664094</c:v>
                </c:pt>
                <c:pt idx="20">
                  <c:v>0.5037234874435137</c:v>
                </c:pt>
                <c:pt idx="21">
                  <c:v>0.490543489050974</c:v>
                </c:pt>
                <c:pt idx="22">
                  <c:v>0.47841831280355174</c:v>
                </c:pt>
                <c:pt idx="23">
                  <c:v>0.47039639296115232</c:v>
                </c:pt>
                <c:pt idx="24">
                  <c:v>0.45701845630620702</c:v>
                </c:pt>
                <c:pt idx="25">
                  <c:v>0.45935654079217342</c:v>
                </c:pt>
                <c:pt idx="26">
                  <c:v>0.44118370586418165</c:v>
                </c:pt>
                <c:pt idx="27">
                  <c:v>0.41886080762219879</c:v>
                </c:pt>
              </c:numCache>
            </c:numRef>
          </c:val>
        </c:ser>
        <c:dLbls>
          <c:showLegendKey val="0"/>
          <c:showVal val="0"/>
          <c:showCatName val="0"/>
          <c:showSerName val="0"/>
          <c:showPercent val="0"/>
          <c:showBubbleSize val="0"/>
        </c:dLbls>
        <c:gapWidth val="56"/>
        <c:axId val="100762752"/>
        <c:axId val="100764288"/>
      </c:barChart>
      <c:lineChart>
        <c:grouping val="standard"/>
        <c:varyColors val="0"/>
        <c:ser>
          <c:idx val="1"/>
          <c:order val="1"/>
          <c:spPr>
            <a:ln w="19050">
              <a:solidFill>
                <a:schemeClr val="accent6">
                  <a:lumMod val="75000"/>
                </a:schemeClr>
              </a:solidFill>
              <a:prstDash val="lgDash"/>
            </a:ln>
          </c:spPr>
          <c:marker>
            <c:symbol val="none"/>
          </c:marker>
          <c:cat>
            <c:strRef>
              <c:f>'Mokėjimų grafikas'!$M$3:$M$30</c:f>
              <c:strCache>
                <c:ptCount val="28"/>
                <c:pt idx="0">
                  <c:v>Graikija</c:v>
                </c:pt>
                <c:pt idx="1">
                  <c:v>Liuksemburgas</c:v>
                </c:pt>
                <c:pt idx="2">
                  <c:v>Suomija</c:v>
                </c:pt>
                <c:pt idx="3">
                  <c:v>Estija</c:v>
                </c:pt>
                <c:pt idx="4">
                  <c:v>Lenkija</c:v>
                </c:pt>
                <c:pt idx="5">
                  <c:v>Lietuva</c:v>
                </c:pt>
                <c:pt idx="6">
                  <c:v>Vengrija</c:v>
                </c:pt>
                <c:pt idx="7">
                  <c:v>Portugalija</c:v>
                </c:pt>
                <c:pt idx="8">
                  <c:v>Slovėnija</c:v>
                </c:pt>
                <c:pt idx="9">
                  <c:v>Kipras</c:v>
                </c:pt>
                <c:pt idx="10">
                  <c:v>Čekija</c:v>
                </c:pt>
                <c:pt idx="11">
                  <c:v>Airija</c:v>
                </c:pt>
                <c:pt idx="12">
                  <c:v>Latvija</c:v>
                </c:pt>
                <c:pt idx="13">
                  <c:v>Austrija</c:v>
                </c:pt>
                <c:pt idx="14">
                  <c:v>Švedija</c:v>
                </c:pt>
                <c:pt idx="15">
                  <c:v>Prancūzija</c:v>
                </c:pt>
                <c:pt idx="16">
                  <c:v>Vokietija</c:v>
                </c:pt>
                <c:pt idx="17">
                  <c:v>Bulgarija</c:v>
                </c:pt>
                <c:pt idx="18">
                  <c:v>Danija</c:v>
                </c:pt>
                <c:pt idx="19">
                  <c:v>Italija</c:v>
                </c:pt>
                <c:pt idx="20">
                  <c:v>Belgija</c:v>
                </c:pt>
                <c:pt idx="21">
                  <c:v>Nyderlandai</c:v>
                </c:pt>
                <c:pt idx="22">
                  <c:v>D. Britanija</c:v>
                </c:pt>
                <c:pt idx="23">
                  <c:v>Ispanija</c:v>
                </c:pt>
                <c:pt idx="24">
                  <c:v>Malta</c:v>
                </c:pt>
                <c:pt idx="25">
                  <c:v>Slovakija</c:v>
                </c:pt>
                <c:pt idx="26">
                  <c:v>Rumunija</c:v>
                </c:pt>
                <c:pt idx="27">
                  <c:v>Kroatija</c:v>
                </c:pt>
              </c:strCache>
            </c:strRef>
          </c:cat>
          <c:val>
            <c:numRef>
              <c:f>'Mokėjimų grafikas'!$O$3:$O$30</c:f>
              <c:numCache>
                <c:formatCode>0%</c:formatCode>
                <c:ptCount val="28"/>
                <c:pt idx="0">
                  <c:v>0.55635755868875114</c:v>
                </c:pt>
                <c:pt idx="1">
                  <c:v>0.55635755868875114</c:v>
                </c:pt>
                <c:pt idx="2">
                  <c:v>0.55635755868875114</c:v>
                </c:pt>
                <c:pt idx="3">
                  <c:v>0.55635755868875114</c:v>
                </c:pt>
                <c:pt idx="4">
                  <c:v>0.55635755868875114</c:v>
                </c:pt>
                <c:pt idx="5">
                  <c:v>0.55635755868875114</c:v>
                </c:pt>
                <c:pt idx="6">
                  <c:v>0.55635755868875114</c:v>
                </c:pt>
                <c:pt idx="7">
                  <c:v>0.55635755868875114</c:v>
                </c:pt>
                <c:pt idx="8">
                  <c:v>0.55635755868875114</c:v>
                </c:pt>
                <c:pt idx="9">
                  <c:v>0.55635755868875114</c:v>
                </c:pt>
                <c:pt idx="10">
                  <c:v>0.55635755868875114</c:v>
                </c:pt>
                <c:pt idx="11">
                  <c:v>0.55635755868875114</c:v>
                </c:pt>
                <c:pt idx="12">
                  <c:v>0.55635755868875114</c:v>
                </c:pt>
                <c:pt idx="13">
                  <c:v>0.55635755868875114</c:v>
                </c:pt>
                <c:pt idx="14">
                  <c:v>0.55635755868875114</c:v>
                </c:pt>
                <c:pt idx="15">
                  <c:v>0.55635755868875114</c:v>
                </c:pt>
                <c:pt idx="16">
                  <c:v>0.55635755868875114</c:v>
                </c:pt>
                <c:pt idx="17">
                  <c:v>0.55635755868875114</c:v>
                </c:pt>
                <c:pt idx="18">
                  <c:v>0.55635755868875114</c:v>
                </c:pt>
                <c:pt idx="19">
                  <c:v>0.55635755868875114</c:v>
                </c:pt>
                <c:pt idx="20">
                  <c:v>0.55635755868875114</c:v>
                </c:pt>
                <c:pt idx="21">
                  <c:v>0.55635755868875114</c:v>
                </c:pt>
                <c:pt idx="22">
                  <c:v>0.55635755868875114</c:v>
                </c:pt>
                <c:pt idx="23">
                  <c:v>0.55635755868875114</c:v>
                </c:pt>
                <c:pt idx="24">
                  <c:v>0.55635755868875114</c:v>
                </c:pt>
                <c:pt idx="25">
                  <c:v>0.55635755868875114</c:v>
                </c:pt>
                <c:pt idx="26">
                  <c:v>0.55635755868875114</c:v>
                </c:pt>
                <c:pt idx="27">
                  <c:v>0.55635755868875114</c:v>
                </c:pt>
              </c:numCache>
            </c:numRef>
          </c:val>
          <c:smooth val="0"/>
        </c:ser>
        <c:dLbls>
          <c:showLegendKey val="0"/>
          <c:showVal val="0"/>
          <c:showCatName val="0"/>
          <c:showSerName val="0"/>
          <c:showPercent val="0"/>
          <c:showBubbleSize val="0"/>
        </c:dLbls>
        <c:marker val="1"/>
        <c:smooth val="0"/>
        <c:axId val="100762752"/>
        <c:axId val="100764288"/>
      </c:lineChart>
      <c:catAx>
        <c:axId val="100762752"/>
        <c:scaling>
          <c:orientation val="minMax"/>
        </c:scaling>
        <c:delete val="0"/>
        <c:axPos val="b"/>
        <c:majorTickMark val="out"/>
        <c:minorTickMark val="none"/>
        <c:tickLblPos val="nextTo"/>
        <c:txPr>
          <a:bodyPr/>
          <a:lstStyle/>
          <a:p>
            <a:pPr>
              <a:defRPr>
                <a:solidFill>
                  <a:schemeClr val="tx1">
                    <a:lumMod val="65000"/>
                    <a:lumOff val="35000"/>
                  </a:schemeClr>
                </a:solidFill>
              </a:defRPr>
            </a:pPr>
            <a:endParaRPr lang="lt-LT"/>
          </a:p>
        </c:txPr>
        <c:crossAx val="100764288"/>
        <c:crosses val="autoZero"/>
        <c:auto val="1"/>
        <c:lblAlgn val="ctr"/>
        <c:lblOffset val="100"/>
        <c:noMultiLvlLbl val="0"/>
      </c:catAx>
      <c:valAx>
        <c:axId val="100764288"/>
        <c:scaling>
          <c:orientation val="minMax"/>
        </c:scaling>
        <c:delete val="0"/>
        <c:axPos val="l"/>
        <c:numFmt formatCode="0%" sourceLinked="1"/>
        <c:majorTickMark val="out"/>
        <c:minorTickMark val="none"/>
        <c:tickLblPos val="nextTo"/>
        <c:txPr>
          <a:bodyPr/>
          <a:lstStyle/>
          <a:p>
            <a:pPr>
              <a:defRPr>
                <a:solidFill>
                  <a:schemeClr val="tx1">
                    <a:lumMod val="65000"/>
                    <a:lumOff val="35000"/>
                  </a:schemeClr>
                </a:solidFill>
              </a:defRPr>
            </a:pPr>
            <a:endParaRPr lang="lt-LT"/>
          </a:p>
        </c:txPr>
        <c:crossAx val="10076275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202050982017338"/>
          <c:h val="0.32068366454193226"/>
        </c:manualLayout>
      </c:layout>
      <c:barChart>
        <c:barDir val="bar"/>
        <c:grouping val="clustered"/>
        <c:varyColors val="0"/>
        <c:ser>
          <c:idx val="0"/>
          <c:order val="0"/>
          <c:tx>
            <c:strRef>
              <c:f>'[2021 m. I ketv. finans duom.xlsx]minist pagal prior'!$M$22</c:f>
              <c:strCache>
                <c:ptCount val="1"/>
                <c:pt idx="0">
                  <c:v>Nepaskirta projektams</c:v>
                </c:pt>
              </c:strCache>
            </c:strRef>
          </c:tx>
          <c:spPr>
            <a:solidFill>
              <a:schemeClr val="bg1">
                <a:lumMod val="85000"/>
              </a:schemeClr>
            </a:solidFill>
            <a:ln>
              <a:noFill/>
            </a:ln>
          </c:spPr>
          <c:invertIfNegative val="0"/>
          <c:cat>
            <c:strRef>
              <c:f>'[2021 m. I ketv. finans duom.xlsx]minist pagal prior'!$L$23</c:f>
              <c:strCache>
                <c:ptCount val="1"/>
                <c:pt idx="0">
                  <c:v>AM, ERPF</c:v>
                </c:pt>
              </c:strCache>
            </c:strRef>
          </c:cat>
          <c:val>
            <c:numRef>
              <c:f>'[2021 m. I ketv. finans duom.xlsx]minist pagal prior'!$M$23</c:f>
              <c:numCache>
                <c:formatCode>0%</c:formatCode>
                <c:ptCount val="1"/>
                <c:pt idx="0">
                  <c:v>1</c:v>
                </c:pt>
              </c:numCache>
            </c:numRef>
          </c:val>
        </c:ser>
        <c:ser>
          <c:idx val="2"/>
          <c:order val="1"/>
          <c:tx>
            <c:strRef>
              <c:f>'[2021 m. I ketv. finans duom.xlsx]minist pagal prior'!$N$22</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prior'!$L$23</c:f>
              <c:strCache>
                <c:ptCount val="1"/>
                <c:pt idx="0">
                  <c:v>AM, ERPF</c:v>
                </c:pt>
              </c:strCache>
            </c:strRef>
          </c:cat>
          <c:val>
            <c:numRef>
              <c:f>'[2021 m. I ketv. finans duom.xlsx]minist pagal prior'!$N$23</c:f>
              <c:numCache>
                <c:formatCode>0%</c:formatCode>
                <c:ptCount val="1"/>
                <c:pt idx="0">
                  <c:v>0.99997667499226728</c:v>
                </c:pt>
              </c:numCache>
            </c:numRef>
          </c:val>
        </c:ser>
        <c:ser>
          <c:idx val="3"/>
          <c:order val="2"/>
          <c:tx>
            <c:strRef>
              <c:f>'[2021 m. I ketv. finans duom.xlsx]minist pagal prior'!$O$22</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prior'!$L$23</c:f>
              <c:strCache>
                <c:ptCount val="1"/>
                <c:pt idx="0">
                  <c:v>AM, ERPF</c:v>
                </c:pt>
              </c:strCache>
            </c:strRef>
          </c:cat>
          <c:val>
            <c:numRef>
              <c:f>'[2021 m. I ketv. finans duom.xlsx]minist pagal prior'!$O$23</c:f>
              <c:numCache>
                <c:formatCode>0%</c:formatCode>
                <c:ptCount val="1"/>
                <c:pt idx="0">
                  <c:v>0.88926693473553975</c:v>
                </c:pt>
              </c:numCache>
            </c:numRef>
          </c:val>
        </c:ser>
        <c:dLbls>
          <c:showLegendKey val="0"/>
          <c:showVal val="0"/>
          <c:showCatName val="0"/>
          <c:showSerName val="0"/>
          <c:showPercent val="0"/>
          <c:showBubbleSize val="0"/>
        </c:dLbls>
        <c:gapWidth val="115"/>
        <c:overlap val="100"/>
        <c:axId val="106484480"/>
        <c:axId val="106486016"/>
      </c:barChart>
      <c:catAx>
        <c:axId val="106484480"/>
        <c:scaling>
          <c:orientation val="minMax"/>
        </c:scaling>
        <c:delete val="0"/>
        <c:axPos val="l"/>
        <c:numFmt formatCode="General" sourceLinked="0"/>
        <c:majorTickMark val="out"/>
        <c:minorTickMark val="none"/>
        <c:tickLblPos val="nextTo"/>
        <c:crossAx val="106486016"/>
        <c:crosses val="autoZero"/>
        <c:auto val="1"/>
        <c:lblAlgn val="ctr"/>
        <c:lblOffset val="100"/>
        <c:noMultiLvlLbl val="0"/>
      </c:catAx>
      <c:valAx>
        <c:axId val="106486016"/>
        <c:scaling>
          <c:orientation val="minMax"/>
          <c:max val="1.1000000000000001"/>
          <c:min val="0"/>
        </c:scaling>
        <c:delete val="0"/>
        <c:axPos val="b"/>
        <c:majorGridlines/>
        <c:numFmt formatCode="0%" sourceLinked="1"/>
        <c:majorTickMark val="out"/>
        <c:minorTickMark val="none"/>
        <c:tickLblPos val="nextTo"/>
        <c:crossAx val="106484480"/>
        <c:crosses val="autoZero"/>
        <c:crossBetween val="between"/>
        <c:majorUnit val="0.2"/>
      </c:valAx>
    </c:plotArea>
    <c:legend>
      <c:legendPos val="b"/>
      <c:layout>
        <c:manualLayout>
          <c:xMode val="edge"/>
          <c:yMode val="edge"/>
          <c:x val="7.8171830688346614E-2"/>
          <c:y val="0.78020622422197228"/>
          <c:w val="0.83952837164704253"/>
          <c:h val="0.18878765154355706"/>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0995652633204129"/>
          <c:h val="0.48342685319674839"/>
        </c:manualLayout>
      </c:layout>
      <c:barChart>
        <c:barDir val="bar"/>
        <c:grouping val="clustered"/>
        <c:varyColors val="0"/>
        <c:ser>
          <c:idx val="0"/>
          <c:order val="0"/>
          <c:tx>
            <c:strRef>
              <c:f>'[2021 m. I ketv. finans duom.xlsx]minist pagal prior'!$M$27</c:f>
              <c:strCache>
                <c:ptCount val="1"/>
                <c:pt idx="0">
                  <c:v>Nepaskirta projektams</c:v>
                </c:pt>
              </c:strCache>
            </c:strRef>
          </c:tx>
          <c:spPr>
            <a:solidFill>
              <a:schemeClr val="bg1">
                <a:lumMod val="85000"/>
              </a:schemeClr>
            </a:solidFill>
            <a:ln w="38100">
              <a:noFill/>
            </a:ln>
          </c:spPr>
          <c:invertIfNegative val="0"/>
          <c:cat>
            <c:strRef>
              <c:f>'[2021 m. I ketv. finans duom.xlsx]minist pagal prior'!$L$28:$L$29</c:f>
              <c:strCache>
                <c:ptCount val="2"/>
                <c:pt idx="0">
                  <c:v>EM, SaF</c:v>
                </c:pt>
                <c:pt idx="1">
                  <c:v>EM, ERPF</c:v>
                </c:pt>
              </c:strCache>
            </c:strRef>
          </c:cat>
          <c:val>
            <c:numRef>
              <c:f>'[2021 m. I ketv. finans duom.xlsx]minist pagal prior'!$M$28:$M$29</c:f>
              <c:numCache>
                <c:formatCode>0%</c:formatCode>
                <c:ptCount val="2"/>
                <c:pt idx="0">
                  <c:v>1</c:v>
                </c:pt>
                <c:pt idx="1">
                  <c:v>1</c:v>
                </c:pt>
              </c:numCache>
            </c:numRef>
          </c:val>
        </c:ser>
        <c:ser>
          <c:idx val="2"/>
          <c:order val="1"/>
          <c:tx>
            <c:strRef>
              <c:f>'[2021 m. I ketv. finans duom.xlsx]minist pagal prior'!$N$27</c:f>
              <c:strCache>
                <c:ptCount val="1"/>
                <c:pt idx="0">
                  <c:v>Sudaryta sutarčių</c:v>
                </c:pt>
              </c:strCache>
            </c:strRef>
          </c:tx>
          <c:spPr>
            <a:solidFill>
              <a:schemeClr val="accent1"/>
            </a:solidFill>
            <a:ln w="50800">
              <a:solidFill>
                <a:schemeClr val="accent1"/>
              </a:solidFill>
            </a:ln>
          </c:spPr>
          <c:invertIfNegative val="0"/>
          <c:dLbls>
            <c:dLbl>
              <c:idx val="0"/>
              <c:layout>
                <c:manualLayout>
                  <c:x val="-6.4115453060627478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layout>
                <c:manualLayout>
                  <c:x val="-5.7923502596231198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prior'!$L$28:$L$29</c:f>
              <c:strCache>
                <c:ptCount val="2"/>
                <c:pt idx="0">
                  <c:v>EM, SaF</c:v>
                </c:pt>
                <c:pt idx="1">
                  <c:v>EM, ERPF</c:v>
                </c:pt>
              </c:strCache>
            </c:strRef>
          </c:cat>
          <c:val>
            <c:numRef>
              <c:f>'[2021 m. I ketv. finans duom.xlsx]minist pagal prior'!$N$28:$N$29</c:f>
              <c:numCache>
                <c:formatCode>0%</c:formatCode>
                <c:ptCount val="2"/>
                <c:pt idx="0">
                  <c:v>1.1136490302689608</c:v>
                </c:pt>
                <c:pt idx="1">
                  <c:v>1.8332022808395927</c:v>
                </c:pt>
              </c:numCache>
            </c:numRef>
          </c:val>
        </c:ser>
        <c:ser>
          <c:idx val="3"/>
          <c:order val="2"/>
          <c:tx>
            <c:strRef>
              <c:f>'[2021 m. I ketv. finans duom.xlsx]minist pagal prior'!$O$27</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prior'!$L$28:$L$29</c:f>
              <c:strCache>
                <c:ptCount val="2"/>
                <c:pt idx="0">
                  <c:v>EM, SaF</c:v>
                </c:pt>
                <c:pt idx="1">
                  <c:v>EM, ERPF</c:v>
                </c:pt>
              </c:strCache>
            </c:strRef>
          </c:cat>
          <c:val>
            <c:numRef>
              <c:f>'[2021 m. I ketv. finans duom.xlsx]minist pagal prior'!$O$28:$O$29</c:f>
              <c:numCache>
                <c:formatCode>0%</c:formatCode>
                <c:ptCount val="2"/>
                <c:pt idx="0">
                  <c:v>0.62171416109591171</c:v>
                </c:pt>
                <c:pt idx="1">
                  <c:v>0.30273257189687547</c:v>
                </c:pt>
              </c:numCache>
            </c:numRef>
          </c:val>
        </c:ser>
        <c:dLbls>
          <c:showLegendKey val="0"/>
          <c:showVal val="0"/>
          <c:showCatName val="0"/>
          <c:showSerName val="0"/>
          <c:showPercent val="0"/>
          <c:showBubbleSize val="0"/>
        </c:dLbls>
        <c:gapWidth val="114"/>
        <c:overlap val="100"/>
        <c:axId val="106598784"/>
        <c:axId val="106600320"/>
      </c:barChart>
      <c:catAx>
        <c:axId val="106598784"/>
        <c:scaling>
          <c:orientation val="minMax"/>
        </c:scaling>
        <c:delete val="0"/>
        <c:axPos val="l"/>
        <c:numFmt formatCode="General" sourceLinked="0"/>
        <c:majorTickMark val="out"/>
        <c:minorTickMark val="none"/>
        <c:tickLblPos val="nextTo"/>
        <c:crossAx val="106600320"/>
        <c:crosses val="autoZero"/>
        <c:auto val="1"/>
        <c:lblAlgn val="ctr"/>
        <c:lblOffset val="100"/>
        <c:noMultiLvlLbl val="0"/>
      </c:catAx>
      <c:valAx>
        <c:axId val="106600320"/>
        <c:scaling>
          <c:orientation val="minMax"/>
          <c:max val="1.1500000000000001"/>
          <c:min val="0"/>
        </c:scaling>
        <c:delete val="0"/>
        <c:axPos val="b"/>
        <c:majorGridlines/>
        <c:numFmt formatCode="0%" sourceLinked="1"/>
        <c:majorTickMark val="out"/>
        <c:minorTickMark val="none"/>
        <c:tickLblPos val="nextTo"/>
        <c:crossAx val="106598784"/>
        <c:crosses val="autoZero"/>
        <c:crossBetween val="between"/>
        <c:majorUnit val="0.2"/>
      </c:valAx>
    </c:plotArea>
    <c:legend>
      <c:legendPos val="b"/>
      <c:layout>
        <c:manualLayout>
          <c:xMode val="edge"/>
          <c:yMode val="edge"/>
          <c:x val="7.8171830688346614E-2"/>
          <c:y val="0.80797900262467193"/>
          <c:w val="0.83952837164704253"/>
          <c:h val="0.18690349752792529"/>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3435913946670612"/>
        </c:manualLayout>
      </c:layout>
      <c:barChart>
        <c:barDir val="bar"/>
        <c:grouping val="clustered"/>
        <c:varyColors val="0"/>
        <c:ser>
          <c:idx val="0"/>
          <c:order val="0"/>
          <c:tx>
            <c:strRef>
              <c:f>'[2021 m. I ketv. finans duom.xlsx]minist pagal prior'!$M$33</c:f>
              <c:strCache>
                <c:ptCount val="1"/>
                <c:pt idx="0">
                  <c:v>Nepaskirta projektams</c:v>
                </c:pt>
              </c:strCache>
            </c:strRef>
          </c:tx>
          <c:spPr>
            <a:solidFill>
              <a:schemeClr val="bg1">
                <a:lumMod val="85000"/>
              </a:schemeClr>
            </a:solidFill>
            <a:ln w="38100">
              <a:noFill/>
            </a:ln>
          </c:spPr>
          <c:invertIfNegative val="0"/>
          <c:dLbls>
            <c:dLbl>
              <c:idx val="0"/>
              <c:layout>
                <c:manualLayout>
                  <c:x val="-5.159958720330237E-2"/>
                  <c:y val="0"/>
                </c:manualLayout>
              </c:layout>
              <c:tx>
                <c:rich>
                  <a:bodyPr/>
                  <a:lstStyle/>
                  <a:p>
                    <a:r>
                      <a:rPr lang="en-US">
                        <a:solidFill>
                          <a:schemeClr val="tx1">
                            <a:lumMod val="50000"/>
                            <a:lumOff val="50000"/>
                          </a:schemeClr>
                        </a:solidFill>
                      </a:rPr>
                      <a:t>13%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layout>
                <c:manualLayout>
                  <c:x val="-5.3663570691434466E-2"/>
                  <c:y val="-2.1001395826917478E-2"/>
                </c:manualLayout>
              </c:layout>
              <c:tx>
                <c:rich>
                  <a:bodyPr/>
                  <a:lstStyle/>
                  <a:p>
                    <a:r>
                      <a:rPr lang="lt-LT">
                        <a:solidFill>
                          <a:schemeClr val="tx1">
                            <a:lumMod val="50000"/>
                            <a:lumOff val="50000"/>
                          </a:schemeClr>
                        </a:solidFill>
                      </a:rPr>
                      <a:t>7%</a:t>
                    </a:r>
                    <a:endParaRPr lang="lt-LT"/>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tx1">
                        <a:lumMod val="50000"/>
                        <a:lumOff val="50000"/>
                      </a:schemeClr>
                    </a:solidFil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prior'!$L$34:$L$35</c:f>
              <c:strCache>
                <c:ptCount val="2"/>
                <c:pt idx="0">
                  <c:v>SM, SaF</c:v>
                </c:pt>
                <c:pt idx="1">
                  <c:v>SM, ERPF</c:v>
                </c:pt>
              </c:strCache>
            </c:strRef>
          </c:cat>
          <c:val>
            <c:numRef>
              <c:f>'[2021 m. I ketv. finans duom.xlsx]minist pagal prior'!$M$34:$M$35</c:f>
              <c:numCache>
                <c:formatCode>0%</c:formatCode>
                <c:ptCount val="2"/>
                <c:pt idx="0">
                  <c:v>1</c:v>
                </c:pt>
                <c:pt idx="1">
                  <c:v>1</c:v>
                </c:pt>
              </c:numCache>
            </c:numRef>
          </c:val>
        </c:ser>
        <c:ser>
          <c:idx val="2"/>
          <c:order val="1"/>
          <c:tx>
            <c:strRef>
              <c:f>'[2021 m. I ketv. finans duom.xlsx]minist pagal prior'!$N$33</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prior'!$L$34:$L$35</c:f>
              <c:strCache>
                <c:ptCount val="2"/>
                <c:pt idx="0">
                  <c:v>SM, SaF</c:v>
                </c:pt>
                <c:pt idx="1">
                  <c:v>SM, ERPF</c:v>
                </c:pt>
              </c:strCache>
            </c:strRef>
          </c:cat>
          <c:val>
            <c:numRef>
              <c:f>'[2021 m. I ketv. finans duom.xlsx]minist pagal prior'!$N$34:$N$35</c:f>
              <c:numCache>
                <c:formatCode>0%</c:formatCode>
                <c:ptCount val="2"/>
                <c:pt idx="0">
                  <c:v>0.8679376951915988</c:v>
                </c:pt>
                <c:pt idx="1">
                  <c:v>0.9251067260943755</c:v>
                </c:pt>
              </c:numCache>
            </c:numRef>
          </c:val>
        </c:ser>
        <c:ser>
          <c:idx val="3"/>
          <c:order val="2"/>
          <c:tx>
            <c:strRef>
              <c:f>'[2021 m. I ketv. finans duom.xlsx]minist pagal prior'!$O$33</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prior'!$L$34:$L$35</c:f>
              <c:strCache>
                <c:ptCount val="2"/>
                <c:pt idx="0">
                  <c:v>SM, SaF</c:v>
                </c:pt>
                <c:pt idx="1">
                  <c:v>SM, ERPF</c:v>
                </c:pt>
              </c:strCache>
            </c:strRef>
          </c:cat>
          <c:val>
            <c:numRef>
              <c:f>'[2021 m. I ketv. finans duom.xlsx]minist pagal prior'!$O$34:$O$35</c:f>
              <c:numCache>
                <c:formatCode>0%</c:formatCode>
                <c:ptCount val="2"/>
                <c:pt idx="0">
                  <c:v>0.72413596826016624</c:v>
                </c:pt>
                <c:pt idx="1">
                  <c:v>0.36679711801031495</c:v>
                </c:pt>
              </c:numCache>
            </c:numRef>
          </c:val>
        </c:ser>
        <c:dLbls>
          <c:showLegendKey val="0"/>
          <c:showVal val="0"/>
          <c:showCatName val="0"/>
          <c:showSerName val="0"/>
          <c:showPercent val="0"/>
          <c:showBubbleSize val="0"/>
        </c:dLbls>
        <c:gapWidth val="121"/>
        <c:overlap val="100"/>
        <c:axId val="106656512"/>
        <c:axId val="106658048"/>
      </c:barChart>
      <c:catAx>
        <c:axId val="106656512"/>
        <c:scaling>
          <c:orientation val="minMax"/>
        </c:scaling>
        <c:delete val="0"/>
        <c:axPos val="l"/>
        <c:numFmt formatCode="General" sourceLinked="0"/>
        <c:majorTickMark val="out"/>
        <c:minorTickMark val="none"/>
        <c:tickLblPos val="nextTo"/>
        <c:crossAx val="106658048"/>
        <c:crosses val="autoZero"/>
        <c:auto val="1"/>
        <c:lblAlgn val="ctr"/>
        <c:lblOffset val="100"/>
        <c:noMultiLvlLbl val="0"/>
      </c:catAx>
      <c:valAx>
        <c:axId val="106658048"/>
        <c:scaling>
          <c:orientation val="minMax"/>
          <c:max val="1"/>
        </c:scaling>
        <c:delete val="0"/>
        <c:axPos val="b"/>
        <c:majorGridlines/>
        <c:numFmt formatCode="0%" sourceLinked="1"/>
        <c:majorTickMark val="out"/>
        <c:minorTickMark val="none"/>
        <c:tickLblPos val="nextTo"/>
        <c:crossAx val="106656512"/>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31447257157659658"/>
        </c:manualLayout>
      </c:layout>
      <c:barChart>
        <c:barDir val="bar"/>
        <c:grouping val="clustered"/>
        <c:varyColors val="0"/>
        <c:ser>
          <c:idx val="0"/>
          <c:order val="0"/>
          <c:tx>
            <c:strRef>
              <c:f>'[2021 m. I ketv. finans duom.xlsx]minist pagal prior'!$M$39</c:f>
              <c:strCache>
                <c:ptCount val="1"/>
                <c:pt idx="0">
                  <c:v>Nepaskirta projektams</c:v>
                </c:pt>
              </c:strCache>
            </c:strRef>
          </c:tx>
          <c:spPr>
            <a:solidFill>
              <a:schemeClr val="bg1">
                <a:lumMod val="85000"/>
              </a:schemeClr>
            </a:solidFill>
            <a:ln>
              <a:noFill/>
            </a:ln>
          </c:spPr>
          <c:invertIfNegative val="0"/>
          <c:cat>
            <c:strRef>
              <c:f>'[2021 m. I ketv. finans duom.xlsx]minist pagal prior'!$L$40</c:f>
              <c:strCache>
                <c:ptCount val="1"/>
                <c:pt idx="0">
                  <c:v>EIM, ERPF</c:v>
                </c:pt>
              </c:strCache>
            </c:strRef>
          </c:cat>
          <c:val>
            <c:numRef>
              <c:f>'[2021 m. I ketv. finans duom.xlsx]minist pagal prior'!$M$40</c:f>
              <c:numCache>
                <c:formatCode>0%</c:formatCode>
                <c:ptCount val="1"/>
                <c:pt idx="0">
                  <c:v>1</c:v>
                </c:pt>
              </c:numCache>
            </c:numRef>
          </c:val>
        </c:ser>
        <c:ser>
          <c:idx val="2"/>
          <c:order val="1"/>
          <c:tx>
            <c:strRef>
              <c:f>'[2021 m. I ketv. finans duom.xlsx]minist pagal prior'!$N$39</c:f>
              <c:strCache>
                <c:ptCount val="1"/>
                <c:pt idx="0">
                  <c:v>Sudaryta sutarčių</c:v>
                </c:pt>
              </c:strCache>
            </c:strRef>
          </c:tx>
          <c:spPr>
            <a:solidFill>
              <a:schemeClr val="accent1"/>
            </a:solidFill>
            <a:ln w="50800">
              <a:solidFill>
                <a:schemeClr val="accent1"/>
              </a:solidFill>
            </a:ln>
          </c:spPr>
          <c:invertIfNegative val="0"/>
          <c:dLbls>
            <c:dLbl>
              <c:idx val="0"/>
              <c:layout>
                <c:manualLayout>
                  <c:x val="-5.3795535619967007E-2"/>
                  <c:y val="-2.2598910269870136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prior'!$L$40</c:f>
              <c:strCache>
                <c:ptCount val="1"/>
                <c:pt idx="0">
                  <c:v>EIM, ERPF</c:v>
                </c:pt>
              </c:strCache>
            </c:strRef>
          </c:cat>
          <c:val>
            <c:numRef>
              <c:f>'[2021 m. I ketv. finans duom.xlsx]minist pagal prior'!$N$40</c:f>
              <c:numCache>
                <c:formatCode>0%</c:formatCode>
                <c:ptCount val="1"/>
                <c:pt idx="0">
                  <c:v>1.3080331608894478</c:v>
                </c:pt>
              </c:numCache>
            </c:numRef>
          </c:val>
        </c:ser>
        <c:ser>
          <c:idx val="3"/>
          <c:order val="2"/>
          <c:tx>
            <c:strRef>
              <c:f>'[2021 m. I ketv. finans duom.xlsx]minist pagal prior'!$O$39</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prior'!$L$40</c:f>
              <c:strCache>
                <c:ptCount val="1"/>
                <c:pt idx="0">
                  <c:v>EIM, ERPF</c:v>
                </c:pt>
              </c:strCache>
            </c:strRef>
          </c:cat>
          <c:val>
            <c:numRef>
              <c:f>'[2021 m. I ketv. finans duom.xlsx]minist pagal prior'!$O$40</c:f>
              <c:numCache>
                <c:formatCode>0%</c:formatCode>
                <c:ptCount val="1"/>
                <c:pt idx="0">
                  <c:v>0.76208935688231783</c:v>
                </c:pt>
              </c:numCache>
            </c:numRef>
          </c:val>
        </c:ser>
        <c:dLbls>
          <c:showLegendKey val="0"/>
          <c:showVal val="0"/>
          <c:showCatName val="0"/>
          <c:showSerName val="0"/>
          <c:showPercent val="0"/>
          <c:showBubbleSize val="0"/>
        </c:dLbls>
        <c:gapWidth val="112"/>
        <c:overlap val="100"/>
        <c:axId val="106697088"/>
        <c:axId val="106698624"/>
      </c:barChart>
      <c:catAx>
        <c:axId val="106697088"/>
        <c:scaling>
          <c:orientation val="minMax"/>
        </c:scaling>
        <c:delete val="0"/>
        <c:axPos val="l"/>
        <c:numFmt formatCode="General" sourceLinked="0"/>
        <c:majorTickMark val="out"/>
        <c:minorTickMark val="none"/>
        <c:tickLblPos val="nextTo"/>
        <c:crossAx val="106698624"/>
        <c:crosses val="autoZero"/>
        <c:auto val="1"/>
        <c:lblAlgn val="ctr"/>
        <c:lblOffset val="100"/>
        <c:noMultiLvlLbl val="0"/>
      </c:catAx>
      <c:valAx>
        <c:axId val="106698624"/>
        <c:scaling>
          <c:orientation val="minMax"/>
          <c:max val="1.1500000000000001"/>
          <c:min val="0"/>
        </c:scaling>
        <c:delete val="0"/>
        <c:axPos val="b"/>
        <c:majorGridlines/>
        <c:numFmt formatCode="0%" sourceLinked="1"/>
        <c:majorTickMark val="out"/>
        <c:minorTickMark val="none"/>
        <c:tickLblPos val="nextTo"/>
        <c:crossAx val="106697088"/>
        <c:crosses val="autoZero"/>
        <c:crossBetween val="between"/>
        <c:majorUnit val="0.2"/>
      </c:valAx>
    </c:plotArea>
    <c:legend>
      <c:legendPos val="b"/>
      <c:layout>
        <c:manualLayout>
          <c:xMode val="edge"/>
          <c:yMode val="edge"/>
          <c:x val="7.8171830688346614E-2"/>
          <c:y val="0.77165861990526941"/>
          <c:w val="0.83952837164704253"/>
          <c:h val="0.19733386813899739"/>
        </c:manualLayout>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807236943679255"/>
          <c:y val="0.11369509043927649"/>
          <c:w val="0.81614847679643765"/>
          <c:h val="0.56869969378827656"/>
        </c:manualLayout>
      </c:layout>
      <c:barChart>
        <c:barDir val="bar"/>
        <c:grouping val="clustered"/>
        <c:varyColors val="0"/>
        <c:ser>
          <c:idx val="0"/>
          <c:order val="0"/>
          <c:tx>
            <c:strRef>
              <c:f>'[2020 m. IV ketv. finans duom.xlsx]minist pagal prior'!$C$49</c:f>
              <c:strCache>
                <c:ptCount val="1"/>
                <c:pt idx="0">
                  <c:v>Nepaskirta projektams</c:v>
                </c:pt>
              </c:strCache>
            </c:strRef>
          </c:tx>
          <c:spPr>
            <a:solidFill>
              <a:schemeClr val="bg1">
                <a:lumMod val="85000"/>
              </a:schemeClr>
            </a:solidFill>
            <a:ln w="38100">
              <a:solidFill>
                <a:schemeClr val="bg1">
                  <a:lumMod val="85000"/>
                </a:schemeClr>
              </a:solidFill>
            </a:ln>
          </c:spPr>
          <c:invertIfNegative val="0"/>
          <c:cat>
            <c:strRef>
              <c:f>'[2020 m. IV ketv. finans duom.xlsx]minist pagal prior'!$B$50</c:f>
              <c:strCache>
                <c:ptCount val="1"/>
                <c:pt idx="0">
                  <c:v>VRM, ERPF</c:v>
                </c:pt>
              </c:strCache>
            </c:strRef>
          </c:cat>
          <c:val>
            <c:numRef>
              <c:f>'[2020 m. IV ketv. finans duom.xlsx]minist pagal prior'!$C$50</c:f>
              <c:numCache>
                <c:formatCode>0%</c:formatCode>
                <c:ptCount val="1"/>
                <c:pt idx="0">
                  <c:v>1</c:v>
                </c:pt>
              </c:numCache>
            </c:numRef>
          </c:val>
        </c:ser>
        <c:ser>
          <c:idx val="2"/>
          <c:order val="1"/>
          <c:tx>
            <c:strRef>
              <c:f>'[2020 m. IV ketv. finans duom.xlsx]minist pagal prior'!$D$49</c:f>
              <c:strCache>
                <c:ptCount val="1"/>
                <c:pt idx="0">
                  <c:v>Sudaryta sutarčių</c:v>
                </c:pt>
              </c:strCache>
            </c:strRef>
          </c:tx>
          <c:spPr>
            <a:solidFill>
              <a:schemeClr val="accent1"/>
            </a:solidFill>
            <a:ln w="50800">
              <a:solidFill>
                <a:schemeClr val="accent1"/>
              </a:solidFill>
            </a:ln>
          </c:spPr>
          <c:invertIfNegative val="0"/>
          <c:dLbls>
            <c:dLbl>
              <c:idx val="0"/>
              <c:layout>
                <c:manualLayout>
                  <c:x val="-5.3795535619967007E-2"/>
                  <c:y val="-1.8101185627922018E-6"/>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'[2020 m. IV ketv. finans duom.xlsx]minist pagal prior'!$B$50</c:f>
              <c:strCache>
                <c:ptCount val="1"/>
                <c:pt idx="0">
                  <c:v>VRM, ERPF</c:v>
                </c:pt>
              </c:strCache>
            </c:strRef>
          </c:cat>
          <c:val>
            <c:numRef>
              <c:f>'[2020 m. IV ketv. finans duom.xlsx]minist pagal prior'!$D$50</c:f>
              <c:numCache>
                <c:formatCode>0%</c:formatCode>
                <c:ptCount val="1"/>
                <c:pt idx="0">
                  <c:v>1</c:v>
                </c:pt>
              </c:numCache>
            </c:numRef>
          </c:val>
        </c:ser>
        <c:ser>
          <c:idx val="3"/>
          <c:order val="2"/>
          <c:tx>
            <c:strRef>
              <c:f>'[2020 m. IV ketv. finans duom.xlsx]minist pagal prior'!$E$49</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'[2020 m. IV ketv. finans duom.xlsx]minist pagal prior'!$B$50</c:f>
              <c:strCache>
                <c:ptCount val="1"/>
                <c:pt idx="0">
                  <c:v>VRM, ERPF</c:v>
                </c:pt>
              </c:strCache>
            </c:strRef>
          </c:cat>
          <c:val>
            <c:numRef>
              <c:f>'[2020 m. IV ketv. finans duom.xlsx]minist pagal prior'!$E$50</c:f>
            </c:numRef>
          </c:val>
        </c:ser>
        <c:ser>
          <c:idx val="1"/>
          <c:order val="3"/>
          <c:tx>
            <c:strRef>
              <c:f>'[2020 m. IV ketv. finans duom.xlsx]minist pagal prior'!$F$49</c:f>
              <c:strCache>
                <c:ptCount val="1"/>
                <c:pt idx="0">
                  <c:v>Liko nesuplanuotų</c:v>
                </c:pt>
              </c:strCache>
            </c:strRef>
          </c:tx>
          <c:invertIfNegative val="0"/>
          <c:cat>
            <c:strRef>
              <c:f>'[2020 m. IV ketv. finans duom.xlsx]minist pagal prior'!$B$50</c:f>
              <c:strCache>
                <c:ptCount val="1"/>
                <c:pt idx="0">
                  <c:v>VRM, ERPF</c:v>
                </c:pt>
              </c:strCache>
            </c:strRef>
          </c:cat>
          <c:val>
            <c:numRef>
              <c:f>'[2020 m. IV ketv. finans duom.xlsx]minist pagal prior'!$F$50</c:f>
            </c:numRef>
          </c:val>
        </c:ser>
        <c:ser>
          <c:idx val="4"/>
          <c:order val="4"/>
          <c:tx>
            <c:strRef>
              <c:f>'[2020 m. IV ketv. finans duom.xlsx]minist pagal prior'!$G$49</c:f>
              <c:strCache>
                <c:ptCount val="1"/>
                <c:pt idx="0">
                  <c:v>Investuota projektuose</c:v>
                </c:pt>
              </c:strCache>
            </c:strRef>
          </c:tx>
          <c:spPr>
            <a:solidFill>
              <a:schemeClr val="accent3"/>
            </a:solidFill>
          </c:spPr>
          <c:invertIfNegative val="0"/>
          <c:cat>
            <c:strRef>
              <c:f>'[2020 m. IV ketv. finans duom.xlsx]minist pagal prior'!$B$50</c:f>
              <c:strCache>
                <c:ptCount val="1"/>
                <c:pt idx="0">
                  <c:v>VRM, ERPF</c:v>
                </c:pt>
              </c:strCache>
            </c:strRef>
          </c:cat>
          <c:val>
            <c:numRef>
              <c:f>'[2020 m. IV ketv. finans duom.xlsx]minist pagal prior'!$G$50</c:f>
              <c:numCache>
                <c:formatCode>0%</c:formatCode>
                <c:ptCount val="1"/>
                <c:pt idx="0">
                  <c:v>0</c:v>
                </c:pt>
              </c:numCache>
            </c:numRef>
          </c:val>
        </c:ser>
        <c:dLbls>
          <c:showLegendKey val="0"/>
          <c:showVal val="0"/>
          <c:showCatName val="0"/>
          <c:showSerName val="0"/>
          <c:showPercent val="0"/>
          <c:showBubbleSize val="0"/>
        </c:dLbls>
        <c:gapWidth val="217"/>
        <c:overlap val="100"/>
        <c:axId val="106759680"/>
        <c:axId val="106761216"/>
      </c:barChart>
      <c:catAx>
        <c:axId val="106759680"/>
        <c:scaling>
          <c:orientation val="minMax"/>
        </c:scaling>
        <c:delete val="0"/>
        <c:axPos val="l"/>
        <c:numFmt formatCode="General" sourceLinked="0"/>
        <c:majorTickMark val="out"/>
        <c:minorTickMark val="none"/>
        <c:tickLblPos val="nextTo"/>
        <c:crossAx val="106761216"/>
        <c:crosses val="autoZero"/>
        <c:auto val="1"/>
        <c:lblAlgn val="ctr"/>
        <c:lblOffset val="100"/>
        <c:noMultiLvlLbl val="0"/>
      </c:catAx>
      <c:valAx>
        <c:axId val="106761216"/>
        <c:scaling>
          <c:orientation val="minMax"/>
          <c:max val="1"/>
        </c:scaling>
        <c:delete val="1"/>
        <c:axPos val="b"/>
        <c:majorGridlines/>
        <c:numFmt formatCode="0%" sourceLinked="1"/>
        <c:majorTickMark val="out"/>
        <c:minorTickMark val="none"/>
        <c:tickLblPos val="nextTo"/>
        <c:crossAx val="106759680"/>
        <c:crosses val="autoZero"/>
        <c:crossBetween val="between"/>
        <c:majorUnit val="0.2"/>
      </c:valAx>
    </c:plotArea>
    <c:legend>
      <c:legendPos val="b"/>
      <c:layout>
        <c:manualLayout>
          <c:xMode val="edge"/>
          <c:yMode val="edge"/>
          <c:x val="7.8171830688346614E-2"/>
          <c:y val="0.73611186532717898"/>
          <c:w val="0.81995715199910968"/>
          <c:h val="0.26388813467282107"/>
        </c:manualLayout>
      </c:layout>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44125669757"/>
          <c:y val="9.2340544810539466E-2"/>
          <c:w val="0.81614847679643765"/>
          <c:h val="0.46686135106898052"/>
        </c:manualLayout>
      </c:layout>
      <c:barChart>
        <c:barDir val="bar"/>
        <c:grouping val="clustered"/>
        <c:varyColors val="0"/>
        <c:ser>
          <c:idx val="0"/>
          <c:order val="0"/>
          <c:tx>
            <c:strRef>
              <c:f>'[2021 m. I ketv. finans duom.xlsx]minist pagal prior'!$M$50</c:f>
              <c:strCache>
                <c:ptCount val="1"/>
                <c:pt idx="0">
                  <c:v>Nepaskirta projektams</c:v>
                </c:pt>
              </c:strCache>
            </c:strRef>
          </c:tx>
          <c:spPr>
            <a:solidFill>
              <a:schemeClr val="bg1">
                <a:lumMod val="85000"/>
              </a:schemeClr>
            </a:solidFill>
            <a:ln w="38100">
              <a:noFill/>
            </a:ln>
          </c:spPr>
          <c:invertIfNegative val="0"/>
          <c:dLbls>
            <c:dLbl>
              <c:idx val="0"/>
              <c:layout>
                <c:manualLayout>
                  <c:x val="-2.6707751200878201E-2"/>
                  <c:y val="1.2943964528705757E-2"/>
                </c:manualLayout>
              </c:layout>
              <c:tx>
                <c:rich>
                  <a:bodyPr/>
                  <a:lstStyle/>
                  <a:p>
                    <a:r>
                      <a:rPr lang="en-US">
                        <a:solidFill>
                          <a:schemeClr val="tx1">
                            <a:lumMod val="50000"/>
                            <a:lumOff val="50000"/>
                          </a:schemeClr>
                        </a:solidFill>
                      </a:rPr>
                      <a:t>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layout>
                <c:manualLayout>
                  <c:x val="-2.0544424000675538E-2"/>
                  <c:y val="0"/>
                </c:manualLayout>
              </c:layout>
              <c:tx>
                <c:rich>
                  <a:bodyPr/>
                  <a:lstStyle/>
                  <a:p>
                    <a:r>
                      <a:rPr lang="en-US">
                        <a:solidFill>
                          <a:schemeClr val="tx1">
                            <a:lumMod val="50000"/>
                            <a:lumOff val="50000"/>
                          </a:schemeClr>
                        </a:solidFill>
                      </a:rPr>
                      <a:t>2%</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tx1">
                        <a:lumMod val="50000"/>
                        <a:lumOff val="50000"/>
                      </a:schemeClr>
                    </a:solidFil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prior'!$L$51:$L$52</c:f>
              <c:strCache>
                <c:ptCount val="2"/>
                <c:pt idx="0">
                  <c:v>AM, SaF</c:v>
                </c:pt>
                <c:pt idx="1">
                  <c:v>AM, ERPF</c:v>
                </c:pt>
              </c:strCache>
            </c:strRef>
          </c:cat>
          <c:val>
            <c:numRef>
              <c:f>'[2021 m. I ketv. finans duom.xlsx]minist pagal prior'!$M$51:$M$52</c:f>
              <c:numCache>
                <c:formatCode>0%</c:formatCode>
                <c:ptCount val="2"/>
                <c:pt idx="0">
                  <c:v>1</c:v>
                </c:pt>
                <c:pt idx="1">
                  <c:v>1</c:v>
                </c:pt>
              </c:numCache>
            </c:numRef>
          </c:val>
        </c:ser>
        <c:ser>
          <c:idx val="2"/>
          <c:order val="1"/>
          <c:tx>
            <c:strRef>
              <c:f>'[2021 m. I ketv. finans duom.xlsx]minist pagal prior'!$N$50</c:f>
              <c:strCache>
                <c:ptCount val="1"/>
                <c:pt idx="0">
                  <c:v>Sudaryta sutarčių</c:v>
                </c:pt>
              </c:strCache>
            </c:strRef>
          </c:tx>
          <c:spPr>
            <a:solidFill>
              <a:schemeClr val="accent1"/>
            </a:solidFill>
            <a:ln w="50800">
              <a:solidFill>
                <a:schemeClr val="accent1"/>
              </a:solidFill>
            </a:ln>
          </c:spPr>
          <c:invertIfNegative val="0"/>
          <c:dLbls>
            <c:dLbl>
              <c:idx val="0"/>
              <c:layout>
                <c:manualLayout>
                  <c:x val="-6.713222164812869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layout>
                <c:manualLayout>
                  <c:x val="-5.1367854220649704E-2"/>
                  <c:y val="1.8187620582885705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prior'!$L$51:$L$52</c:f>
              <c:strCache>
                <c:ptCount val="2"/>
                <c:pt idx="0">
                  <c:v>AM, SaF</c:v>
                </c:pt>
                <c:pt idx="1">
                  <c:v>AM, ERPF</c:v>
                </c:pt>
              </c:strCache>
            </c:strRef>
          </c:cat>
          <c:val>
            <c:numRef>
              <c:f>'[2021 m. I ketv. finans duom.xlsx]minist pagal prior'!$N$51:$N$52</c:f>
              <c:numCache>
                <c:formatCode>0%</c:formatCode>
                <c:ptCount val="2"/>
                <c:pt idx="0">
                  <c:v>0.97480995327282582</c:v>
                </c:pt>
                <c:pt idx="1">
                  <c:v>0.98176256288933417</c:v>
                </c:pt>
              </c:numCache>
            </c:numRef>
          </c:val>
        </c:ser>
        <c:ser>
          <c:idx val="3"/>
          <c:order val="2"/>
          <c:tx>
            <c:strRef>
              <c:f>'[2021 m. I ketv. finans duom.xlsx]minist pagal prior'!$O$50</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prior'!$L$51:$L$52</c:f>
              <c:strCache>
                <c:ptCount val="2"/>
                <c:pt idx="0">
                  <c:v>AM, SaF</c:v>
                </c:pt>
                <c:pt idx="1">
                  <c:v>AM, ERPF</c:v>
                </c:pt>
              </c:strCache>
            </c:strRef>
          </c:cat>
          <c:val>
            <c:numRef>
              <c:f>'[2021 m. I ketv. finans duom.xlsx]minist pagal prior'!$O$51:$O$52</c:f>
              <c:numCache>
                <c:formatCode>0%</c:formatCode>
                <c:ptCount val="2"/>
                <c:pt idx="0">
                  <c:v>0.63576447663588487</c:v>
                </c:pt>
                <c:pt idx="1">
                  <c:v>0.52896975542746194</c:v>
                </c:pt>
              </c:numCache>
            </c:numRef>
          </c:val>
        </c:ser>
        <c:dLbls>
          <c:showLegendKey val="0"/>
          <c:showVal val="0"/>
          <c:showCatName val="0"/>
          <c:showSerName val="0"/>
          <c:showPercent val="0"/>
          <c:showBubbleSize val="0"/>
        </c:dLbls>
        <c:gapWidth val="120"/>
        <c:overlap val="100"/>
        <c:axId val="106792832"/>
        <c:axId val="106794368"/>
      </c:barChart>
      <c:catAx>
        <c:axId val="106792832"/>
        <c:scaling>
          <c:orientation val="minMax"/>
        </c:scaling>
        <c:delete val="0"/>
        <c:axPos val="l"/>
        <c:numFmt formatCode="General" sourceLinked="0"/>
        <c:majorTickMark val="out"/>
        <c:minorTickMark val="none"/>
        <c:tickLblPos val="nextTo"/>
        <c:crossAx val="106794368"/>
        <c:crosses val="autoZero"/>
        <c:auto val="1"/>
        <c:lblAlgn val="ctr"/>
        <c:lblOffset val="100"/>
        <c:noMultiLvlLbl val="0"/>
      </c:catAx>
      <c:valAx>
        <c:axId val="106794368"/>
        <c:scaling>
          <c:orientation val="minMax"/>
          <c:max val="1"/>
        </c:scaling>
        <c:delete val="0"/>
        <c:axPos val="b"/>
        <c:majorGridlines/>
        <c:numFmt formatCode="0%" sourceLinked="1"/>
        <c:majorTickMark val="none"/>
        <c:minorTickMark val="none"/>
        <c:tickLblPos val="low"/>
        <c:crossAx val="106792832"/>
        <c:crosses val="autoZero"/>
        <c:crossBetween val="between"/>
        <c:majorUnit val="0.2"/>
      </c:valAx>
    </c:plotArea>
    <c:legend>
      <c:legendPos val="t"/>
      <c:layout>
        <c:manualLayout>
          <c:xMode val="edge"/>
          <c:yMode val="edge"/>
          <c:x val="0.15888879578292536"/>
          <c:y val="0.83767703794307269"/>
          <c:w val="0.71509348683523011"/>
          <c:h val="0.15971663736207731"/>
        </c:manualLayout>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0995652633204129"/>
          <c:h val="0.38561918396564066"/>
        </c:manualLayout>
      </c:layout>
      <c:barChart>
        <c:barDir val="bar"/>
        <c:grouping val="clustered"/>
        <c:varyColors val="0"/>
        <c:ser>
          <c:idx val="0"/>
          <c:order val="0"/>
          <c:tx>
            <c:strRef>
              <c:f>'[2021 m. I ketv. finans duom.xlsx]minist pagal prior'!$M$56</c:f>
              <c:strCache>
                <c:ptCount val="1"/>
                <c:pt idx="0">
                  <c:v>Nepaskirta projektams</c:v>
                </c:pt>
              </c:strCache>
            </c:strRef>
          </c:tx>
          <c:spPr>
            <a:solidFill>
              <a:schemeClr val="bg1">
                <a:lumMod val="85000"/>
              </a:schemeClr>
            </a:solidFill>
          </c:spPr>
          <c:invertIfNegative val="0"/>
          <c:cat>
            <c:strRef>
              <c:f>'[2021 m. I ketv. finans duom.xlsx]minist pagal prior'!$L$57</c:f>
              <c:strCache>
                <c:ptCount val="1"/>
                <c:pt idx="0">
                  <c:v>KM, ERPF</c:v>
                </c:pt>
              </c:strCache>
            </c:strRef>
          </c:cat>
          <c:val>
            <c:numRef>
              <c:f>'[2021 m. I ketv. finans duom.xlsx]minist pagal prior'!$M$57</c:f>
              <c:numCache>
                <c:formatCode>0%</c:formatCode>
                <c:ptCount val="1"/>
                <c:pt idx="0">
                  <c:v>1</c:v>
                </c:pt>
              </c:numCache>
            </c:numRef>
          </c:val>
        </c:ser>
        <c:ser>
          <c:idx val="2"/>
          <c:order val="1"/>
          <c:tx>
            <c:strRef>
              <c:f>'[2021 m. I ketv. finans duom.xlsx]minist pagal prior'!$N$56</c:f>
              <c:strCache>
                <c:ptCount val="1"/>
                <c:pt idx="0">
                  <c:v>Sudaryta sutarčių</c:v>
                </c:pt>
              </c:strCache>
            </c:strRef>
          </c:tx>
          <c:spPr>
            <a:solidFill>
              <a:schemeClr val="accent1"/>
            </a:solidFill>
            <a:ln w="50800">
              <a:solidFill>
                <a:schemeClr val="accent1"/>
              </a:solidFill>
            </a:ln>
          </c:spPr>
          <c:invertIfNegative val="0"/>
          <c:dLbls>
            <c:dLbl>
              <c:idx val="0"/>
              <c:layout>
                <c:manualLayout>
                  <c:x val="-4.9667568643702815E-2"/>
                  <c:y val="2.464129240261934E-17"/>
                </c:manualLayout>
              </c:layout>
              <c:spPr/>
              <c:txPr>
                <a:bodyPr/>
                <a:lstStyle/>
                <a:p>
                  <a:pPr>
                    <a:defRPr>
                      <a:solidFill>
                        <a:schemeClr val="bg1"/>
                      </a:solidFill>
                    </a:defRPr>
                  </a:pPr>
                  <a:endParaRPr lang="lt-LT"/>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prior'!$L$57</c:f>
              <c:strCache>
                <c:ptCount val="1"/>
                <c:pt idx="0">
                  <c:v>KM, ERPF</c:v>
                </c:pt>
              </c:strCache>
            </c:strRef>
          </c:cat>
          <c:val>
            <c:numRef>
              <c:f>'[2021 m. I ketv. finans duom.xlsx]minist pagal prior'!$N$57</c:f>
              <c:numCache>
                <c:formatCode>0%</c:formatCode>
                <c:ptCount val="1"/>
                <c:pt idx="0">
                  <c:v>1.0234386470224677</c:v>
                </c:pt>
              </c:numCache>
            </c:numRef>
          </c:val>
        </c:ser>
        <c:ser>
          <c:idx val="3"/>
          <c:order val="2"/>
          <c:tx>
            <c:strRef>
              <c:f>'[2021 m. I ketv. finans duom.xlsx]minist pagal prior'!$O$56</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prior'!$L$57</c:f>
              <c:strCache>
                <c:ptCount val="1"/>
                <c:pt idx="0">
                  <c:v>KM, ERPF</c:v>
                </c:pt>
              </c:strCache>
            </c:strRef>
          </c:cat>
          <c:val>
            <c:numRef>
              <c:f>'[2021 m. I ketv. finans duom.xlsx]minist pagal prior'!$O$57</c:f>
              <c:numCache>
                <c:formatCode>0%</c:formatCode>
                <c:ptCount val="1"/>
                <c:pt idx="0">
                  <c:v>0.63911716145941921</c:v>
                </c:pt>
              </c:numCache>
            </c:numRef>
          </c:val>
        </c:ser>
        <c:dLbls>
          <c:showLegendKey val="0"/>
          <c:showVal val="0"/>
          <c:showCatName val="0"/>
          <c:showSerName val="0"/>
          <c:showPercent val="0"/>
          <c:showBubbleSize val="0"/>
        </c:dLbls>
        <c:gapWidth val="217"/>
        <c:overlap val="100"/>
        <c:axId val="106260736"/>
        <c:axId val="106266624"/>
      </c:barChart>
      <c:catAx>
        <c:axId val="106260736"/>
        <c:scaling>
          <c:orientation val="minMax"/>
        </c:scaling>
        <c:delete val="0"/>
        <c:axPos val="l"/>
        <c:numFmt formatCode="General" sourceLinked="0"/>
        <c:majorTickMark val="out"/>
        <c:minorTickMark val="none"/>
        <c:tickLblPos val="nextTo"/>
        <c:crossAx val="106266624"/>
        <c:crosses val="autoZero"/>
        <c:auto val="1"/>
        <c:lblAlgn val="ctr"/>
        <c:lblOffset val="100"/>
        <c:noMultiLvlLbl val="0"/>
      </c:catAx>
      <c:valAx>
        <c:axId val="106266624"/>
        <c:scaling>
          <c:orientation val="minMax"/>
          <c:max val="1.1000000000000001"/>
          <c:min val="0"/>
        </c:scaling>
        <c:delete val="0"/>
        <c:axPos val="b"/>
        <c:majorGridlines/>
        <c:numFmt formatCode="0%" sourceLinked="1"/>
        <c:majorTickMark val="out"/>
        <c:minorTickMark val="none"/>
        <c:tickLblPos val="nextTo"/>
        <c:crossAx val="106260736"/>
        <c:crosses val="autoZero"/>
        <c:crossBetween val="between"/>
        <c:majorUnit val="0.2"/>
      </c:valAx>
    </c:plotArea>
    <c:legend>
      <c:legendPos val="b"/>
      <c:layout>
        <c:manualLayout>
          <c:xMode val="edge"/>
          <c:yMode val="edge"/>
          <c:x val="8.2299797664610805E-2"/>
          <c:y val="0.79968503937007873"/>
          <c:w val="0.83952837164704253"/>
          <c:h val="0.18690349752792529"/>
        </c:manualLayout>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600838594866047"/>
          <c:y val="6.4312886815074036E-2"/>
          <c:w val="0.81614847679643765"/>
          <c:h val="0.3876296944363436"/>
        </c:manualLayout>
      </c:layout>
      <c:barChart>
        <c:barDir val="bar"/>
        <c:grouping val="clustered"/>
        <c:varyColors val="0"/>
        <c:ser>
          <c:idx val="0"/>
          <c:order val="0"/>
          <c:tx>
            <c:strRef>
              <c:f>'[2021 m. I ketv. finans duom.xlsx]minist pagal prior'!$M$61</c:f>
              <c:strCache>
                <c:ptCount val="1"/>
                <c:pt idx="0">
                  <c:v>Nepaskirta projektams</c:v>
                </c:pt>
              </c:strCache>
            </c:strRef>
          </c:tx>
          <c:spPr>
            <a:solidFill>
              <a:schemeClr val="bg1">
                <a:lumMod val="85000"/>
              </a:schemeClr>
            </a:solidFill>
            <a:ln w="38100">
              <a:solidFill>
                <a:schemeClr val="bg1">
                  <a:lumMod val="85000"/>
                </a:schemeClr>
              </a:solidFill>
            </a:ln>
          </c:spPr>
          <c:invertIfNegative val="0"/>
          <c:dLbls>
            <c:dLbl>
              <c:idx val="0"/>
              <c:layout>
                <c:manualLayout>
                  <c:x val="-2.2703818369453045E-2"/>
                  <c:y val="0"/>
                </c:manualLayout>
              </c:layout>
              <c:tx>
                <c:rich>
                  <a:bodyPr/>
                  <a:lstStyle/>
                  <a:p>
                    <a:r>
                      <a:rPr lang="en-US"/>
                      <a:t>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tx1">
                        <a:lumMod val="50000"/>
                        <a:lumOff val="50000"/>
                      </a:schemeClr>
                    </a:solidFil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prior'!$L$62</c:f>
              <c:strCache>
                <c:ptCount val="1"/>
                <c:pt idx="0">
                  <c:v>EIM, ERPF</c:v>
                </c:pt>
              </c:strCache>
            </c:strRef>
          </c:cat>
          <c:val>
            <c:numRef>
              <c:f>'[2021 m. I ketv. finans duom.xlsx]minist pagal prior'!$M$62</c:f>
              <c:numCache>
                <c:formatCode>0%</c:formatCode>
                <c:ptCount val="1"/>
                <c:pt idx="0">
                  <c:v>1</c:v>
                </c:pt>
              </c:numCache>
            </c:numRef>
          </c:val>
        </c:ser>
        <c:ser>
          <c:idx val="2"/>
          <c:order val="1"/>
          <c:tx>
            <c:strRef>
              <c:f>'[2021 m. I ketv. finans duom.xlsx]minist pagal prior'!$N$61</c:f>
              <c:strCache>
                <c:ptCount val="1"/>
                <c:pt idx="0">
                  <c:v>Sudaryta sutarčių</c:v>
                </c:pt>
              </c:strCache>
            </c:strRef>
          </c:tx>
          <c:spPr>
            <a:solidFill>
              <a:schemeClr val="accent1"/>
            </a:solidFill>
            <a:ln w="50800">
              <a:solidFill>
                <a:schemeClr val="accent1"/>
              </a:solidFill>
            </a:ln>
          </c:spPr>
          <c:invertIfNegative val="0"/>
          <c:dLbls>
            <c:dLbl>
              <c:idx val="0"/>
              <c:layout>
                <c:manualLayout>
                  <c:x val="-5.3795535619967007E-2"/>
                  <c:y val="-1.8101185627922018E-6"/>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prior'!$L$62</c:f>
              <c:strCache>
                <c:ptCount val="1"/>
                <c:pt idx="0">
                  <c:v>EIM, ERPF</c:v>
                </c:pt>
              </c:strCache>
            </c:strRef>
          </c:cat>
          <c:val>
            <c:numRef>
              <c:f>'[2021 m. I ketv. finans duom.xlsx]minist pagal prior'!$N$62</c:f>
              <c:numCache>
                <c:formatCode>0%</c:formatCode>
                <c:ptCount val="1"/>
                <c:pt idx="0">
                  <c:v>1.0141047792910729</c:v>
                </c:pt>
              </c:numCache>
            </c:numRef>
          </c:val>
        </c:ser>
        <c:ser>
          <c:idx val="3"/>
          <c:order val="2"/>
          <c:tx>
            <c:strRef>
              <c:f>'[2021 m. I ketv. finans duom.xlsx]minist pagal prior'!$O$61</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prior'!$L$62</c:f>
              <c:strCache>
                <c:ptCount val="1"/>
                <c:pt idx="0">
                  <c:v>EIM, ERPF</c:v>
                </c:pt>
              </c:strCache>
            </c:strRef>
          </c:cat>
          <c:val>
            <c:numRef>
              <c:f>'[2021 m. I ketv. finans duom.xlsx]minist pagal prior'!$O$62</c:f>
              <c:numCache>
                <c:formatCode>0%</c:formatCode>
                <c:ptCount val="1"/>
                <c:pt idx="0">
                  <c:v>0.67158508483754398</c:v>
                </c:pt>
              </c:numCache>
            </c:numRef>
          </c:val>
        </c:ser>
        <c:dLbls>
          <c:showLegendKey val="0"/>
          <c:showVal val="0"/>
          <c:showCatName val="0"/>
          <c:showSerName val="0"/>
          <c:showPercent val="0"/>
          <c:showBubbleSize val="0"/>
        </c:dLbls>
        <c:gapWidth val="217"/>
        <c:overlap val="100"/>
        <c:axId val="106293504"/>
        <c:axId val="106315776"/>
      </c:barChart>
      <c:catAx>
        <c:axId val="106293504"/>
        <c:scaling>
          <c:orientation val="minMax"/>
        </c:scaling>
        <c:delete val="0"/>
        <c:axPos val="l"/>
        <c:numFmt formatCode="General" sourceLinked="0"/>
        <c:majorTickMark val="out"/>
        <c:minorTickMark val="none"/>
        <c:tickLblPos val="nextTo"/>
        <c:crossAx val="106315776"/>
        <c:crosses val="autoZero"/>
        <c:auto val="1"/>
        <c:lblAlgn val="ctr"/>
        <c:lblOffset val="100"/>
        <c:noMultiLvlLbl val="0"/>
      </c:catAx>
      <c:valAx>
        <c:axId val="106315776"/>
        <c:scaling>
          <c:orientation val="minMax"/>
          <c:max val="1.1000000000000001"/>
          <c:min val="0"/>
        </c:scaling>
        <c:delete val="0"/>
        <c:axPos val="b"/>
        <c:majorGridlines/>
        <c:numFmt formatCode="0%" sourceLinked="1"/>
        <c:majorTickMark val="out"/>
        <c:minorTickMark val="none"/>
        <c:tickLblPos val="nextTo"/>
        <c:crossAx val="106293504"/>
        <c:crosses val="autoZero"/>
        <c:crossBetween val="between"/>
        <c:majorUnit val="0.2"/>
      </c:valAx>
    </c:plotArea>
    <c:legend>
      <c:legendPos val="b"/>
      <c:layout>
        <c:manualLayout>
          <c:xMode val="edge"/>
          <c:yMode val="edge"/>
          <c:x val="7.6107847200214518E-2"/>
          <c:y val="0.78549496127798835"/>
          <c:w val="0.83952837164704253"/>
          <c:h val="0.18690349752792529"/>
        </c:manualLayout>
      </c:layout>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807236943679255"/>
          <c:y val="0.11369509043927649"/>
          <c:w val="0.81614847679643765"/>
          <c:h val="0.33569229772204395"/>
        </c:manualLayout>
      </c:layout>
      <c:barChart>
        <c:barDir val="bar"/>
        <c:grouping val="clustered"/>
        <c:varyColors val="0"/>
        <c:ser>
          <c:idx val="0"/>
          <c:order val="0"/>
          <c:tx>
            <c:strRef>
              <c:f>'minist pagal prior'!$M$49</c:f>
              <c:strCache>
                <c:ptCount val="1"/>
                <c:pt idx="0">
                  <c:v>Nepaskirta projektams</c:v>
                </c:pt>
              </c:strCache>
            </c:strRef>
          </c:tx>
          <c:spPr>
            <a:solidFill>
              <a:schemeClr val="bg1">
                <a:lumMod val="85000"/>
              </a:schemeClr>
            </a:solidFill>
          </c:spPr>
          <c:invertIfNegative val="0"/>
          <c:cat>
            <c:strRef>
              <c:f>'minist pagal prior'!$L$50</c:f>
              <c:strCache>
                <c:ptCount val="1"/>
                <c:pt idx="0">
                  <c:v>VRM, ERPF</c:v>
                </c:pt>
              </c:strCache>
            </c:strRef>
          </c:cat>
          <c:val>
            <c:numRef>
              <c:f>'minist pagal prior'!$M$50</c:f>
              <c:numCache>
                <c:formatCode>0%</c:formatCode>
                <c:ptCount val="1"/>
                <c:pt idx="0">
                  <c:v>1</c:v>
                </c:pt>
              </c:numCache>
            </c:numRef>
          </c:val>
        </c:ser>
        <c:ser>
          <c:idx val="2"/>
          <c:order val="1"/>
          <c:tx>
            <c:strRef>
              <c:f>'minist pagal prior'!$N$49</c:f>
              <c:strCache>
                <c:ptCount val="1"/>
                <c:pt idx="0">
                  <c:v>Sudaryta sutarčių</c:v>
                </c:pt>
              </c:strCache>
            </c:strRef>
          </c:tx>
          <c:spPr>
            <a:solidFill>
              <a:schemeClr val="accent1"/>
            </a:solidFill>
            <a:ln w="50800">
              <a:solidFill>
                <a:schemeClr val="accent1"/>
              </a:solidFill>
            </a:ln>
          </c:spPr>
          <c:invertIfNegative val="0"/>
          <c:dLbls>
            <c:dLbl>
              <c:idx val="0"/>
              <c:layout>
                <c:manualLayout>
                  <c:x val="-6.0953495364163071E-2"/>
                  <c:y val="-2.1165652350702221E-2"/>
                </c:manualLayout>
              </c:layout>
              <c:dLblPos val="outEnd"/>
              <c:showLegendKey val="0"/>
              <c:showVal val="1"/>
              <c:showCatName val="0"/>
              <c:showSerName val="0"/>
              <c:showPercent val="0"/>
              <c:showBubbleSize val="0"/>
            </c:dLbl>
            <c:txPr>
              <a:bodyPr/>
              <a:lstStyle/>
              <a:p>
                <a:pPr>
                  <a:defRPr>
                    <a:solidFill>
                      <a:schemeClr val="bg1"/>
                    </a:solidFill>
                  </a:defRPr>
                </a:pPr>
                <a:endParaRPr lang="lt-LT"/>
              </a:p>
            </c:txPr>
            <c:dLblPos val="ctr"/>
            <c:showLegendKey val="0"/>
            <c:showVal val="1"/>
            <c:showCatName val="0"/>
            <c:showSerName val="0"/>
            <c:showPercent val="0"/>
            <c:showBubbleSize val="0"/>
            <c:showLeaderLines val="0"/>
          </c:dLbls>
          <c:cat>
            <c:strRef>
              <c:f>'minist pagal prior'!$L$50</c:f>
              <c:strCache>
                <c:ptCount val="1"/>
                <c:pt idx="0">
                  <c:v>VRM, ERPF</c:v>
                </c:pt>
              </c:strCache>
            </c:strRef>
          </c:cat>
          <c:val>
            <c:numRef>
              <c:f>'minist pagal prior'!$N$50</c:f>
              <c:numCache>
                <c:formatCode>0%</c:formatCode>
                <c:ptCount val="1"/>
                <c:pt idx="0">
                  <c:v>1.1834774084405433</c:v>
                </c:pt>
              </c:numCache>
            </c:numRef>
          </c:val>
        </c:ser>
        <c:ser>
          <c:idx val="3"/>
          <c:order val="2"/>
          <c:tx>
            <c:strRef>
              <c:f>'minist pagal prior'!$O$49</c:f>
              <c:strCache>
                <c:ptCount val="1"/>
                <c:pt idx="0">
                  <c:v>Investuota projektuose</c:v>
                </c:pt>
              </c:strCache>
            </c:strRef>
          </c:tx>
          <c:spPr>
            <a:solidFill>
              <a:schemeClr val="accent3"/>
            </a:solidFill>
          </c:spPr>
          <c:invertIfNegative val="0"/>
          <c:dLbls>
            <c:txPr>
              <a:bodyPr/>
              <a:lstStyle/>
              <a:p>
                <a:pPr>
                  <a:defRPr>
                    <a:solidFill>
                      <a:schemeClr val="bg1"/>
                    </a:solidFill>
                  </a:defRPr>
                </a:pPr>
                <a:endParaRPr lang="lt-LT"/>
              </a:p>
            </c:txPr>
            <c:dLblPos val="inEnd"/>
            <c:showLegendKey val="0"/>
            <c:showVal val="1"/>
            <c:showCatName val="0"/>
            <c:showSerName val="0"/>
            <c:showPercent val="0"/>
            <c:showBubbleSize val="0"/>
            <c:showLeaderLines val="0"/>
          </c:dLbls>
          <c:cat>
            <c:strRef>
              <c:f>'minist pagal prior'!$L$50</c:f>
              <c:strCache>
                <c:ptCount val="1"/>
                <c:pt idx="0">
                  <c:v>VRM, ERPF</c:v>
                </c:pt>
              </c:strCache>
            </c:strRef>
          </c:cat>
          <c:val>
            <c:numRef>
              <c:f>'minist pagal prior'!$O$50</c:f>
              <c:numCache>
                <c:formatCode>0%</c:formatCode>
                <c:ptCount val="1"/>
                <c:pt idx="0">
                  <c:v>0.20077923692983921</c:v>
                </c:pt>
              </c:numCache>
            </c:numRef>
          </c:val>
        </c:ser>
        <c:dLbls>
          <c:showLegendKey val="0"/>
          <c:showVal val="0"/>
          <c:showCatName val="0"/>
          <c:showSerName val="0"/>
          <c:showPercent val="0"/>
          <c:showBubbleSize val="0"/>
        </c:dLbls>
        <c:gapWidth val="217"/>
        <c:overlap val="100"/>
        <c:axId val="106342272"/>
        <c:axId val="106343808"/>
      </c:barChart>
      <c:catAx>
        <c:axId val="106342272"/>
        <c:scaling>
          <c:orientation val="minMax"/>
        </c:scaling>
        <c:delete val="0"/>
        <c:axPos val="l"/>
        <c:majorTickMark val="out"/>
        <c:minorTickMark val="none"/>
        <c:tickLblPos val="nextTo"/>
        <c:crossAx val="106343808"/>
        <c:crosses val="autoZero"/>
        <c:auto val="1"/>
        <c:lblAlgn val="ctr"/>
        <c:lblOffset val="100"/>
        <c:noMultiLvlLbl val="0"/>
      </c:catAx>
      <c:valAx>
        <c:axId val="106343808"/>
        <c:scaling>
          <c:orientation val="minMax"/>
          <c:max val="1.1000000000000001"/>
          <c:min val="0"/>
        </c:scaling>
        <c:delete val="0"/>
        <c:axPos val="b"/>
        <c:majorGridlines/>
        <c:numFmt formatCode="0%" sourceLinked="1"/>
        <c:majorTickMark val="out"/>
        <c:minorTickMark val="none"/>
        <c:tickLblPos val="nextTo"/>
        <c:crossAx val="106342272"/>
        <c:crosses val="autoZero"/>
        <c:crossBetween val="between"/>
        <c:majorUnit val="0.2"/>
      </c:valAx>
    </c:plotArea>
    <c:legend>
      <c:legendPos val="b"/>
      <c:layout>
        <c:manualLayout>
          <c:xMode val="edge"/>
          <c:yMode val="edge"/>
          <c:x val="7.6107811562434943E-2"/>
          <c:y val="0.81265934350798741"/>
          <c:w val="0.83952837164704253"/>
          <c:h val="0.18690349752792529"/>
        </c:manualLayout>
      </c:layout>
      <c:overlay val="0"/>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4.0434945631796025E-2"/>
          <c:w val="0.81614847679643765"/>
          <c:h val="0.44711244791553045"/>
        </c:manualLayout>
      </c:layout>
      <c:barChart>
        <c:barDir val="bar"/>
        <c:grouping val="clustered"/>
        <c:varyColors val="0"/>
        <c:ser>
          <c:idx val="0"/>
          <c:order val="0"/>
          <c:tx>
            <c:strRef>
              <c:f>'[2021 m. I ketv. finans duom.xlsx]minist pagal prior'!$M$71</c:f>
              <c:strCache>
                <c:ptCount val="1"/>
                <c:pt idx="0">
                  <c:v>Nepaskirta projektams</c:v>
                </c:pt>
              </c:strCache>
            </c:strRef>
          </c:tx>
          <c:spPr>
            <a:solidFill>
              <a:schemeClr val="bg1">
                <a:lumMod val="85000"/>
              </a:schemeClr>
            </a:solidFill>
            <a:ln w="38100">
              <a:noFill/>
            </a:ln>
          </c:spPr>
          <c:invertIfNegative val="0"/>
          <c:cat>
            <c:strRef>
              <c:f>'[2021 m. I ketv. finans duom.xlsx]minist pagal prior'!$L$72</c:f>
              <c:strCache>
                <c:ptCount val="1"/>
                <c:pt idx="0">
                  <c:v>EM, ERPF</c:v>
                </c:pt>
              </c:strCache>
            </c:strRef>
          </c:cat>
          <c:val>
            <c:numRef>
              <c:f>'[2021 m. I ketv. finans duom.xlsx]minist pagal prior'!$M$72</c:f>
              <c:numCache>
                <c:formatCode>0%</c:formatCode>
                <c:ptCount val="1"/>
                <c:pt idx="0">
                  <c:v>1</c:v>
                </c:pt>
              </c:numCache>
            </c:numRef>
          </c:val>
        </c:ser>
        <c:ser>
          <c:idx val="2"/>
          <c:order val="1"/>
          <c:tx>
            <c:strRef>
              <c:f>'[2021 m. I ketv. finans duom.xlsx]minist pagal prior'!$N$71</c:f>
              <c:strCache>
                <c:ptCount val="1"/>
                <c:pt idx="0">
                  <c:v>Sudaryta sutarčių</c:v>
                </c:pt>
              </c:strCache>
            </c:strRef>
          </c:tx>
          <c:spPr>
            <a:solidFill>
              <a:schemeClr val="accent1"/>
            </a:solidFill>
            <a:ln w="50800">
              <a:solidFill>
                <a:schemeClr val="accent1"/>
              </a:solidFill>
            </a:ln>
          </c:spPr>
          <c:invertIfNegative val="0"/>
          <c:dLbls>
            <c:dLbl>
              <c:idx val="0"/>
              <c:layout>
                <c:manualLayout>
                  <c:x val="-4.9667568643702815E-2"/>
                  <c:y val="-1.7210963383424948E-6"/>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prior'!$L$72</c:f>
              <c:strCache>
                <c:ptCount val="1"/>
                <c:pt idx="0">
                  <c:v>EM, ERPF</c:v>
                </c:pt>
              </c:strCache>
            </c:strRef>
          </c:cat>
          <c:val>
            <c:numRef>
              <c:f>'[2021 m. I ketv. finans duom.xlsx]minist pagal prior'!$N$72</c:f>
              <c:numCache>
                <c:formatCode>0%</c:formatCode>
                <c:ptCount val="1"/>
                <c:pt idx="0">
                  <c:v>1.0661998184861092</c:v>
                </c:pt>
              </c:numCache>
            </c:numRef>
          </c:val>
        </c:ser>
        <c:ser>
          <c:idx val="3"/>
          <c:order val="2"/>
          <c:tx>
            <c:strRef>
              <c:f>'[2021 m. I ketv. finans duom.xlsx]minist pagal prior'!$O$71</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prior'!$L$72</c:f>
              <c:strCache>
                <c:ptCount val="1"/>
                <c:pt idx="0">
                  <c:v>EM, ERPF</c:v>
                </c:pt>
              </c:strCache>
            </c:strRef>
          </c:cat>
          <c:val>
            <c:numRef>
              <c:f>'[2021 m. I ketv. finans duom.xlsx]minist pagal prior'!$O$72</c:f>
              <c:numCache>
                <c:formatCode>0%</c:formatCode>
                <c:ptCount val="1"/>
                <c:pt idx="0">
                  <c:v>0.58089503219852756</c:v>
                </c:pt>
              </c:numCache>
            </c:numRef>
          </c:val>
        </c:ser>
        <c:dLbls>
          <c:showLegendKey val="0"/>
          <c:showVal val="0"/>
          <c:showCatName val="0"/>
          <c:showSerName val="0"/>
          <c:showPercent val="0"/>
          <c:showBubbleSize val="0"/>
        </c:dLbls>
        <c:gapWidth val="217"/>
        <c:overlap val="100"/>
        <c:axId val="106845696"/>
        <c:axId val="106847232"/>
      </c:barChart>
      <c:catAx>
        <c:axId val="106845696"/>
        <c:scaling>
          <c:orientation val="minMax"/>
        </c:scaling>
        <c:delete val="0"/>
        <c:axPos val="l"/>
        <c:numFmt formatCode="General" sourceLinked="0"/>
        <c:majorTickMark val="out"/>
        <c:minorTickMark val="none"/>
        <c:tickLblPos val="nextTo"/>
        <c:crossAx val="106847232"/>
        <c:crosses val="autoZero"/>
        <c:auto val="1"/>
        <c:lblAlgn val="ctr"/>
        <c:lblOffset val="100"/>
        <c:noMultiLvlLbl val="0"/>
      </c:catAx>
      <c:valAx>
        <c:axId val="106847232"/>
        <c:scaling>
          <c:orientation val="minMax"/>
          <c:max val="1.1000000000000001"/>
          <c:min val="0"/>
        </c:scaling>
        <c:delete val="0"/>
        <c:axPos val="b"/>
        <c:majorGridlines/>
        <c:numFmt formatCode="0%" sourceLinked="1"/>
        <c:majorTickMark val="out"/>
        <c:minorTickMark val="none"/>
        <c:tickLblPos val="nextTo"/>
        <c:crossAx val="106845696"/>
        <c:crosses val="autoZero"/>
        <c:crossBetween val="between"/>
        <c:majorUnit val="0.2"/>
      </c:valAx>
    </c:plotArea>
    <c:legend>
      <c:legendPos val="b"/>
      <c:layout>
        <c:manualLayout>
          <c:xMode val="edge"/>
          <c:yMode val="edge"/>
          <c:x val="7.8171830688346614E-2"/>
          <c:y val="0.76938045535005795"/>
          <c:w val="0.83952837164704253"/>
          <c:h val="0.1869034975279252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74389573624443"/>
          <c:y val="3.0131826741996232E-2"/>
          <c:w val="0.62445724880094955"/>
          <c:h val="0.85300790889510902"/>
        </c:manualLayout>
      </c:layout>
      <c:barChart>
        <c:barDir val="bar"/>
        <c:grouping val="clustered"/>
        <c:varyColors val="0"/>
        <c:ser>
          <c:idx val="0"/>
          <c:order val="0"/>
          <c:tx>
            <c:strRef>
              <c:f>'[2021 m. I ketv. finans duom.xlsx]Bendr grafik'!$B$26</c:f>
              <c:strCache>
                <c:ptCount val="1"/>
                <c:pt idx="0">
                  <c:v>Iki 2021-03-31</c:v>
                </c:pt>
              </c:strCache>
            </c:strRef>
          </c:tx>
          <c:spPr>
            <a:solidFill>
              <a:schemeClr val="accent1"/>
            </a:solidFill>
            <a:ln w="76200">
              <a:solidFill>
                <a:schemeClr val="accent1"/>
              </a:solidFill>
            </a:ln>
          </c:spPr>
          <c:invertIfNegative val="0"/>
          <c:dLbls>
            <c:dLbl>
              <c:idx val="0"/>
              <c:tx>
                <c:rich>
                  <a:bodyPr/>
                  <a:lstStyle/>
                  <a:p>
                    <a:r>
                      <a:rPr lang="en-US"/>
                      <a:t> 3 6</a:t>
                    </a:r>
                    <a:r>
                      <a:rPr lang="lt-LT"/>
                      <a:t>9</a:t>
                    </a:r>
                    <a:r>
                      <a:rPr lang="en-US"/>
                      <a:t>5 (55%)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tx>
                <c:rich>
                  <a:bodyPr/>
                  <a:lstStyle/>
                  <a:p>
                    <a:r>
                      <a:rPr lang="en-US"/>
                      <a:t> 4 348 (65%)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2"/>
              <c:layout>
                <c:manualLayout>
                  <c:x val="0"/>
                  <c:y val="-2.9573759321648937E-7"/>
                </c:manualLayout>
              </c:layout>
              <c:tx>
                <c:rich>
                  <a:bodyPr/>
                  <a:lstStyle/>
                  <a:p>
                    <a:r>
                      <a:rPr lang="en-US"/>
                      <a:t> 6 761</a:t>
                    </a:r>
                  </a:p>
                  <a:p>
                    <a:r>
                      <a:rPr lang="en-US"/>
                      <a:t>(101%)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3"/>
              <c:layout>
                <c:manualLayout>
                  <c:x val="0"/>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4"/>
              <c:layout>
                <c:manualLayout>
                  <c:x val="-7.4328693425693149E-2"/>
                  <c:y val="-4.43005371992052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b="1">
                    <a:solidFill>
                      <a:schemeClr val="tx1">
                        <a:lumMod val="65000"/>
                        <a:lumOff val="35000"/>
                      </a:schemeClr>
                    </a:solidFil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duom.xlsx]Bendr grafik'!$A$27:$A$30</c:f>
              <c:strCache>
                <c:ptCount val="4"/>
                <c:pt idx="0">
                  <c:v>Deklaruota EK</c:v>
                </c:pt>
                <c:pt idx="1">
                  <c:v>Investuota projektuose</c:v>
                </c:pt>
                <c:pt idx="2">
                  <c:v>Sudaryta sutarčių</c:v>
                </c:pt>
                <c:pt idx="3">
                  <c:v>Numatyta investuoti ES fondų lėšų</c:v>
                </c:pt>
              </c:strCache>
            </c:strRef>
          </c:cat>
          <c:val>
            <c:numRef>
              <c:f>'[2021 m. I ketv. finans duom.xlsx]Bendr grafik'!$B$27:$B$30</c:f>
              <c:numCache>
                <c:formatCode>_-* #\ ##0\ _L_t_-;\-* #\ ##0\ _L_t_-;_-* "-"??\ _L_t_-;_-@_-</c:formatCode>
                <c:ptCount val="4"/>
                <c:pt idx="0">
                  <c:v>3684.8124170000001</c:v>
                </c:pt>
                <c:pt idx="1">
                  <c:v>4347.8999999999996</c:v>
                </c:pt>
                <c:pt idx="2">
                  <c:v>6761</c:v>
                </c:pt>
                <c:pt idx="3" formatCode="#,##0">
                  <c:v>6709.3961300000001</c:v>
                </c:pt>
              </c:numCache>
            </c:numRef>
          </c:val>
        </c:ser>
        <c:ser>
          <c:idx val="1"/>
          <c:order val="1"/>
          <c:tx>
            <c:strRef>
              <c:f>'[2021 m. I ketv. finans duom.xlsx]Bendr grafik'!$C$26</c:f>
              <c:strCache>
                <c:ptCount val="1"/>
                <c:pt idx="0">
                  <c:v>2020-01-01 - 2021-03-31</c:v>
                </c:pt>
              </c:strCache>
            </c:strRef>
          </c:tx>
          <c:spPr>
            <a:solidFill>
              <a:schemeClr val="accent1">
                <a:lumMod val="20000"/>
                <a:lumOff val="80000"/>
              </a:schemeClr>
            </a:solidFill>
            <a:ln w="22225">
              <a:noFill/>
            </a:ln>
          </c:spPr>
          <c:invertIfNegative val="0"/>
          <c:dLbls>
            <c:dLbl>
              <c:idx val="0"/>
              <c:layout>
                <c:manualLayout>
                  <c:x val="-0.11630514794508896"/>
                  <c:y val="0"/>
                </c:manualLayout>
              </c:layout>
              <c:tx>
                <c:rich>
                  <a:bodyPr/>
                  <a:lstStyle/>
                  <a:p>
                    <a:r>
                      <a:rPr lang="lt-LT">
                        <a:solidFill>
                          <a:schemeClr val="tx1">
                            <a:lumMod val="65000"/>
                            <a:lumOff val="35000"/>
                          </a:schemeClr>
                        </a:solidFill>
                      </a:rPr>
                      <a:t>1</a:t>
                    </a:r>
                    <a:r>
                      <a:rPr lang="lt-LT" baseline="0">
                        <a:solidFill>
                          <a:schemeClr val="tx1">
                            <a:lumMod val="65000"/>
                            <a:lumOff val="35000"/>
                          </a:schemeClr>
                        </a:solidFill>
                      </a:rPr>
                      <a:t> 317 (20%)</a:t>
                    </a:r>
                    <a:r>
                      <a:rPr lang="lt-LT">
                        <a:solidFill>
                          <a:schemeClr val="tx1">
                            <a:lumMod val="65000"/>
                            <a:lumOff val="35000"/>
                          </a:schemeClr>
                        </a:solidFill>
                      </a:rPr>
                      <a:t>    </a:t>
                    </a:r>
                    <a:endParaRPr lang="lt-LT"/>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layout>
                <c:manualLayout>
                  <c:x val="-0.1183112843078999"/>
                  <c:y val="3.7552759586629131E-3"/>
                </c:manualLayout>
              </c:layout>
              <c:tx>
                <c:rich>
                  <a:bodyPr/>
                  <a:lstStyle/>
                  <a:p>
                    <a:r>
                      <a:rPr lang="lt-LT">
                        <a:solidFill>
                          <a:schemeClr val="tx1">
                            <a:lumMod val="65000"/>
                            <a:lumOff val="35000"/>
                          </a:schemeClr>
                        </a:solidFill>
                      </a:rPr>
                      <a:t>1</a:t>
                    </a:r>
                    <a:r>
                      <a:rPr lang="lt-LT" baseline="0">
                        <a:solidFill>
                          <a:schemeClr val="tx1">
                            <a:lumMod val="65000"/>
                            <a:lumOff val="35000"/>
                          </a:schemeClr>
                        </a:solidFill>
                      </a:rPr>
                      <a:t> 376 (21%)</a:t>
                    </a:r>
                    <a:r>
                      <a:rPr lang="lt-LT">
                        <a:solidFill>
                          <a:schemeClr val="tx1">
                            <a:lumMod val="65000"/>
                            <a:lumOff val="35000"/>
                          </a:schemeClr>
                        </a:solidFill>
                      </a:rPr>
                      <a:t>    </a:t>
                    </a:r>
                    <a:endParaRPr lang="lt-LT"/>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2"/>
              <c:layout>
                <c:manualLayout>
                  <c:x val="-9.8612686706487568E-2"/>
                  <c:y val="3.8800244311691209E-17"/>
                </c:manualLayout>
              </c:layout>
              <c:tx>
                <c:rich>
                  <a:bodyPr/>
                  <a:lstStyle/>
                  <a:p>
                    <a:r>
                      <a:rPr lang="en-US">
                        <a:solidFill>
                          <a:schemeClr val="tx1">
                            <a:lumMod val="65000"/>
                            <a:lumOff val="35000"/>
                          </a:schemeClr>
                        </a:solidFill>
                      </a:rPr>
                      <a:t> 1</a:t>
                    </a:r>
                    <a:r>
                      <a:rPr lang="en-US" baseline="0">
                        <a:solidFill>
                          <a:schemeClr val="tx1">
                            <a:lumMod val="65000"/>
                            <a:lumOff val="35000"/>
                          </a:schemeClr>
                        </a:solidFill>
                      </a:rPr>
                      <a:t> 477 (22%)</a:t>
                    </a:r>
                    <a:r>
                      <a:rPr lang="en-US">
                        <a:solidFill>
                          <a:schemeClr val="tx1">
                            <a:lumMod val="65000"/>
                            <a:lumOff val="35000"/>
                          </a:schemeClr>
                        </a:solidFill>
                      </a:rPr>
                      <a:t>    </a:t>
                    </a:r>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3"/>
              <c:layout>
                <c:manualLayout>
                  <c:x val="-4.5779085592401562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tx1">
                        <a:lumMod val="65000"/>
                        <a:lumOff val="35000"/>
                      </a:schemeClr>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duom.xlsx]Bendr grafik'!$A$27:$A$30</c:f>
              <c:strCache>
                <c:ptCount val="4"/>
                <c:pt idx="0">
                  <c:v>Deklaruota EK</c:v>
                </c:pt>
                <c:pt idx="1">
                  <c:v>Investuota projektuose</c:v>
                </c:pt>
                <c:pt idx="2">
                  <c:v>Sudaryta sutarčių</c:v>
                </c:pt>
                <c:pt idx="3">
                  <c:v>Numatyta investuoti ES fondų lėšų</c:v>
                </c:pt>
              </c:strCache>
            </c:strRef>
          </c:cat>
          <c:val>
            <c:numRef>
              <c:f>'[2021 m. I ketv. finans duom.xlsx]Bendr grafik'!$C$27:$C$30</c:f>
              <c:numCache>
                <c:formatCode>_-* #\ ##0\ _L_t_-;\-* #\ ##0\ _L_t_-;_-* "-"??\ _L_t_-;_-@_-</c:formatCode>
                <c:ptCount val="4"/>
                <c:pt idx="0">
                  <c:v>3684.8124170000001</c:v>
                </c:pt>
                <c:pt idx="1">
                  <c:v>4347.8999999999996</c:v>
                </c:pt>
                <c:pt idx="2">
                  <c:v>6761</c:v>
                </c:pt>
              </c:numCache>
            </c:numRef>
          </c:val>
        </c:ser>
        <c:ser>
          <c:idx val="2"/>
          <c:order val="2"/>
          <c:tx>
            <c:strRef>
              <c:f>'[2021 m. I ketv. finans duom.xlsx]Bendr grafik'!$D$26</c:f>
              <c:strCache>
                <c:ptCount val="1"/>
                <c:pt idx="0">
                  <c:v>Iki 2019-12-31</c:v>
                </c:pt>
              </c:strCache>
            </c:strRef>
          </c:tx>
          <c:invertIfNegative val="0"/>
          <c:dLbls>
            <c:spPr>
              <a:noFill/>
              <a:ln>
                <a:noFill/>
              </a:ln>
              <a:effectLst/>
            </c:spPr>
            <c:txPr>
              <a:bodyPr/>
              <a:lstStyle/>
              <a:p>
                <a:pPr>
                  <a:defRPr b="1" baseline="0">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duom.xlsx]Bendr grafik'!$A$27:$A$30</c:f>
              <c:strCache>
                <c:ptCount val="4"/>
                <c:pt idx="0">
                  <c:v>Deklaruota EK</c:v>
                </c:pt>
                <c:pt idx="1">
                  <c:v>Investuota projektuose</c:v>
                </c:pt>
                <c:pt idx="2">
                  <c:v>Sudaryta sutarčių</c:v>
                </c:pt>
                <c:pt idx="3">
                  <c:v>Numatyta investuoti ES fondų lėšų</c:v>
                </c:pt>
              </c:strCache>
            </c:strRef>
          </c:cat>
          <c:val>
            <c:numRef>
              <c:f>'[2021 m. I ketv. finans duom.xlsx]Bendr grafik'!$D$27:$D$30</c:f>
              <c:numCache>
                <c:formatCode>0</c:formatCode>
                <c:ptCount val="4"/>
                <c:pt idx="0" formatCode="General">
                  <c:v>2378</c:v>
                </c:pt>
                <c:pt idx="1">
                  <c:v>2972.1673123780001</c:v>
                </c:pt>
                <c:pt idx="2">
                  <c:v>5284.2632460000004</c:v>
                </c:pt>
              </c:numCache>
            </c:numRef>
          </c:val>
        </c:ser>
        <c:dLbls>
          <c:showLegendKey val="0"/>
          <c:showVal val="0"/>
          <c:showCatName val="0"/>
          <c:showSerName val="0"/>
          <c:showPercent val="0"/>
          <c:showBubbleSize val="0"/>
        </c:dLbls>
        <c:gapWidth val="150"/>
        <c:overlap val="100"/>
        <c:axId val="86867968"/>
        <c:axId val="86869504"/>
      </c:barChart>
      <c:catAx>
        <c:axId val="86867968"/>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86869504"/>
        <c:crosses val="autoZero"/>
        <c:auto val="1"/>
        <c:lblAlgn val="ctr"/>
        <c:lblOffset val="100"/>
        <c:noMultiLvlLbl val="0"/>
      </c:catAx>
      <c:valAx>
        <c:axId val="86869504"/>
        <c:scaling>
          <c:orientation val="minMax"/>
          <c:max val="7000"/>
          <c:min val="0"/>
        </c:scaling>
        <c:delete val="1"/>
        <c:axPos val="b"/>
        <c:numFmt formatCode="_-* #\ ##0\ _L_t_-;\-* #\ ##0\ _L_t_-;_-* &quot;-&quot;??\ _L_t_-;_-@_-" sourceLinked="1"/>
        <c:majorTickMark val="out"/>
        <c:minorTickMark val="none"/>
        <c:tickLblPos val="nextTo"/>
        <c:crossAx val="86867968"/>
        <c:crosses val="autoZero"/>
        <c:crossBetween val="between"/>
      </c:valAx>
    </c:plotArea>
    <c:legend>
      <c:legendPos val="b"/>
      <c:layout>
        <c:manualLayout>
          <c:xMode val="edge"/>
          <c:yMode val="edge"/>
          <c:x val="0.34577041722078516"/>
          <c:y val="0.89581344388026263"/>
          <c:w val="0.60042972571458875"/>
          <c:h val="7.5110751342998008E-2"/>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94440246052836"/>
          <c:y val="5.46981627296588E-2"/>
          <c:w val="0.81614847679643765"/>
          <c:h val="0.4763319629294126"/>
        </c:manualLayout>
      </c:layout>
      <c:barChart>
        <c:barDir val="bar"/>
        <c:grouping val="clustered"/>
        <c:varyColors val="0"/>
        <c:ser>
          <c:idx val="0"/>
          <c:order val="0"/>
          <c:tx>
            <c:strRef>
              <c:f>'[2021 m. I ketv. finans duom.xlsx]minist pagal prior'!$M$76</c:f>
              <c:strCache>
                <c:ptCount val="1"/>
                <c:pt idx="0">
                  <c:v>Nepaskirta projektams</c:v>
                </c:pt>
              </c:strCache>
            </c:strRef>
          </c:tx>
          <c:spPr>
            <a:solidFill>
              <a:schemeClr val="bg1">
                <a:lumMod val="85000"/>
              </a:schemeClr>
            </a:solidFill>
            <a:ln w="38100">
              <a:noFill/>
            </a:ln>
          </c:spPr>
          <c:invertIfNegative val="0"/>
          <c:dLbls>
            <c:dLbl>
              <c:idx val="0"/>
              <c:tx>
                <c:rich>
                  <a:bodyPr/>
                  <a:lstStyle/>
                  <a:p>
                    <a:r>
                      <a:rPr lang="en-US">
                        <a:solidFill>
                          <a:schemeClr val="tx1">
                            <a:lumMod val="50000"/>
                            <a:lumOff val="50000"/>
                          </a:schemeClr>
                        </a:solidFill>
                      </a:rPr>
                      <a:t>18%</a:t>
                    </a:r>
                    <a:endParaRPr lang="en-US"/>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delete val="1"/>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tx1">
                        <a:lumMod val="50000"/>
                        <a:lumOff val="50000"/>
                      </a:schemeClr>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prior'!$L$77:$L$78</c:f>
              <c:strCache>
                <c:ptCount val="2"/>
                <c:pt idx="0">
                  <c:v>SM, SaF</c:v>
                </c:pt>
                <c:pt idx="1">
                  <c:v>SM, ERPF</c:v>
                </c:pt>
              </c:strCache>
            </c:strRef>
          </c:cat>
          <c:val>
            <c:numRef>
              <c:f>'[2021 m. I ketv. finans duom.xlsx]minist pagal prior'!$M$77:$M$78</c:f>
              <c:numCache>
                <c:formatCode>0%</c:formatCode>
                <c:ptCount val="2"/>
                <c:pt idx="0">
                  <c:v>1</c:v>
                </c:pt>
                <c:pt idx="1">
                  <c:v>1</c:v>
                </c:pt>
              </c:numCache>
            </c:numRef>
          </c:val>
        </c:ser>
        <c:ser>
          <c:idx val="2"/>
          <c:order val="1"/>
          <c:tx>
            <c:strRef>
              <c:f>'[2021 m. I ketv. finans duom.xlsx]minist pagal prior'!$N$76</c:f>
              <c:strCache>
                <c:ptCount val="1"/>
                <c:pt idx="0">
                  <c:v>Sudaryta sutarčių</c:v>
                </c:pt>
              </c:strCache>
            </c:strRef>
          </c:tx>
          <c:spPr>
            <a:solidFill>
              <a:schemeClr val="accent1"/>
            </a:solidFill>
            <a:ln w="50800">
              <a:solidFill>
                <a:schemeClr val="accent1"/>
              </a:solidFill>
            </a:ln>
          </c:spPr>
          <c:invertIfNegative val="0"/>
          <c:dLbls>
            <c:dLbl>
              <c:idx val="1"/>
              <c:layout>
                <c:manualLayout>
                  <c:x val="-6.1450476585163699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prior'!$L$77:$L$78</c:f>
              <c:strCache>
                <c:ptCount val="2"/>
                <c:pt idx="0">
                  <c:v>SM, SaF</c:v>
                </c:pt>
                <c:pt idx="1">
                  <c:v>SM, ERPF</c:v>
                </c:pt>
              </c:strCache>
            </c:strRef>
          </c:cat>
          <c:val>
            <c:numRef>
              <c:f>'[2021 m. I ketv. finans duom.xlsx]minist pagal prior'!$N$77:$N$78</c:f>
              <c:numCache>
                <c:formatCode>0%</c:formatCode>
                <c:ptCount val="2"/>
                <c:pt idx="0">
                  <c:v>0.82442667718287055</c:v>
                </c:pt>
                <c:pt idx="1">
                  <c:v>1.0939686744819963</c:v>
                </c:pt>
              </c:numCache>
            </c:numRef>
          </c:val>
        </c:ser>
        <c:ser>
          <c:idx val="3"/>
          <c:order val="2"/>
          <c:tx>
            <c:strRef>
              <c:f>'[2021 m. I ketv. finans duom.xlsx]minist pagal prior'!$O$76</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prior'!$L$77:$L$78</c:f>
              <c:strCache>
                <c:ptCount val="2"/>
                <c:pt idx="0">
                  <c:v>SM, SaF</c:v>
                </c:pt>
                <c:pt idx="1">
                  <c:v>SM, ERPF</c:v>
                </c:pt>
              </c:strCache>
            </c:strRef>
          </c:cat>
          <c:val>
            <c:numRef>
              <c:f>'[2021 m. I ketv. finans duom.xlsx]minist pagal prior'!$O$77:$O$78</c:f>
              <c:numCache>
                <c:formatCode>0%</c:formatCode>
                <c:ptCount val="2"/>
                <c:pt idx="0">
                  <c:v>0.59618761908981599</c:v>
                </c:pt>
                <c:pt idx="1">
                  <c:v>0.69706018327797448</c:v>
                </c:pt>
              </c:numCache>
            </c:numRef>
          </c:val>
        </c:ser>
        <c:dLbls>
          <c:showLegendKey val="0"/>
          <c:showVal val="0"/>
          <c:showCatName val="0"/>
          <c:showSerName val="0"/>
          <c:showPercent val="0"/>
          <c:showBubbleSize val="0"/>
        </c:dLbls>
        <c:gapWidth val="133"/>
        <c:overlap val="100"/>
        <c:axId val="107038208"/>
        <c:axId val="107039744"/>
      </c:barChart>
      <c:catAx>
        <c:axId val="107038208"/>
        <c:scaling>
          <c:orientation val="minMax"/>
        </c:scaling>
        <c:delete val="0"/>
        <c:axPos val="l"/>
        <c:numFmt formatCode="General" sourceLinked="0"/>
        <c:majorTickMark val="out"/>
        <c:minorTickMark val="none"/>
        <c:tickLblPos val="nextTo"/>
        <c:crossAx val="107039744"/>
        <c:crosses val="autoZero"/>
        <c:auto val="1"/>
        <c:lblAlgn val="ctr"/>
        <c:lblOffset val="100"/>
        <c:noMultiLvlLbl val="0"/>
      </c:catAx>
      <c:valAx>
        <c:axId val="107039744"/>
        <c:scaling>
          <c:orientation val="minMax"/>
          <c:max val="1.1000000000000001"/>
          <c:min val="0"/>
        </c:scaling>
        <c:delete val="0"/>
        <c:axPos val="b"/>
        <c:majorGridlines/>
        <c:numFmt formatCode="0%" sourceLinked="1"/>
        <c:majorTickMark val="out"/>
        <c:minorTickMark val="none"/>
        <c:tickLblPos val="nextTo"/>
        <c:crossAx val="107038208"/>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0995652633204129"/>
          <c:h val="0.34815039686304272"/>
        </c:manualLayout>
      </c:layout>
      <c:barChart>
        <c:barDir val="bar"/>
        <c:grouping val="clustered"/>
        <c:varyColors val="0"/>
        <c:ser>
          <c:idx val="0"/>
          <c:order val="0"/>
          <c:tx>
            <c:strRef>
              <c:f>'[2021 m. I ketv. finans duom.xlsx]minist pagal prior'!$M$82</c:f>
              <c:strCache>
                <c:ptCount val="1"/>
                <c:pt idx="0">
                  <c:v>Nepaskirta projektams</c:v>
                </c:pt>
              </c:strCache>
            </c:strRef>
          </c:tx>
          <c:spPr>
            <a:solidFill>
              <a:schemeClr val="bg1">
                <a:lumMod val="85000"/>
              </a:schemeClr>
            </a:solidFill>
          </c:spPr>
          <c:invertIfNegative val="0"/>
          <c:dLbls>
            <c:dLbl>
              <c:idx val="0"/>
              <c:layout>
                <c:manualLayout>
                  <c:x val="-2.8895768833849329E-2"/>
                  <c:y val="0"/>
                </c:manualLayout>
              </c:layout>
              <c:tx>
                <c:rich>
                  <a:bodyPr/>
                  <a:lstStyle/>
                  <a:p>
                    <a:r>
                      <a:rPr lang="en-US"/>
                      <a:t>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tx1">
                        <a:lumMod val="50000"/>
                        <a:lumOff val="50000"/>
                      </a:schemeClr>
                    </a:solidFil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prior'!$L$83</c:f>
              <c:strCache>
                <c:ptCount val="1"/>
                <c:pt idx="0">
                  <c:v>KM, ERPF</c:v>
                </c:pt>
              </c:strCache>
            </c:strRef>
          </c:cat>
          <c:val>
            <c:numRef>
              <c:f>'[2021 m. I ketv. finans duom.xlsx]minist pagal prior'!$M$83</c:f>
              <c:numCache>
                <c:formatCode>0%</c:formatCode>
                <c:ptCount val="1"/>
                <c:pt idx="0">
                  <c:v>1</c:v>
                </c:pt>
              </c:numCache>
            </c:numRef>
          </c:val>
        </c:ser>
        <c:ser>
          <c:idx val="2"/>
          <c:order val="1"/>
          <c:tx>
            <c:strRef>
              <c:f>'[2021 m. I ketv. finans duom.xlsx]minist pagal prior'!$N$82</c:f>
              <c:strCache>
                <c:ptCount val="1"/>
                <c:pt idx="0">
                  <c:v>Sudaryta sutarčių</c:v>
                </c:pt>
              </c:strCache>
            </c:strRef>
          </c:tx>
          <c:spPr>
            <a:solidFill>
              <a:schemeClr val="accent1"/>
            </a:solidFill>
            <a:ln w="50800">
              <a:solidFill>
                <a:schemeClr val="accent1"/>
              </a:solidFill>
            </a:ln>
          </c:spPr>
          <c:invertIfNegative val="0"/>
          <c:dLbls>
            <c:dLbl>
              <c:idx val="0"/>
              <c:layout>
                <c:manualLayout>
                  <c:x val="-5.1731552131834911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prior'!$L$83</c:f>
              <c:strCache>
                <c:ptCount val="1"/>
                <c:pt idx="0">
                  <c:v>KM, ERPF</c:v>
                </c:pt>
              </c:strCache>
            </c:strRef>
          </c:cat>
          <c:val>
            <c:numRef>
              <c:f>'[2021 m. I ketv. finans duom.xlsx]minist pagal prior'!$N$83</c:f>
              <c:numCache>
                <c:formatCode>0%</c:formatCode>
                <c:ptCount val="1"/>
                <c:pt idx="0">
                  <c:v>0.96503473829640463</c:v>
                </c:pt>
              </c:numCache>
            </c:numRef>
          </c:val>
        </c:ser>
        <c:ser>
          <c:idx val="3"/>
          <c:order val="2"/>
          <c:tx>
            <c:strRef>
              <c:f>'[2021 m. I ketv. finans duom.xlsx]minist pagal prior'!$O$82</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prior'!$L$83</c:f>
              <c:strCache>
                <c:ptCount val="1"/>
                <c:pt idx="0">
                  <c:v>KM, ERPF</c:v>
                </c:pt>
              </c:strCache>
            </c:strRef>
          </c:cat>
          <c:val>
            <c:numRef>
              <c:f>'[2021 m. I ketv. finans duom.xlsx]minist pagal prior'!$O$83</c:f>
              <c:numCache>
                <c:formatCode>0%</c:formatCode>
                <c:ptCount val="1"/>
                <c:pt idx="0">
                  <c:v>0.53696270120628031</c:v>
                </c:pt>
              </c:numCache>
            </c:numRef>
          </c:val>
        </c:ser>
        <c:dLbls>
          <c:showLegendKey val="0"/>
          <c:showVal val="0"/>
          <c:showCatName val="0"/>
          <c:showSerName val="0"/>
          <c:showPercent val="0"/>
          <c:showBubbleSize val="0"/>
        </c:dLbls>
        <c:gapWidth val="217"/>
        <c:overlap val="100"/>
        <c:axId val="107357312"/>
        <c:axId val="107358848"/>
      </c:barChart>
      <c:catAx>
        <c:axId val="107357312"/>
        <c:scaling>
          <c:orientation val="minMax"/>
        </c:scaling>
        <c:delete val="0"/>
        <c:axPos val="l"/>
        <c:numFmt formatCode="General" sourceLinked="0"/>
        <c:majorTickMark val="out"/>
        <c:minorTickMark val="none"/>
        <c:tickLblPos val="nextTo"/>
        <c:crossAx val="107358848"/>
        <c:crosses val="autoZero"/>
        <c:auto val="1"/>
        <c:lblAlgn val="ctr"/>
        <c:lblOffset val="100"/>
        <c:noMultiLvlLbl val="0"/>
      </c:catAx>
      <c:valAx>
        <c:axId val="107358848"/>
        <c:scaling>
          <c:orientation val="minMax"/>
          <c:max val="1.05"/>
          <c:min val="0"/>
        </c:scaling>
        <c:delete val="0"/>
        <c:axPos val="b"/>
        <c:majorGridlines/>
        <c:numFmt formatCode="0%" sourceLinked="1"/>
        <c:majorTickMark val="out"/>
        <c:minorTickMark val="none"/>
        <c:tickLblPos val="nextTo"/>
        <c:crossAx val="107357312"/>
        <c:crosses val="autoZero"/>
        <c:crossBetween val="between"/>
        <c:majorUnit val="0.2"/>
      </c:valAx>
    </c:plotArea>
    <c:legend>
      <c:legendPos val="b"/>
      <c:layout>
        <c:manualLayout>
          <c:xMode val="edge"/>
          <c:yMode val="edge"/>
          <c:x val="7.8171830688346614E-2"/>
          <c:y val="0.76884419568035922"/>
          <c:w val="0.83952837164704253"/>
          <c:h val="0.18690349752792529"/>
        </c:manualLayout>
      </c:layout>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7595035255372298"/>
        </c:manualLayout>
      </c:layout>
      <c:barChart>
        <c:barDir val="bar"/>
        <c:grouping val="clustered"/>
        <c:varyColors val="0"/>
        <c:ser>
          <c:idx val="0"/>
          <c:order val="0"/>
          <c:tx>
            <c:strRef>
              <c:f>'[2021 m. I ketv. finans duom.xlsx]minist pagal prior'!$M$87</c:f>
              <c:strCache>
                <c:ptCount val="1"/>
                <c:pt idx="0">
                  <c:v>Nepaskirta projektams</c:v>
                </c:pt>
              </c:strCache>
            </c:strRef>
          </c:tx>
          <c:spPr>
            <a:solidFill>
              <a:schemeClr val="bg1">
                <a:lumMod val="85000"/>
              </a:schemeClr>
            </a:solidFill>
            <a:ln w="38100">
              <a:solidFill>
                <a:schemeClr val="bg1">
                  <a:lumMod val="85000"/>
                </a:schemeClr>
              </a:solidFill>
            </a:ln>
          </c:spPr>
          <c:invertIfNegative val="0"/>
          <c:cat>
            <c:strRef>
              <c:f>'[2021 m. I ketv. finans duom.xlsx]minist pagal prior'!$L$88:$L$90</c:f>
              <c:strCache>
                <c:ptCount val="3"/>
                <c:pt idx="0">
                  <c:v>SADM,JUI</c:v>
                </c:pt>
                <c:pt idx="1">
                  <c:v>SADM, ESF</c:v>
                </c:pt>
                <c:pt idx="2">
                  <c:v>SADM, ERPF</c:v>
                </c:pt>
              </c:strCache>
            </c:strRef>
          </c:cat>
          <c:val>
            <c:numRef>
              <c:f>'[2021 m. I ketv. finans duom.xlsx]minist pagal prior'!$M$88:$M$90</c:f>
              <c:numCache>
                <c:formatCode>0%</c:formatCode>
                <c:ptCount val="3"/>
                <c:pt idx="0">
                  <c:v>1</c:v>
                </c:pt>
                <c:pt idx="1">
                  <c:v>1</c:v>
                </c:pt>
                <c:pt idx="2">
                  <c:v>1</c:v>
                </c:pt>
              </c:numCache>
            </c:numRef>
          </c:val>
        </c:ser>
        <c:ser>
          <c:idx val="2"/>
          <c:order val="1"/>
          <c:tx>
            <c:strRef>
              <c:f>'[2021 m. I ketv. finans duom.xlsx]minist pagal prior'!$N$87</c:f>
              <c:strCache>
                <c:ptCount val="1"/>
                <c:pt idx="0">
                  <c:v>Sudaryta sutarčių</c:v>
                </c:pt>
              </c:strCache>
            </c:strRef>
          </c:tx>
          <c:spPr>
            <a:solidFill>
              <a:schemeClr val="accent1"/>
            </a:solidFill>
            <a:ln w="50800">
              <a:solidFill>
                <a:schemeClr val="accent1"/>
              </a:solidFill>
            </a:ln>
          </c:spPr>
          <c:invertIfNegative val="0"/>
          <c:dLbls>
            <c:dLbl>
              <c:idx val="0"/>
              <c:layout>
                <c:manualLayout>
                  <c:x val="-4.141163469117444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layout>
                <c:manualLayout>
                  <c:x val="-4.966756864370281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2"/>
              <c:layout>
                <c:manualLayout>
                  <c:x val="-7.082339939705678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prior'!$L$88:$L$90</c:f>
              <c:strCache>
                <c:ptCount val="3"/>
                <c:pt idx="0">
                  <c:v>SADM,JUI</c:v>
                </c:pt>
                <c:pt idx="1">
                  <c:v>SADM, ESF</c:v>
                </c:pt>
                <c:pt idx="2">
                  <c:v>SADM, ERPF</c:v>
                </c:pt>
              </c:strCache>
            </c:strRef>
          </c:cat>
          <c:val>
            <c:numRef>
              <c:f>'[2021 m. I ketv. finans duom.xlsx]minist pagal prior'!$N$88:$N$90</c:f>
              <c:numCache>
                <c:formatCode>0%</c:formatCode>
                <c:ptCount val="3"/>
                <c:pt idx="0">
                  <c:v>1.0079061206162496</c:v>
                </c:pt>
                <c:pt idx="1">
                  <c:v>1.0259961790401662</c:v>
                </c:pt>
                <c:pt idx="2">
                  <c:v>0.98833504791012383</c:v>
                </c:pt>
              </c:numCache>
            </c:numRef>
          </c:val>
        </c:ser>
        <c:ser>
          <c:idx val="3"/>
          <c:order val="2"/>
          <c:tx>
            <c:strRef>
              <c:f>'[2021 m. I ketv. finans duom.xlsx]minist pagal prior'!$O$87</c:f>
              <c:strCache>
                <c:ptCount val="1"/>
                <c:pt idx="0">
                  <c:v>Investuota projektuose</c:v>
                </c:pt>
              </c:strCache>
            </c:strRef>
          </c:tx>
          <c:spPr>
            <a:solidFill>
              <a:schemeClr val="accent3"/>
            </a:solidFill>
          </c:spPr>
          <c:invertIfNegative val="0"/>
          <c:dLbls>
            <c:dLbl>
              <c:idx val="0"/>
              <c:delete val="1"/>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prior'!$L$88:$L$90</c:f>
              <c:strCache>
                <c:ptCount val="3"/>
                <c:pt idx="0">
                  <c:v>SADM,JUI</c:v>
                </c:pt>
                <c:pt idx="1">
                  <c:v>SADM, ESF</c:v>
                </c:pt>
                <c:pt idx="2">
                  <c:v>SADM, ERPF</c:v>
                </c:pt>
              </c:strCache>
            </c:strRef>
          </c:cat>
          <c:val>
            <c:numRef>
              <c:f>'[2021 m. I ketv. finans duom.xlsx]minist pagal prior'!$O$88:$O$90</c:f>
              <c:numCache>
                <c:formatCode>0%</c:formatCode>
                <c:ptCount val="3"/>
                <c:pt idx="0">
                  <c:v>1.0084123615560736</c:v>
                </c:pt>
                <c:pt idx="1">
                  <c:v>0.91671537309366258</c:v>
                </c:pt>
                <c:pt idx="2">
                  <c:v>0</c:v>
                </c:pt>
              </c:numCache>
            </c:numRef>
          </c:val>
        </c:ser>
        <c:dLbls>
          <c:showLegendKey val="0"/>
          <c:showVal val="0"/>
          <c:showCatName val="0"/>
          <c:showSerName val="0"/>
          <c:showPercent val="0"/>
          <c:showBubbleSize val="0"/>
        </c:dLbls>
        <c:gapWidth val="104"/>
        <c:overlap val="100"/>
        <c:axId val="107389696"/>
        <c:axId val="107391232"/>
      </c:barChart>
      <c:catAx>
        <c:axId val="107389696"/>
        <c:scaling>
          <c:orientation val="minMax"/>
        </c:scaling>
        <c:delete val="0"/>
        <c:axPos val="l"/>
        <c:numFmt formatCode="General" sourceLinked="0"/>
        <c:majorTickMark val="out"/>
        <c:minorTickMark val="none"/>
        <c:tickLblPos val="nextTo"/>
        <c:crossAx val="107391232"/>
        <c:crosses val="autoZero"/>
        <c:auto val="1"/>
        <c:lblAlgn val="ctr"/>
        <c:lblOffset val="100"/>
        <c:noMultiLvlLbl val="0"/>
      </c:catAx>
      <c:valAx>
        <c:axId val="107391232"/>
        <c:scaling>
          <c:orientation val="minMax"/>
          <c:max val="1.05"/>
          <c:min val="0"/>
        </c:scaling>
        <c:delete val="0"/>
        <c:axPos val="b"/>
        <c:majorGridlines/>
        <c:numFmt formatCode="0%" sourceLinked="1"/>
        <c:majorTickMark val="out"/>
        <c:minorTickMark val="none"/>
        <c:tickLblPos val="nextTo"/>
        <c:crossAx val="107389696"/>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2646839423709806"/>
          <c:h val="0.37133401803035493"/>
        </c:manualLayout>
      </c:layout>
      <c:barChart>
        <c:barDir val="bar"/>
        <c:grouping val="clustered"/>
        <c:varyColors val="0"/>
        <c:ser>
          <c:idx val="0"/>
          <c:order val="0"/>
          <c:tx>
            <c:strRef>
              <c:f>'[2021 m. I ketv. finans duom.xlsx]minist pagal prior'!$M$94</c:f>
              <c:strCache>
                <c:ptCount val="1"/>
                <c:pt idx="0">
                  <c:v>Nepaskirta projektams</c:v>
                </c:pt>
              </c:strCache>
            </c:strRef>
          </c:tx>
          <c:spPr>
            <a:solidFill>
              <a:schemeClr val="bg1">
                <a:lumMod val="85000"/>
              </a:schemeClr>
            </a:solidFill>
            <a:ln w="38100">
              <a:noFill/>
            </a:ln>
          </c:spPr>
          <c:invertIfNegative val="0"/>
          <c:cat>
            <c:strRef>
              <c:f>'[2021 m. I ketv. finans duom.xlsx]minist pagal prior'!$L$96</c:f>
              <c:strCache>
                <c:ptCount val="1"/>
                <c:pt idx="0">
                  <c:v>VRM, ERPF</c:v>
                </c:pt>
              </c:strCache>
            </c:strRef>
          </c:cat>
          <c:val>
            <c:numRef>
              <c:f>'[2021 m. I ketv. finans duom.xlsx]minist pagal prior'!$M$96</c:f>
              <c:numCache>
                <c:formatCode>0%</c:formatCode>
                <c:ptCount val="1"/>
                <c:pt idx="0">
                  <c:v>1</c:v>
                </c:pt>
              </c:numCache>
            </c:numRef>
          </c:val>
        </c:ser>
        <c:ser>
          <c:idx val="2"/>
          <c:order val="1"/>
          <c:tx>
            <c:strRef>
              <c:f>'[2021 m. I ketv. finans duom.xlsx]minist pagal prior'!$N$94</c:f>
              <c:strCache>
                <c:ptCount val="1"/>
                <c:pt idx="0">
                  <c:v>Sudaryta sutarčių</c:v>
                </c:pt>
              </c:strCache>
            </c:strRef>
          </c:tx>
          <c:spPr>
            <a:solidFill>
              <a:schemeClr val="accent1"/>
            </a:solidFill>
            <a:ln w="50800">
              <a:solidFill>
                <a:schemeClr val="accent1"/>
              </a:solidFill>
            </a:ln>
          </c:spPr>
          <c:invertIfNegative val="0"/>
          <c:dLbls>
            <c:dLbl>
              <c:idx val="0"/>
              <c:layout>
                <c:manualLayout>
                  <c:x val="-6.0249465720809664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prior'!$L$96</c:f>
              <c:strCache>
                <c:ptCount val="1"/>
                <c:pt idx="0">
                  <c:v>VRM, ERPF</c:v>
                </c:pt>
              </c:strCache>
            </c:strRef>
          </c:cat>
          <c:val>
            <c:numRef>
              <c:f>'[2021 m. I ketv. finans duom.xlsx]minist pagal prior'!$N$96</c:f>
              <c:numCache>
                <c:formatCode>0%</c:formatCode>
                <c:ptCount val="1"/>
                <c:pt idx="0">
                  <c:v>1.0118411223678239</c:v>
                </c:pt>
              </c:numCache>
            </c:numRef>
          </c:val>
        </c:ser>
        <c:ser>
          <c:idx val="3"/>
          <c:order val="2"/>
          <c:tx>
            <c:strRef>
              <c:f>'[2021 m. I ketv. finans duom.xlsx]minist pagal prior'!$O$94</c:f>
              <c:strCache>
                <c:ptCount val="1"/>
                <c:pt idx="0">
                  <c:v>Investuota projektuose</c:v>
                </c:pt>
              </c:strCache>
            </c:strRef>
          </c:tx>
          <c:spPr>
            <a:solidFill>
              <a:schemeClr val="accent3"/>
            </a:solidFill>
          </c:spPr>
          <c:invertIfNegative val="0"/>
          <c:dLbls>
            <c:dLbl>
              <c:idx val="0"/>
              <c:layout>
                <c:manualLayout>
                  <c:x val="-6.6047471620227116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prior'!$L$96</c:f>
              <c:strCache>
                <c:ptCount val="1"/>
                <c:pt idx="0">
                  <c:v>VRM, ERPF</c:v>
                </c:pt>
              </c:strCache>
            </c:strRef>
          </c:cat>
          <c:val>
            <c:numRef>
              <c:f>'[2021 m. I ketv. finans duom.xlsx]minist pagal prior'!$O$96</c:f>
              <c:numCache>
                <c:formatCode>0%</c:formatCode>
                <c:ptCount val="1"/>
                <c:pt idx="0">
                  <c:v>0.61519542669075211</c:v>
                </c:pt>
              </c:numCache>
            </c:numRef>
          </c:val>
        </c:ser>
        <c:dLbls>
          <c:showLegendKey val="0"/>
          <c:showVal val="0"/>
          <c:showCatName val="0"/>
          <c:showSerName val="0"/>
          <c:showPercent val="0"/>
          <c:showBubbleSize val="0"/>
        </c:dLbls>
        <c:gapWidth val="217"/>
        <c:overlap val="100"/>
        <c:axId val="107434752"/>
        <c:axId val="107436288"/>
      </c:barChart>
      <c:catAx>
        <c:axId val="107434752"/>
        <c:scaling>
          <c:orientation val="minMax"/>
        </c:scaling>
        <c:delete val="0"/>
        <c:axPos val="l"/>
        <c:numFmt formatCode="General" sourceLinked="0"/>
        <c:majorTickMark val="out"/>
        <c:minorTickMark val="none"/>
        <c:tickLblPos val="nextTo"/>
        <c:crossAx val="107436288"/>
        <c:crosses val="autoZero"/>
        <c:auto val="1"/>
        <c:lblAlgn val="ctr"/>
        <c:lblOffset val="100"/>
        <c:noMultiLvlLbl val="0"/>
      </c:catAx>
      <c:valAx>
        <c:axId val="107436288"/>
        <c:scaling>
          <c:orientation val="minMax"/>
          <c:max val="1.1000000000000001"/>
          <c:min val="0"/>
        </c:scaling>
        <c:delete val="0"/>
        <c:axPos val="b"/>
        <c:majorGridlines/>
        <c:numFmt formatCode="0%" sourceLinked="1"/>
        <c:majorTickMark val="out"/>
        <c:minorTickMark val="none"/>
        <c:tickLblPos val="nextTo"/>
        <c:crossAx val="107434752"/>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0912462865218779"/>
        </c:manualLayout>
      </c:layout>
      <c:barChart>
        <c:barDir val="bar"/>
        <c:grouping val="clustered"/>
        <c:varyColors val="0"/>
        <c:ser>
          <c:idx val="0"/>
          <c:order val="0"/>
          <c:tx>
            <c:strRef>
              <c:f>'[2021 m. I ketv. finans duom.xlsx]minist pagal prior'!$M$100</c:f>
              <c:strCache>
                <c:ptCount val="1"/>
                <c:pt idx="0">
                  <c:v>Nepaskirta projektams</c:v>
                </c:pt>
              </c:strCache>
            </c:strRef>
          </c:tx>
          <c:spPr>
            <a:solidFill>
              <a:schemeClr val="bg1">
                <a:lumMod val="85000"/>
              </a:schemeClr>
            </a:solidFill>
            <a:ln w="38100">
              <a:noFill/>
            </a:ln>
          </c:spPr>
          <c:invertIfNegative val="0"/>
          <c:dLbls>
            <c:dLbl>
              <c:idx val="0"/>
              <c:delete val="1"/>
              <c:extLst xmlns:c16r2="http://schemas.microsoft.com/office/drawing/2015/06/chart">
                <c:ext xmlns:c15="http://schemas.microsoft.com/office/drawing/2012/chart" uri="{CE6537A1-D6FC-4f65-9D91-7224C49458BB}"/>
              </c:extLst>
            </c:dLbl>
            <c:dLbl>
              <c:idx val="1"/>
              <c:tx>
                <c:rich>
                  <a:bodyPr/>
                  <a:lstStyle/>
                  <a:p>
                    <a:r>
                      <a:rPr lang="en-US"/>
                      <a:t>7%</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tx1">
                        <a:lumMod val="50000"/>
                        <a:lumOff val="50000"/>
                      </a:schemeClr>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prior'!$L$101:$L$102</c:f>
              <c:strCache>
                <c:ptCount val="2"/>
                <c:pt idx="0">
                  <c:v>SADM, ESF</c:v>
                </c:pt>
                <c:pt idx="1">
                  <c:v>SADM, ERPF</c:v>
                </c:pt>
              </c:strCache>
            </c:strRef>
          </c:cat>
          <c:val>
            <c:numRef>
              <c:f>'[2021 m. I ketv. finans duom.xlsx]minist pagal prior'!$M$101:$M$102</c:f>
              <c:numCache>
                <c:formatCode>0%</c:formatCode>
                <c:ptCount val="2"/>
                <c:pt idx="0">
                  <c:v>1</c:v>
                </c:pt>
                <c:pt idx="1">
                  <c:v>1</c:v>
                </c:pt>
              </c:numCache>
            </c:numRef>
          </c:val>
        </c:ser>
        <c:ser>
          <c:idx val="2"/>
          <c:order val="1"/>
          <c:tx>
            <c:strRef>
              <c:f>'[2021 m. I ketv. finans duom.xlsx]minist pagal prior'!$N$100</c:f>
              <c:strCache>
                <c:ptCount val="1"/>
                <c:pt idx="0">
                  <c:v>Sudaryta sutarčių</c:v>
                </c:pt>
              </c:strCache>
            </c:strRef>
          </c:tx>
          <c:spPr>
            <a:solidFill>
              <a:schemeClr val="accent1"/>
            </a:solidFill>
            <a:ln w="50800">
              <a:solidFill>
                <a:schemeClr val="accent1"/>
              </a:solidFill>
            </a:ln>
          </c:spPr>
          <c:invertIfNegative val="0"/>
          <c:dLbls>
            <c:dLbl>
              <c:idx val="0"/>
              <c:layout>
                <c:manualLayout>
                  <c:x val="-5.5859519108099102E-2"/>
                  <c:y val="-1.626016260162601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layout>
                <c:manualLayout>
                  <c:x val="-6.5625573893046657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prior'!$L$101:$L$102</c:f>
              <c:strCache>
                <c:ptCount val="2"/>
                <c:pt idx="0">
                  <c:v>SADM, ESF</c:v>
                </c:pt>
                <c:pt idx="1">
                  <c:v>SADM, ERPF</c:v>
                </c:pt>
              </c:strCache>
            </c:strRef>
          </c:cat>
          <c:val>
            <c:numRef>
              <c:f>'[2021 m. I ketv. finans duom.xlsx]minist pagal prior'!$N$101:$N$102</c:f>
              <c:numCache>
                <c:formatCode>0%</c:formatCode>
                <c:ptCount val="2"/>
                <c:pt idx="0">
                  <c:v>1.0109366103167201</c:v>
                </c:pt>
                <c:pt idx="1">
                  <c:v>0.93361523657399492</c:v>
                </c:pt>
              </c:numCache>
            </c:numRef>
          </c:val>
        </c:ser>
        <c:ser>
          <c:idx val="3"/>
          <c:order val="2"/>
          <c:tx>
            <c:strRef>
              <c:f>'[2021 m. I ketv. finans duom.xlsx]minist pagal prior'!$O$100</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prior'!$L$101:$L$102</c:f>
              <c:strCache>
                <c:ptCount val="2"/>
                <c:pt idx="0">
                  <c:v>SADM, ESF</c:v>
                </c:pt>
                <c:pt idx="1">
                  <c:v>SADM, ERPF</c:v>
                </c:pt>
              </c:strCache>
            </c:strRef>
          </c:cat>
          <c:val>
            <c:numRef>
              <c:f>'[2021 m. I ketv. finans duom.xlsx]minist pagal prior'!$O$101:$O$102</c:f>
              <c:numCache>
                <c:formatCode>0%</c:formatCode>
                <c:ptCount val="2"/>
                <c:pt idx="0">
                  <c:v>0.77335963844085054</c:v>
                </c:pt>
                <c:pt idx="1">
                  <c:v>0.54283169460644698</c:v>
                </c:pt>
              </c:numCache>
            </c:numRef>
          </c:val>
        </c:ser>
        <c:dLbls>
          <c:showLegendKey val="0"/>
          <c:showVal val="0"/>
          <c:showCatName val="0"/>
          <c:showSerName val="0"/>
          <c:showPercent val="0"/>
          <c:showBubbleSize val="0"/>
        </c:dLbls>
        <c:gapWidth val="73"/>
        <c:overlap val="100"/>
        <c:axId val="107496192"/>
        <c:axId val="107497728"/>
      </c:barChart>
      <c:catAx>
        <c:axId val="107496192"/>
        <c:scaling>
          <c:orientation val="minMax"/>
        </c:scaling>
        <c:delete val="0"/>
        <c:axPos val="l"/>
        <c:numFmt formatCode="General" sourceLinked="0"/>
        <c:majorTickMark val="out"/>
        <c:minorTickMark val="none"/>
        <c:tickLblPos val="nextTo"/>
        <c:crossAx val="107497728"/>
        <c:crosses val="autoZero"/>
        <c:auto val="1"/>
        <c:lblAlgn val="ctr"/>
        <c:lblOffset val="100"/>
        <c:noMultiLvlLbl val="0"/>
      </c:catAx>
      <c:valAx>
        <c:axId val="107497728"/>
        <c:scaling>
          <c:orientation val="minMax"/>
          <c:max val="1.05"/>
          <c:min val="0"/>
        </c:scaling>
        <c:delete val="0"/>
        <c:axPos val="b"/>
        <c:majorGridlines/>
        <c:numFmt formatCode="0%" sourceLinked="1"/>
        <c:majorTickMark val="out"/>
        <c:minorTickMark val="none"/>
        <c:tickLblPos val="nextTo"/>
        <c:crossAx val="107496192"/>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290095880872033"/>
        </c:manualLayout>
      </c:layout>
      <c:barChart>
        <c:barDir val="bar"/>
        <c:grouping val="clustered"/>
        <c:varyColors val="0"/>
        <c:ser>
          <c:idx val="0"/>
          <c:order val="0"/>
          <c:tx>
            <c:strRef>
              <c:f>'[2021 m. I ketv. finans duom.xlsx]minist pagal prior'!$M$106</c:f>
              <c:strCache>
                <c:ptCount val="1"/>
                <c:pt idx="0">
                  <c:v>Nepaskirta projektams</c:v>
                </c:pt>
              </c:strCache>
            </c:strRef>
          </c:tx>
          <c:spPr>
            <a:solidFill>
              <a:schemeClr val="bg1">
                <a:lumMod val="85000"/>
              </a:schemeClr>
            </a:solidFill>
            <a:ln w="38100">
              <a:noFill/>
            </a:ln>
          </c:spPr>
          <c:invertIfNegative val="0"/>
          <c:cat>
            <c:strRef>
              <c:f>'[2021 m. I ketv. finans duom.xlsx]minist pagal prior'!$L$107:$L$108</c:f>
              <c:strCache>
                <c:ptCount val="2"/>
                <c:pt idx="0">
                  <c:v>SAM, ESF</c:v>
                </c:pt>
                <c:pt idx="1">
                  <c:v>SAM, ERPF</c:v>
                </c:pt>
              </c:strCache>
            </c:strRef>
          </c:cat>
          <c:val>
            <c:numRef>
              <c:f>'[2021 m. I ketv. finans duom.xlsx]minist pagal prior'!$M$107:$M$108</c:f>
              <c:numCache>
                <c:formatCode>0%</c:formatCode>
                <c:ptCount val="2"/>
                <c:pt idx="0">
                  <c:v>1</c:v>
                </c:pt>
                <c:pt idx="1">
                  <c:v>1</c:v>
                </c:pt>
              </c:numCache>
            </c:numRef>
          </c:val>
        </c:ser>
        <c:ser>
          <c:idx val="2"/>
          <c:order val="1"/>
          <c:tx>
            <c:strRef>
              <c:f>'[2021 m. I ketv. finans duom.xlsx]minist pagal prior'!$N$106</c:f>
              <c:strCache>
                <c:ptCount val="1"/>
                <c:pt idx="0">
                  <c:v>Sudaryta sutarčių</c:v>
                </c:pt>
              </c:strCache>
            </c:strRef>
          </c:tx>
          <c:spPr>
            <a:solidFill>
              <a:schemeClr val="accent1"/>
            </a:solidFill>
            <a:ln w="50800">
              <a:solidFill>
                <a:schemeClr val="accent1"/>
              </a:solidFill>
            </a:ln>
          </c:spPr>
          <c:invertIfNegative val="0"/>
          <c:dLbls>
            <c:dLbl>
              <c:idx val="0"/>
              <c:layout>
                <c:manualLayout>
                  <c:x val="-4.9551530516889722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layout>
                <c:manualLayout>
                  <c:x val="-6.078853920349739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prior'!$L$107:$L$108</c:f>
              <c:strCache>
                <c:ptCount val="2"/>
                <c:pt idx="0">
                  <c:v>SAM, ESF</c:v>
                </c:pt>
                <c:pt idx="1">
                  <c:v>SAM, ERPF</c:v>
                </c:pt>
              </c:strCache>
            </c:strRef>
          </c:cat>
          <c:val>
            <c:numRef>
              <c:f>'[2021 m. I ketv. finans duom.xlsx]minist pagal prior'!$N$107:$N$108</c:f>
              <c:numCache>
                <c:formatCode>0%</c:formatCode>
                <c:ptCount val="2"/>
                <c:pt idx="0">
                  <c:v>1.1306519118146108</c:v>
                </c:pt>
                <c:pt idx="1">
                  <c:v>1.0531559454398751</c:v>
                </c:pt>
              </c:numCache>
            </c:numRef>
          </c:val>
        </c:ser>
        <c:ser>
          <c:idx val="3"/>
          <c:order val="2"/>
          <c:tx>
            <c:strRef>
              <c:f>'[2021 m. I ketv. finans duom.xlsx]minist pagal prior'!$O$106</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prior'!$L$107:$L$108</c:f>
              <c:strCache>
                <c:ptCount val="2"/>
                <c:pt idx="0">
                  <c:v>SAM, ESF</c:v>
                </c:pt>
                <c:pt idx="1">
                  <c:v>SAM, ERPF</c:v>
                </c:pt>
              </c:strCache>
            </c:strRef>
          </c:cat>
          <c:val>
            <c:numRef>
              <c:f>'[2021 m. I ketv. finans duom.xlsx]minist pagal prior'!$O$107:$O$108</c:f>
              <c:numCache>
                <c:formatCode>0%</c:formatCode>
                <c:ptCount val="2"/>
                <c:pt idx="0">
                  <c:v>0.50783104595794515</c:v>
                </c:pt>
                <c:pt idx="1">
                  <c:v>0.64535267767639326</c:v>
                </c:pt>
              </c:numCache>
            </c:numRef>
          </c:val>
        </c:ser>
        <c:dLbls>
          <c:showLegendKey val="0"/>
          <c:showVal val="0"/>
          <c:showCatName val="0"/>
          <c:showSerName val="0"/>
          <c:showPercent val="0"/>
          <c:showBubbleSize val="0"/>
        </c:dLbls>
        <c:gapWidth val="101"/>
        <c:overlap val="100"/>
        <c:axId val="107540864"/>
        <c:axId val="107542400"/>
      </c:barChart>
      <c:catAx>
        <c:axId val="107540864"/>
        <c:scaling>
          <c:orientation val="minMax"/>
        </c:scaling>
        <c:delete val="0"/>
        <c:axPos val="l"/>
        <c:numFmt formatCode="General" sourceLinked="0"/>
        <c:majorTickMark val="out"/>
        <c:minorTickMark val="none"/>
        <c:tickLblPos val="nextTo"/>
        <c:crossAx val="107542400"/>
        <c:crosses val="autoZero"/>
        <c:auto val="1"/>
        <c:lblAlgn val="ctr"/>
        <c:lblOffset val="100"/>
        <c:noMultiLvlLbl val="0"/>
      </c:catAx>
      <c:valAx>
        <c:axId val="107542400"/>
        <c:scaling>
          <c:orientation val="minMax"/>
          <c:max val="1.1000000000000001"/>
          <c:min val="0"/>
        </c:scaling>
        <c:delete val="0"/>
        <c:axPos val="b"/>
        <c:majorGridlines/>
        <c:numFmt formatCode="0%" sourceLinked="1"/>
        <c:majorTickMark val="out"/>
        <c:minorTickMark val="none"/>
        <c:tickLblPos val="nextTo"/>
        <c:crossAx val="107540864"/>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29606178538027572"/>
        </c:manualLayout>
      </c:layout>
      <c:barChart>
        <c:barDir val="bar"/>
        <c:grouping val="clustered"/>
        <c:varyColors val="0"/>
        <c:ser>
          <c:idx val="0"/>
          <c:order val="0"/>
          <c:tx>
            <c:strRef>
              <c:f>'[2021 m. I ketv. finans duom.xlsx]minist pagal prior'!$M$112</c:f>
              <c:strCache>
                <c:ptCount val="1"/>
                <c:pt idx="0">
                  <c:v>Nepaskirta projektams</c:v>
                </c:pt>
              </c:strCache>
            </c:strRef>
          </c:tx>
          <c:spPr>
            <a:solidFill>
              <a:schemeClr val="bg1">
                <a:lumMod val="85000"/>
              </a:schemeClr>
            </a:solidFill>
          </c:spPr>
          <c:invertIfNegative val="0"/>
          <c:dLbls>
            <c:dLbl>
              <c:idx val="0"/>
              <c:layout>
                <c:manualLayout>
                  <c:x val="-4.7843137254901962E-2"/>
                  <c:y val="0"/>
                </c:manualLayout>
              </c:layout>
              <c:tx>
                <c:rich>
                  <a:bodyPr/>
                  <a:lstStyle/>
                  <a:p>
                    <a:r>
                      <a:rPr lang="en-US"/>
                      <a:t>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tx1">
                        <a:lumMod val="50000"/>
                        <a:lumOff val="50000"/>
                      </a:schemeClr>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prior'!$L$113</c:f>
              <c:strCache>
                <c:ptCount val="1"/>
                <c:pt idx="0">
                  <c:v>EIM, ESF</c:v>
                </c:pt>
              </c:strCache>
            </c:strRef>
          </c:cat>
          <c:val>
            <c:numRef>
              <c:f>'[2021 m. I ketv. finans duom.xlsx]minist pagal prior'!$M$113</c:f>
              <c:numCache>
                <c:formatCode>0%</c:formatCode>
                <c:ptCount val="1"/>
                <c:pt idx="0">
                  <c:v>1</c:v>
                </c:pt>
              </c:numCache>
            </c:numRef>
          </c:val>
        </c:ser>
        <c:ser>
          <c:idx val="2"/>
          <c:order val="1"/>
          <c:tx>
            <c:strRef>
              <c:f>'[2021 m. I ketv. finans duom.xlsx]minist pagal prior'!$N$112</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prior'!$L$113</c:f>
              <c:strCache>
                <c:ptCount val="1"/>
                <c:pt idx="0">
                  <c:v>EIM, ESF</c:v>
                </c:pt>
              </c:strCache>
            </c:strRef>
          </c:cat>
          <c:val>
            <c:numRef>
              <c:f>'[2021 m. I ketv. finans duom.xlsx]minist pagal prior'!$N$113</c:f>
              <c:numCache>
                <c:formatCode>0%</c:formatCode>
                <c:ptCount val="1"/>
                <c:pt idx="0">
                  <c:v>0.93926062426627999</c:v>
                </c:pt>
              </c:numCache>
            </c:numRef>
          </c:val>
        </c:ser>
        <c:ser>
          <c:idx val="3"/>
          <c:order val="2"/>
          <c:tx>
            <c:strRef>
              <c:f>'[2021 m. I ketv. finans duom.xlsx]minist pagal prior'!$O$112</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prior'!$L$113</c:f>
              <c:strCache>
                <c:ptCount val="1"/>
                <c:pt idx="0">
                  <c:v>EIM, ESF</c:v>
                </c:pt>
              </c:strCache>
            </c:strRef>
          </c:cat>
          <c:val>
            <c:numRef>
              <c:f>'[2021 m. I ketv. finans duom.xlsx]minist pagal prior'!$O$113</c:f>
              <c:numCache>
                <c:formatCode>0%</c:formatCode>
                <c:ptCount val="1"/>
                <c:pt idx="0">
                  <c:v>0.20716801325875284</c:v>
                </c:pt>
              </c:numCache>
            </c:numRef>
          </c:val>
        </c:ser>
        <c:dLbls>
          <c:showLegendKey val="0"/>
          <c:showVal val="0"/>
          <c:showCatName val="0"/>
          <c:showSerName val="0"/>
          <c:showPercent val="0"/>
          <c:showBubbleSize val="0"/>
        </c:dLbls>
        <c:gapWidth val="83"/>
        <c:overlap val="100"/>
        <c:axId val="107590400"/>
        <c:axId val="107591936"/>
      </c:barChart>
      <c:catAx>
        <c:axId val="107590400"/>
        <c:scaling>
          <c:orientation val="minMax"/>
        </c:scaling>
        <c:delete val="0"/>
        <c:axPos val="l"/>
        <c:numFmt formatCode="General" sourceLinked="0"/>
        <c:majorTickMark val="out"/>
        <c:minorTickMark val="none"/>
        <c:tickLblPos val="nextTo"/>
        <c:crossAx val="107591936"/>
        <c:crosses val="autoZero"/>
        <c:auto val="1"/>
        <c:lblAlgn val="ctr"/>
        <c:lblOffset val="100"/>
        <c:noMultiLvlLbl val="0"/>
      </c:catAx>
      <c:valAx>
        <c:axId val="107591936"/>
        <c:scaling>
          <c:orientation val="minMax"/>
          <c:max val="1.1000000000000001"/>
          <c:min val="0"/>
        </c:scaling>
        <c:delete val="0"/>
        <c:axPos val="b"/>
        <c:majorGridlines/>
        <c:numFmt formatCode="0%" sourceLinked="1"/>
        <c:majorTickMark val="out"/>
        <c:minorTickMark val="none"/>
        <c:tickLblPos val="nextTo"/>
        <c:crossAx val="107590400"/>
        <c:crosses val="autoZero"/>
        <c:crossBetween val="between"/>
        <c:majorUnit val="0.2"/>
      </c:valAx>
    </c:plotArea>
    <c:legend>
      <c:legendPos val="b"/>
      <c:layout>
        <c:manualLayout>
          <c:xMode val="edge"/>
          <c:yMode val="edge"/>
          <c:x val="8.0235814176478709E-2"/>
          <c:y val="0.7853342160454333"/>
          <c:w val="0.83952837164704253"/>
          <c:h val="0.18690349752792529"/>
        </c:manualLayout>
      </c:layout>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6033952177996107"/>
        </c:manualLayout>
      </c:layout>
      <c:barChart>
        <c:barDir val="bar"/>
        <c:grouping val="clustered"/>
        <c:varyColors val="0"/>
        <c:ser>
          <c:idx val="0"/>
          <c:order val="0"/>
          <c:tx>
            <c:strRef>
              <c:f>'[2021 m. I ketv. finans duom.xlsx]minist pagal prior'!$M$117</c:f>
              <c:strCache>
                <c:ptCount val="1"/>
                <c:pt idx="0">
                  <c:v>Nepaskirta projektams</c:v>
                </c:pt>
              </c:strCache>
            </c:strRef>
          </c:tx>
          <c:spPr>
            <a:solidFill>
              <a:schemeClr val="bg1">
                <a:lumMod val="85000"/>
              </a:schemeClr>
            </a:solidFill>
            <a:ln w="38100">
              <a:noFill/>
            </a:ln>
          </c:spPr>
          <c:invertIfNegative val="0"/>
          <c:cat>
            <c:strRef>
              <c:f>'[2021 m. I ketv. finans duom.xlsx]minist pagal prior'!$L$118:$L$119</c:f>
              <c:strCache>
                <c:ptCount val="2"/>
                <c:pt idx="0">
                  <c:v>VRM, ESF</c:v>
                </c:pt>
                <c:pt idx="1">
                  <c:v>VRM, ERPF</c:v>
                </c:pt>
              </c:strCache>
            </c:strRef>
          </c:cat>
          <c:val>
            <c:numRef>
              <c:f>'[2021 m. I ketv. finans duom.xlsx]minist pagal prior'!$M$118:$M$119</c:f>
              <c:numCache>
                <c:formatCode>0%</c:formatCode>
                <c:ptCount val="2"/>
                <c:pt idx="0">
                  <c:v>1</c:v>
                </c:pt>
                <c:pt idx="1">
                  <c:v>1</c:v>
                </c:pt>
              </c:numCache>
            </c:numRef>
          </c:val>
        </c:ser>
        <c:ser>
          <c:idx val="2"/>
          <c:order val="1"/>
          <c:tx>
            <c:strRef>
              <c:f>'[2021 m. I ketv. finans duom.xlsx]minist pagal prior'!$N$117</c:f>
              <c:strCache>
                <c:ptCount val="1"/>
                <c:pt idx="0">
                  <c:v>Sudaryta sutarčių</c:v>
                </c:pt>
              </c:strCache>
            </c:strRef>
          </c:tx>
          <c:spPr>
            <a:solidFill>
              <a:schemeClr val="accent1"/>
            </a:solidFill>
            <a:ln w="50800">
              <a:solidFill>
                <a:schemeClr val="accent1"/>
              </a:solidFill>
            </a:ln>
          </c:spPr>
          <c:invertIfNegative val="0"/>
          <c:dLbls>
            <c:dLbl>
              <c:idx val="0"/>
              <c:layout>
                <c:manualLayout>
                  <c:x val="-4.966756864370281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layout>
                <c:manualLayout>
                  <c:x val="-5.1731552131834911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prior'!$L$118:$L$119</c:f>
              <c:strCache>
                <c:ptCount val="2"/>
                <c:pt idx="0">
                  <c:v>VRM, ESF</c:v>
                </c:pt>
                <c:pt idx="1">
                  <c:v>VRM, ERPF</c:v>
                </c:pt>
              </c:strCache>
            </c:strRef>
          </c:cat>
          <c:val>
            <c:numRef>
              <c:f>'[2021 m. I ketv. finans duom.xlsx]minist pagal prior'!$N$118:$N$119</c:f>
              <c:numCache>
                <c:formatCode>0%</c:formatCode>
                <c:ptCount val="2"/>
                <c:pt idx="0">
                  <c:v>1.1765486632650708</c:v>
                </c:pt>
                <c:pt idx="1">
                  <c:v>1.0660947430326353</c:v>
                </c:pt>
              </c:numCache>
            </c:numRef>
          </c:val>
        </c:ser>
        <c:ser>
          <c:idx val="3"/>
          <c:order val="2"/>
          <c:tx>
            <c:strRef>
              <c:f>'[2021 m. I ketv. finans duom.xlsx]minist pagal prior'!$O$117</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prior'!$L$118:$L$119</c:f>
              <c:strCache>
                <c:ptCount val="2"/>
                <c:pt idx="0">
                  <c:v>VRM, ESF</c:v>
                </c:pt>
                <c:pt idx="1">
                  <c:v>VRM, ERPF</c:v>
                </c:pt>
              </c:strCache>
            </c:strRef>
          </c:cat>
          <c:val>
            <c:numRef>
              <c:f>'[2021 m. I ketv. finans duom.xlsx]minist pagal prior'!$O$118:$O$119</c:f>
              <c:numCache>
                <c:formatCode>0%</c:formatCode>
                <c:ptCount val="2"/>
                <c:pt idx="0">
                  <c:v>0.68420685320531438</c:v>
                </c:pt>
                <c:pt idx="1">
                  <c:v>0.85642413521898608</c:v>
                </c:pt>
              </c:numCache>
            </c:numRef>
          </c:val>
        </c:ser>
        <c:dLbls>
          <c:showLegendKey val="0"/>
          <c:showVal val="0"/>
          <c:showCatName val="0"/>
          <c:showSerName val="0"/>
          <c:showPercent val="0"/>
          <c:showBubbleSize val="0"/>
        </c:dLbls>
        <c:gapWidth val="93"/>
        <c:overlap val="100"/>
        <c:axId val="107750144"/>
        <c:axId val="107751680"/>
      </c:barChart>
      <c:catAx>
        <c:axId val="107750144"/>
        <c:scaling>
          <c:orientation val="minMax"/>
        </c:scaling>
        <c:delete val="0"/>
        <c:axPos val="l"/>
        <c:numFmt formatCode="General" sourceLinked="0"/>
        <c:majorTickMark val="out"/>
        <c:minorTickMark val="none"/>
        <c:tickLblPos val="nextTo"/>
        <c:crossAx val="107751680"/>
        <c:crosses val="autoZero"/>
        <c:auto val="1"/>
        <c:lblAlgn val="ctr"/>
        <c:lblOffset val="100"/>
        <c:noMultiLvlLbl val="0"/>
      </c:catAx>
      <c:valAx>
        <c:axId val="107751680"/>
        <c:scaling>
          <c:orientation val="minMax"/>
          <c:max val="1.1000000000000001"/>
          <c:min val="0"/>
        </c:scaling>
        <c:delete val="0"/>
        <c:axPos val="b"/>
        <c:majorGridlines/>
        <c:numFmt formatCode="0%" sourceLinked="1"/>
        <c:majorTickMark val="out"/>
        <c:minorTickMark val="none"/>
        <c:tickLblPos val="nextTo"/>
        <c:crossAx val="107750144"/>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9703703703703705"/>
        </c:manualLayout>
      </c:layout>
      <c:barChart>
        <c:barDir val="bar"/>
        <c:grouping val="clustered"/>
        <c:varyColors val="0"/>
        <c:ser>
          <c:idx val="0"/>
          <c:order val="0"/>
          <c:tx>
            <c:strRef>
              <c:f>'[2021 m. I ketv. finans duom.xlsx]minist pagal prior'!$M$123</c:f>
              <c:strCache>
                <c:ptCount val="1"/>
                <c:pt idx="0">
                  <c:v>Nepaskirta projektams</c:v>
                </c:pt>
              </c:strCache>
            </c:strRef>
          </c:tx>
          <c:spPr>
            <a:solidFill>
              <a:schemeClr val="bg1">
                <a:lumMod val="85000"/>
              </a:schemeClr>
            </a:solidFill>
            <a:ln w="38100">
              <a:solidFill>
                <a:schemeClr val="bg1">
                  <a:lumMod val="85000"/>
                </a:schemeClr>
              </a:solidFill>
            </a:ln>
          </c:spPr>
          <c:invertIfNegative val="0"/>
          <c:cat>
            <c:strRef>
              <c:f>'[2021 m. I ketv. finans duom.xlsx]minist pagal prior'!$L$124:$L$125</c:f>
              <c:strCache>
                <c:ptCount val="2"/>
                <c:pt idx="0">
                  <c:v>ŠMSM, ESF</c:v>
                </c:pt>
                <c:pt idx="1">
                  <c:v>ŠMSM, ERPF</c:v>
                </c:pt>
              </c:strCache>
            </c:strRef>
          </c:cat>
          <c:val>
            <c:numRef>
              <c:f>'[2021 m. I ketv. finans duom.xlsx]minist pagal prior'!$M$124:$M$125</c:f>
              <c:numCache>
                <c:formatCode>0%</c:formatCode>
                <c:ptCount val="2"/>
                <c:pt idx="0">
                  <c:v>1</c:v>
                </c:pt>
                <c:pt idx="1">
                  <c:v>1</c:v>
                </c:pt>
              </c:numCache>
            </c:numRef>
          </c:val>
        </c:ser>
        <c:ser>
          <c:idx val="2"/>
          <c:order val="1"/>
          <c:tx>
            <c:strRef>
              <c:f>'[2021 m. I ketv. finans duom.xlsx]minist pagal prior'!$N$123</c:f>
              <c:strCache>
                <c:ptCount val="1"/>
                <c:pt idx="0">
                  <c:v>Sudaryta sutarčių</c:v>
                </c:pt>
              </c:strCache>
            </c:strRef>
          </c:tx>
          <c:spPr>
            <a:solidFill>
              <a:schemeClr val="accent1"/>
            </a:solidFill>
            <a:ln w="50800">
              <a:solidFill>
                <a:schemeClr val="accent1"/>
              </a:solidFill>
            </a:ln>
          </c:spPr>
          <c:invertIfNegative val="0"/>
          <c:dLbls>
            <c:dLbl>
              <c:idx val="0"/>
              <c:layout>
                <c:manualLayout>
                  <c:x val="-5.5859519108099102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layout>
                <c:manualLayout>
                  <c:x val="-5.7923502596231198E-2"/>
                  <c:y val="-1.606425702811244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prior'!$L$124:$L$125</c:f>
              <c:strCache>
                <c:ptCount val="2"/>
                <c:pt idx="0">
                  <c:v>ŠMSM, ESF</c:v>
                </c:pt>
                <c:pt idx="1">
                  <c:v>ŠMSM, ERPF</c:v>
                </c:pt>
              </c:strCache>
            </c:strRef>
          </c:cat>
          <c:val>
            <c:numRef>
              <c:f>'[2021 m. I ketv. finans duom.xlsx]minist pagal prior'!$N$124:$N$125</c:f>
              <c:numCache>
                <c:formatCode>0%</c:formatCode>
                <c:ptCount val="2"/>
                <c:pt idx="0">
                  <c:v>1.0289414670292416</c:v>
                </c:pt>
                <c:pt idx="1">
                  <c:v>1.0459411288007621</c:v>
                </c:pt>
              </c:numCache>
            </c:numRef>
          </c:val>
        </c:ser>
        <c:ser>
          <c:idx val="3"/>
          <c:order val="2"/>
          <c:tx>
            <c:strRef>
              <c:f>'[2021 m. I ketv. finans duom.xlsx]minist pagal prior'!$O$123</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prior'!$L$124:$L$125</c:f>
              <c:strCache>
                <c:ptCount val="2"/>
                <c:pt idx="0">
                  <c:v>ŠMSM, ESF</c:v>
                </c:pt>
                <c:pt idx="1">
                  <c:v>ŠMSM, ERPF</c:v>
                </c:pt>
              </c:strCache>
            </c:strRef>
          </c:cat>
          <c:val>
            <c:numRef>
              <c:f>'[2021 m. I ketv. finans duom.xlsx]minist pagal prior'!$O$124:$O$125</c:f>
              <c:numCache>
                <c:formatCode>0%</c:formatCode>
                <c:ptCount val="2"/>
                <c:pt idx="0">
                  <c:v>0.70359187545296187</c:v>
                </c:pt>
                <c:pt idx="1">
                  <c:v>0.66219609976087335</c:v>
                </c:pt>
              </c:numCache>
            </c:numRef>
          </c:val>
        </c:ser>
        <c:dLbls>
          <c:showLegendKey val="0"/>
          <c:showVal val="0"/>
          <c:showCatName val="0"/>
          <c:showSerName val="0"/>
          <c:showPercent val="0"/>
          <c:showBubbleSize val="0"/>
        </c:dLbls>
        <c:gapWidth val="120"/>
        <c:overlap val="100"/>
        <c:axId val="107798912"/>
        <c:axId val="107800448"/>
      </c:barChart>
      <c:catAx>
        <c:axId val="107798912"/>
        <c:scaling>
          <c:orientation val="minMax"/>
        </c:scaling>
        <c:delete val="0"/>
        <c:axPos val="l"/>
        <c:numFmt formatCode="General" sourceLinked="0"/>
        <c:majorTickMark val="out"/>
        <c:minorTickMark val="none"/>
        <c:tickLblPos val="nextTo"/>
        <c:crossAx val="107800448"/>
        <c:crosses val="autoZero"/>
        <c:auto val="1"/>
        <c:lblAlgn val="ctr"/>
        <c:lblOffset val="100"/>
        <c:noMultiLvlLbl val="0"/>
      </c:catAx>
      <c:valAx>
        <c:axId val="107800448"/>
        <c:scaling>
          <c:orientation val="minMax"/>
          <c:max val="1.05"/>
          <c:min val="0"/>
        </c:scaling>
        <c:delete val="0"/>
        <c:axPos val="b"/>
        <c:majorGridlines/>
        <c:numFmt formatCode="0%" sourceLinked="1"/>
        <c:majorTickMark val="out"/>
        <c:minorTickMark val="none"/>
        <c:tickLblPos val="nextTo"/>
        <c:crossAx val="107798912"/>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36145969705594028"/>
        </c:manualLayout>
      </c:layout>
      <c:barChart>
        <c:barDir val="bar"/>
        <c:grouping val="clustered"/>
        <c:varyColors val="0"/>
        <c:ser>
          <c:idx val="0"/>
          <c:order val="0"/>
          <c:tx>
            <c:strRef>
              <c:f>'[2021 m. I ketv. finans duom.xlsx]minist pagal prior'!$M$129</c:f>
              <c:strCache>
                <c:ptCount val="1"/>
                <c:pt idx="0">
                  <c:v>Nepaskirta projektams</c:v>
                </c:pt>
              </c:strCache>
            </c:strRef>
          </c:tx>
          <c:spPr>
            <a:solidFill>
              <a:schemeClr val="bg1">
                <a:lumMod val="85000"/>
              </a:schemeClr>
            </a:solidFill>
          </c:spPr>
          <c:invertIfNegative val="0"/>
          <c:cat>
            <c:strRef>
              <c:f>'[2021 m. I ketv. finans duom.xlsx]minist pagal prior'!$L$130</c:f>
              <c:strCache>
                <c:ptCount val="1"/>
                <c:pt idx="0">
                  <c:v>EIM, ESF</c:v>
                </c:pt>
              </c:strCache>
            </c:strRef>
          </c:cat>
          <c:val>
            <c:numRef>
              <c:f>'[2021 m. I ketv. finans duom.xlsx]minist pagal prior'!$M$130</c:f>
              <c:numCache>
                <c:formatCode>0%</c:formatCode>
                <c:ptCount val="1"/>
                <c:pt idx="0">
                  <c:v>1</c:v>
                </c:pt>
              </c:numCache>
            </c:numRef>
          </c:val>
        </c:ser>
        <c:ser>
          <c:idx val="2"/>
          <c:order val="1"/>
          <c:tx>
            <c:strRef>
              <c:f>'[2021 m. I ketv. finans duom.xlsx]minist pagal prior'!$N$129</c:f>
              <c:strCache>
                <c:ptCount val="1"/>
                <c:pt idx="0">
                  <c:v>Sudaryta sutarčių</c:v>
                </c:pt>
              </c:strCache>
            </c:strRef>
          </c:tx>
          <c:spPr>
            <a:solidFill>
              <a:schemeClr val="accent1"/>
            </a:solidFill>
            <a:ln w="50800">
              <a:solidFill>
                <a:schemeClr val="accent1"/>
              </a:solidFill>
            </a:ln>
          </c:spPr>
          <c:invertIfNegative val="0"/>
          <c:dLbls>
            <c:dLbl>
              <c:idx val="0"/>
              <c:layout>
                <c:manualLayout>
                  <c:x val="-5.1731552131834911E-2"/>
                  <c:y val="-2.2598870056497175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prior'!$L$130</c:f>
              <c:strCache>
                <c:ptCount val="1"/>
                <c:pt idx="0">
                  <c:v>EIM, ESF</c:v>
                </c:pt>
              </c:strCache>
            </c:strRef>
          </c:cat>
          <c:val>
            <c:numRef>
              <c:f>'[2021 m. I ketv. finans duom.xlsx]minist pagal prior'!$N$130</c:f>
              <c:numCache>
                <c:formatCode>0%</c:formatCode>
                <c:ptCount val="1"/>
                <c:pt idx="0">
                  <c:v>0.99356944982810147</c:v>
                </c:pt>
              </c:numCache>
            </c:numRef>
          </c:val>
        </c:ser>
        <c:ser>
          <c:idx val="3"/>
          <c:order val="2"/>
          <c:tx>
            <c:strRef>
              <c:f>'[2021 m. I ketv. finans duom.xlsx]minist pagal prior'!$O$129</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prior'!$L$130</c:f>
              <c:strCache>
                <c:ptCount val="1"/>
                <c:pt idx="0">
                  <c:v>EIM, ESF</c:v>
                </c:pt>
              </c:strCache>
            </c:strRef>
          </c:cat>
          <c:val>
            <c:numRef>
              <c:f>'[2021 m. I ketv. finans duom.xlsx]minist pagal prior'!$O$130</c:f>
              <c:numCache>
                <c:formatCode>0%</c:formatCode>
                <c:ptCount val="1"/>
                <c:pt idx="0">
                  <c:v>0.48983564764585624</c:v>
                </c:pt>
              </c:numCache>
            </c:numRef>
          </c:val>
        </c:ser>
        <c:dLbls>
          <c:showLegendKey val="0"/>
          <c:showVal val="0"/>
          <c:showCatName val="0"/>
          <c:showSerName val="0"/>
          <c:showPercent val="0"/>
          <c:showBubbleSize val="0"/>
        </c:dLbls>
        <c:gapWidth val="113"/>
        <c:overlap val="100"/>
        <c:axId val="107725184"/>
        <c:axId val="107726720"/>
      </c:barChart>
      <c:catAx>
        <c:axId val="107725184"/>
        <c:scaling>
          <c:orientation val="minMax"/>
        </c:scaling>
        <c:delete val="0"/>
        <c:axPos val="l"/>
        <c:numFmt formatCode="General" sourceLinked="0"/>
        <c:majorTickMark val="out"/>
        <c:minorTickMark val="none"/>
        <c:tickLblPos val="nextTo"/>
        <c:crossAx val="107726720"/>
        <c:crosses val="autoZero"/>
        <c:auto val="1"/>
        <c:lblAlgn val="ctr"/>
        <c:lblOffset val="100"/>
        <c:noMultiLvlLbl val="0"/>
      </c:catAx>
      <c:valAx>
        <c:axId val="107726720"/>
        <c:scaling>
          <c:orientation val="minMax"/>
          <c:max val="1.02"/>
          <c:min val="0"/>
        </c:scaling>
        <c:delete val="0"/>
        <c:axPos val="b"/>
        <c:majorGridlines/>
        <c:numFmt formatCode="0%" sourceLinked="1"/>
        <c:majorTickMark val="out"/>
        <c:minorTickMark val="none"/>
        <c:tickLblPos val="nextTo"/>
        <c:crossAx val="107725184"/>
        <c:crosses val="autoZero"/>
        <c:crossBetween val="between"/>
        <c:majorUnit val="0.2"/>
      </c:valAx>
    </c:plotArea>
    <c:legend>
      <c:legendPos val="b"/>
      <c:layout>
        <c:manualLayout>
          <c:xMode val="edge"/>
          <c:yMode val="edge"/>
          <c:x val="7.8171830688346614E-2"/>
          <c:y val="0.78154381304746545"/>
          <c:w val="0.83952837164704253"/>
          <c:h val="0.18690349752792529"/>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631267140727584E-2"/>
          <c:y val="2.8223571483868271E-2"/>
          <c:w val="0.86434404656069741"/>
          <c:h val="0.77596902670366519"/>
        </c:manualLayout>
      </c:layout>
      <c:barChart>
        <c:barDir val="bar"/>
        <c:grouping val="clustered"/>
        <c:varyColors val="0"/>
        <c:ser>
          <c:idx val="0"/>
          <c:order val="0"/>
          <c:tx>
            <c:strRef>
              <c:f>'[2021 m. I ketv. finans duom.xlsx]Pagal minist '!$C$47</c:f>
              <c:strCache>
                <c:ptCount val="1"/>
                <c:pt idx="0">
                  <c:v> Projektams nepaskirstyta</c:v>
                </c:pt>
              </c:strCache>
            </c:strRef>
          </c:tx>
          <c:spPr>
            <a:solidFill>
              <a:schemeClr val="bg1">
                <a:lumMod val="75000"/>
              </a:schemeClr>
            </a:solidFill>
            <a:ln w="69850">
              <a:noFill/>
            </a:ln>
          </c:spPr>
          <c:invertIfNegative val="0"/>
          <c:dLbls>
            <c:dLbl>
              <c:idx val="0"/>
              <c:delete val="1"/>
              <c:extLst xmlns:c16r2="http://schemas.microsoft.com/office/drawing/2015/06/chart">
                <c:ext xmlns:c15="http://schemas.microsoft.com/office/drawing/2012/chart" uri="{CE6537A1-D6FC-4f65-9D91-7224C49458BB}"/>
              </c:extLst>
            </c:dLbl>
            <c:dLbl>
              <c:idx val="1"/>
              <c:delete val="1"/>
              <c:extLst xmlns:c16r2="http://schemas.microsoft.com/office/drawing/2015/06/chart">
                <c:ext xmlns:c15="http://schemas.microsoft.com/office/drawing/2012/chart" uri="{CE6537A1-D6FC-4f65-9D91-7224C49458BB}"/>
              </c:extLst>
            </c:dLbl>
            <c:dLbl>
              <c:idx val="2"/>
              <c:delete val="1"/>
              <c:extLst xmlns:c16r2="http://schemas.microsoft.com/office/drawing/2015/06/chart">
                <c:ext xmlns:c15="http://schemas.microsoft.com/office/drawing/2012/chart" uri="{CE6537A1-D6FC-4f65-9D91-7224C49458BB}"/>
              </c:extLst>
            </c:dLbl>
            <c:dLbl>
              <c:idx val="3"/>
              <c:delete val="1"/>
              <c:extLst xmlns:c16r2="http://schemas.microsoft.com/office/drawing/2015/06/chart">
                <c:ext xmlns:c15="http://schemas.microsoft.com/office/drawing/2012/chart" uri="{CE6537A1-D6FC-4f65-9D91-7224C49458BB}"/>
              </c:extLst>
            </c:dLbl>
            <c:dLbl>
              <c:idx val="4"/>
              <c:delete val="1"/>
              <c:extLst xmlns:c16r2="http://schemas.microsoft.com/office/drawing/2015/06/chart">
                <c:ext xmlns:c15="http://schemas.microsoft.com/office/drawing/2012/chart" uri="{CE6537A1-D6FC-4f65-9D91-7224C49458BB}"/>
              </c:extLst>
            </c:dLbl>
            <c:dLbl>
              <c:idx val="5"/>
              <c:delete val="1"/>
              <c:extLst xmlns:c16r2="http://schemas.microsoft.com/office/drawing/2015/06/chart">
                <c:ext xmlns:c15="http://schemas.microsoft.com/office/drawing/2012/chart" uri="{CE6537A1-D6FC-4f65-9D91-7224C49458BB}"/>
              </c:extLst>
            </c:dLbl>
            <c:dLbl>
              <c:idx val="6"/>
              <c:layout>
                <c:manualLayout>
                  <c:x val="-6.2773449977807814E-3"/>
                  <c:y val="7.9999748031344894E-2"/>
                </c:manualLayout>
              </c:layout>
              <c:tx>
                <c:rich>
                  <a:bodyPr/>
                  <a:lstStyle/>
                  <a:p>
                    <a:r>
                      <a:rPr lang="en-US"/>
                      <a:t>10% (127)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7"/>
              <c:layout>
                <c:manualLayout>
                  <c:x val="-6.6112228049892692E-4"/>
                  <c:y val="0"/>
                </c:manualLayout>
              </c:layout>
              <c:tx>
                <c:rich>
                  <a:bodyPr/>
                  <a:lstStyle/>
                  <a:p>
                    <a:r>
                      <a:rPr lang="en-US"/>
                      <a:t>2% (19)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8"/>
              <c:delete val="1"/>
              <c:extLst xmlns:c16r2="http://schemas.microsoft.com/office/drawing/2015/06/chart">
                <c:ext xmlns:c15="http://schemas.microsoft.com/office/drawing/2012/chart" uri="{CE6537A1-D6FC-4f65-9D91-7224C49458BB}"/>
              </c:extLst>
            </c:dLbl>
            <c:dLbl>
              <c:idx val="9"/>
              <c:delete val="1"/>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tx1">
                        <a:lumMod val="75000"/>
                        <a:lumOff val="25000"/>
                      </a:schemeClr>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duom.xlsx]Pagal minist '!$B$48:$B$56</c:f>
              <c:strCache>
                <c:ptCount val="9"/>
                <c:pt idx="0">
                  <c:v>EM</c:v>
                </c:pt>
                <c:pt idx="1">
                  <c:v>EIM</c:v>
                </c:pt>
                <c:pt idx="2">
                  <c:v>KM</c:v>
                </c:pt>
                <c:pt idx="3">
                  <c:v>VRM</c:v>
                </c:pt>
                <c:pt idx="4">
                  <c:v>SAM</c:v>
                </c:pt>
                <c:pt idx="5">
                  <c:v>SM</c:v>
                </c:pt>
                <c:pt idx="6">
                  <c:v>ŠMSM</c:v>
                </c:pt>
                <c:pt idx="7">
                  <c:v>AM</c:v>
                </c:pt>
                <c:pt idx="8">
                  <c:v>SADM</c:v>
                </c:pt>
              </c:strCache>
            </c:strRef>
          </c:cat>
          <c:val>
            <c:numRef>
              <c:f>'[2021 m. I ketv. finans duom.xlsx]Pagal minist '!$C$48:$C$56</c:f>
              <c:numCache>
                <c:formatCode>0%</c:formatCode>
                <c:ptCount val="9"/>
                <c:pt idx="0">
                  <c:v>1</c:v>
                </c:pt>
                <c:pt idx="1">
                  <c:v>1</c:v>
                </c:pt>
                <c:pt idx="2">
                  <c:v>1</c:v>
                </c:pt>
                <c:pt idx="3">
                  <c:v>1</c:v>
                </c:pt>
                <c:pt idx="4">
                  <c:v>1</c:v>
                </c:pt>
                <c:pt idx="5">
                  <c:v>1</c:v>
                </c:pt>
                <c:pt idx="6">
                  <c:v>1</c:v>
                </c:pt>
                <c:pt idx="7">
                  <c:v>1</c:v>
                </c:pt>
                <c:pt idx="8">
                  <c:v>1</c:v>
                </c:pt>
              </c:numCache>
            </c:numRef>
          </c:val>
        </c:ser>
        <c:ser>
          <c:idx val="1"/>
          <c:order val="1"/>
          <c:tx>
            <c:strRef>
              <c:f>'[2021 m. I ketv. finans duom.xlsx]Pagal minist '!$D$47</c:f>
              <c:strCache>
                <c:ptCount val="1"/>
                <c:pt idx="0">
                  <c:v>Sudaryta projektų sutarčių</c:v>
                </c:pt>
              </c:strCache>
            </c:strRef>
          </c:tx>
          <c:spPr>
            <a:solidFill>
              <a:schemeClr val="accent1"/>
            </a:solidFill>
            <a:ln w="63500">
              <a:solidFill>
                <a:schemeClr val="accent1"/>
              </a:solidFill>
            </a:ln>
          </c:spPr>
          <c:invertIfNegative val="0"/>
          <c:dLbls>
            <c:dLbl>
              <c:idx val="0"/>
              <c:layout>
                <c:manualLayout>
                  <c:x val="-6.5139191667825044E-2"/>
                  <c:y val="0"/>
                </c:manualLayout>
              </c:layout>
              <c:tx>
                <c:rich>
                  <a:bodyPr/>
                  <a:lstStyle/>
                  <a:p>
                    <a:r>
                      <a:rPr lang="en-US"/>
                      <a:t>121% (580)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layout>
                <c:manualLayout>
                  <c:x val="-4.9514152512728997E-2"/>
                  <c:y val="0"/>
                </c:manualLayout>
              </c:layout>
              <c:tx>
                <c:rich>
                  <a:bodyPr/>
                  <a:lstStyle/>
                  <a:p>
                    <a:r>
                      <a:rPr lang="en-US"/>
                      <a:t>112% (1219)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2"/>
              <c:layout>
                <c:manualLayout>
                  <c:x val="-9.2099419229504362E-2"/>
                  <c:y val="-7.6190521899075058E-3"/>
                </c:manualLayout>
              </c:layout>
              <c:tx>
                <c:rich>
                  <a:bodyPr/>
                  <a:lstStyle/>
                  <a:p>
                    <a:r>
                      <a:rPr lang="en-US"/>
                      <a:t>99% (191)</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3"/>
              <c:layout>
                <c:manualLayout>
                  <c:x val="-0.10640368789780656"/>
                  <c:y val="0"/>
                </c:manualLayout>
              </c:layout>
              <c:tx>
                <c:rich>
                  <a:bodyPr/>
                  <a:lstStyle/>
                  <a:p>
                    <a:r>
                      <a:rPr lang="en-US"/>
                      <a:t>102% (500)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4"/>
              <c:layout>
                <c:manualLayout>
                  <c:x val="-7.0471991934134212E-2"/>
                  <c:y val="0"/>
                </c:manualLayout>
              </c:layout>
              <c:tx>
                <c:rich>
                  <a:bodyPr/>
                  <a:lstStyle/>
                  <a:p>
                    <a:r>
                      <a:rPr lang="en-US"/>
                      <a:t>107% (276)</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5"/>
              <c:layout>
                <c:manualLayout>
                  <c:x val="-0.10251110014727476"/>
                  <c:y val="0"/>
                </c:manualLayout>
              </c:layout>
              <c:tx>
                <c:rich>
                  <a:bodyPr/>
                  <a:lstStyle/>
                  <a:p>
                    <a:r>
                      <a:rPr lang="en-US"/>
                      <a:t>90% (1132)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6"/>
              <c:layout>
                <c:manualLayout>
                  <c:x val="-9.0073188751872577E-2"/>
                  <c:y val="0"/>
                </c:manualLayout>
              </c:layout>
              <c:tx>
                <c:rich>
                  <a:bodyPr/>
                  <a:lstStyle/>
                  <a:p>
                    <a:r>
                      <a:rPr lang="en-US"/>
                      <a:t>104% (889)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7"/>
              <c:layout>
                <c:manualLayout>
                  <c:x val="-0.11479352863735549"/>
                  <c:y val="0"/>
                </c:manualLayout>
              </c:layout>
              <c:tx>
                <c:rich>
                  <a:bodyPr/>
                  <a:lstStyle/>
                  <a:p>
                    <a:r>
                      <a:rPr lang="en-US"/>
                      <a:t>98% (1149)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8"/>
              <c:layout>
                <c:manualLayout>
                  <c:x val="-0.1118450098282226"/>
                  <c:y val="-6.6517556477078821E-7"/>
                </c:manualLayout>
              </c:layout>
              <c:tx>
                <c:rich>
                  <a:bodyPr/>
                  <a:lstStyle/>
                  <a:p>
                    <a:r>
                      <a:rPr lang="en-US"/>
                      <a:t>101% (718)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9"/>
              <c:layout>
                <c:manualLayout>
                  <c:x val="-5.1386816381504552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c:spPr>
            <c:txPr>
              <a:bodyPr/>
              <a:lstStyle/>
              <a:p>
                <a:pPr>
                  <a:defRPr b="1">
                    <a:solidFill>
                      <a:schemeClr val="bg1"/>
                    </a:solidFill>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duom.xlsx]Pagal minist '!$B$48:$B$56</c:f>
              <c:strCache>
                <c:ptCount val="9"/>
                <c:pt idx="0">
                  <c:v>EM</c:v>
                </c:pt>
                <c:pt idx="1">
                  <c:v>EIM</c:v>
                </c:pt>
                <c:pt idx="2">
                  <c:v>KM</c:v>
                </c:pt>
                <c:pt idx="3">
                  <c:v>VRM</c:v>
                </c:pt>
                <c:pt idx="4">
                  <c:v>SAM</c:v>
                </c:pt>
                <c:pt idx="5">
                  <c:v>SM</c:v>
                </c:pt>
                <c:pt idx="6">
                  <c:v>ŠMSM</c:v>
                </c:pt>
                <c:pt idx="7">
                  <c:v>AM</c:v>
                </c:pt>
                <c:pt idx="8">
                  <c:v>SADM</c:v>
                </c:pt>
              </c:strCache>
            </c:strRef>
          </c:cat>
          <c:val>
            <c:numRef>
              <c:f>'[2021 m. I ketv. finans duom.xlsx]Pagal minist '!$D$48:$D$56</c:f>
              <c:numCache>
                <c:formatCode>0%</c:formatCode>
                <c:ptCount val="9"/>
                <c:pt idx="0">
                  <c:v>1.2064456869619826</c:v>
                </c:pt>
                <c:pt idx="1">
                  <c:v>1.1243693219928317</c:v>
                </c:pt>
                <c:pt idx="2">
                  <c:v>0.99255099000720359</c:v>
                </c:pt>
                <c:pt idx="3">
                  <c:v>1.0223404498068058</c:v>
                </c:pt>
                <c:pt idx="4">
                  <c:v>1.0696627629162667</c:v>
                </c:pt>
                <c:pt idx="5">
                  <c:v>0.8994068272713156</c:v>
                </c:pt>
                <c:pt idx="6">
                  <c:v>1.0443256776403329</c:v>
                </c:pt>
                <c:pt idx="7">
                  <c:v>0.98357108609019428</c:v>
                </c:pt>
                <c:pt idx="8">
                  <c:v>1.0065089340415077</c:v>
                </c:pt>
              </c:numCache>
            </c:numRef>
          </c:val>
        </c:ser>
        <c:ser>
          <c:idx val="2"/>
          <c:order val="2"/>
          <c:tx>
            <c:strRef>
              <c:f>'[2021 m. I ketv. finans duom.xlsx]Pagal minist '!$E$47</c:f>
              <c:strCache>
                <c:ptCount val="1"/>
                <c:pt idx="0">
                  <c:v>Investuota projektuose</c:v>
                </c:pt>
              </c:strCache>
            </c:strRef>
          </c:tx>
          <c:spPr>
            <a:solidFill>
              <a:schemeClr val="accent3">
                <a:lumMod val="60000"/>
                <a:lumOff val="40000"/>
              </a:schemeClr>
            </a:solidFill>
          </c:spPr>
          <c:invertIfNegative val="0"/>
          <c:dLbls>
            <c:dLbl>
              <c:idx val="0"/>
              <c:tx>
                <c:rich>
                  <a:bodyPr/>
                  <a:lstStyle/>
                  <a:p>
                    <a:r>
                      <a:rPr lang="en-US"/>
                      <a:t>57% (273)</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tx>
                <c:rich>
                  <a:bodyPr/>
                  <a:lstStyle/>
                  <a:p>
                    <a:r>
                      <a:rPr lang="en-US"/>
                      <a:t>57% (616)</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2"/>
              <c:tx>
                <c:rich>
                  <a:bodyPr/>
                  <a:lstStyle/>
                  <a:p>
                    <a:r>
                      <a:rPr lang="en-US"/>
                      <a:t>59% (113)</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3"/>
              <c:tx>
                <c:rich>
                  <a:bodyPr/>
                  <a:lstStyle/>
                  <a:p>
                    <a:r>
                      <a:rPr lang="en-US"/>
                      <a:t>59% (290)</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4"/>
              <c:tx>
                <c:rich>
                  <a:bodyPr/>
                  <a:lstStyle/>
                  <a:p>
                    <a:r>
                      <a:rPr lang="en-US"/>
                      <a:t>62% (159)</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5"/>
              <c:tx>
                <c:rich>
                  <a:bodyPr/>
                  <a:lstStyle/>
                  <a:p>
                    <a:r>
                      <a:rPr lang="en-US"/>
                      <a:t>61% (772)</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6"/>
              <c:tx>
                <c:rich>
                  <a:bodyPr/>
                  <a:lstStyle/>
                  <a:p>
                    <a:r>
                      <a:rPr lang="en-US"/>
                      <a:t>64% (543)</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7"/>
              <c:tx>
                <c:rich>
                  <a:bodyPr/>
                  <a:lstStyle/>
                  <a:p>
                    <a:r>
                      <a:rPr lang="en-US"/>
                      <a:t>71% (834)</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8"/>
              <c:tx>
                <c:rich>
                  <a:bodyPr/>
                  <a:lstStyle/>
                  <a:p>
                    <a:r>
                      <a:rPr lang="en-US"/>
                      <a:t>83% (593)</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b="1">
                    <a:solidFill>
                      <a:schemeClr val="accent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duom.xlsx]Pagal minist '!$B$48:$B$56</c:f>
              <c:strCache>
                <c:ptCount val="9"/>
                <c:pt idx="0">
                  <c:v>EM</c:v>
                </c:pt>
                <c:pt idx="1">
                  <c:v>EIM</c:v>
                </c:pt>
                <c:pt idx="2">
                  <c:v>KM</c:v>
                </c:pt>
                <c:pt idx="3">
                  <c:v>VRM</c:v>
                </c:pt>
                <c:pt idx="4">
                  <c:v>SAM</c:v>
                </c:pt>
                <c:pt idx="5">
                  <c:v>SM</c:v>
                </c:pt>
                <c:pt idx="6">
                  <c:v>ŠMSM</c:v>
                </c:pt>
                <c:pt idx="7">
                  <c:v>AM</c:v>
                </c:pt>
                <c:pt idx="8">
                  <c:v>SADM</c:v>
                </c:pt>
              </c:strCache>
            </c:strRef>
          </c:cat>
          <c:val>
            <c:numRef>
              <c:f>'[2021 m. I ketv. finans duom.xlsx]Pagal minist '!$E$48:$E$56</c:f>
              <c:numCache>
                <c:formatCode>0%</c:formatCode>
                <c:ptCount val="9"/>
                <c:pt idx="0">
                  <c:v>0.56753926960539236</c:v>
                </c:pt>
                <c:pt idx="1">
                  <c:v>0.5683142610556684</c:v>
                </c:pt>
                <c:pt idx="2">
                  <c:v>0.58522620645742962</c:v>
                </c:pt>
                <c:pt idx="3">
                  <c:v>0.59336010690908558</c:v>
                </c:pt>
                <c:pt idx="4">
                  <c:v>0.61602605198249782</c:v>
                </c:pt>
                <c:pt idx="5">
                  <c:v>0.61309296066187535</c:v>
                </c:pt>
                <c:pt idx="6">
                  <c:v>0.63784734852599012</c:v>
                </c:pt>
                <c:pt idx="7">
                  <c:v>0.71384160446231459</c:v>
                </c:pt>
                <c:pt idx="8">
                  <c:v>0.83058271930172722</c:v>
                </c:pt>
              </c:numCache>
            </c:numRef>
          </c:val>
        </c:ser>
        <c:dLbls>
          <c:showLegendKey val="0"/>
          <c:showVal val="0"/>
          <c:showCatName val="0"/>
          <c:showSerName val="0"/>
          <c:showPercent val="0"/>
          <c:showBubbleSize val="0"/>
        </c:dLbls>
        <c:gapWidth val="114"/>
        <c:overlap val="100"/>
        <c:axId val="100987264"/>
        <c:axId val="100988800"/>
      </c:barChart>
      <c:catAx>
        <c:axId val="100987264"/>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00988800"/>
        <c:crosses val="autoZero"/>
        <c:auto val="1"/>
        <c:lblAlgn val="ctr"/>
        <c:lblOffset val="100"/>
        <c:noMultiLvlLbl val="0"/>
      </c:catAx>
      <c:valAx>
        <c:axId val="100988800"/>
        <c:scaling>
          <c:orientation val="minMax"/>
          <c:max val="1.1000000000000001"/>
          <c:min val="0"/>
        </c:scaling>
        <c:delete val="0"/>
        <c:axPos val="b"/>
        <c:majorGridlines/>
        <c:numFmt formatCode="0%" sourceLinked="1"/>
        <c:majorTickMark val="out"/>
        <c:minorTickMark val="none"/>
        <c:tickLblPos val="nextTo"/>
        <c:txPr>
          <a:bodyPr/>
          <a:lstStyle/>
          <a:p>
            <a:pPr>
              <a:defRPr>
                <a:solidFill>
                  <a:schemeClr val="tx1">
                    <a:lumMod val="65000"/>
                    <a:lumOff val="35000"/>
                  </a:schemeClr>
                </a:solidFill>
              </a:defRPr>
            </a:pPr>
            <a:endParaRPr lang="lt-LT"/>
          </a:p>
        </c:txPr>
        <c:crossAx val="100987264"/>
        <c:crosses val="autoZero"/>
        <c:crossBetween val="between"/>
        <c:majorUnit val="0.2"/>
      </c:valAx>
    </c:plotArea>
    <c:legend>
      <c:legendPos val="b"/>
      <c:layout>
        <c:manualLayout>
          <c:xMode val="edge"/>
          <c:yMode val="edge"/>
          <c:x val="9.7402602382789777E-2"/>
          <c:y val="0.91914713601976228"/>
          <c:w val="0.8448836713817196"/>
          <c:h val="5.9522884130847449E-2"/>
        </c:manualLayout>
      </c:layout>
      <c:overlay val="0"/>
      <c:txPr>
        <a:bodyPr/>
        <a:lstStyle/>
        <a:p>
          <a:pPr>
            <a:defRPr>
              <a:solidFill>
                <a:schemeClr val="tx1">
                  <a:lumMod val="65000"/>
                  <a:lumOff val="35000"/>
                </a:schemeClr>
              </a:solidFill>
              <a:latin typeface="Arial" panose="020B0604020202020204" pitchFamily="34" charset="0"/>
              <a:cs typeface="Arial" panose="020B0604020202020204" pitchFamily="34" charset="0"/>
            </a:defRPr>
          </a:pPr>
          <a:endParaRPr lang="lt-LT"/>
        </a:p>
      </c:txPr>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0376457586764505"/>
          <c:h val="0.33947691597861029"/>
        </c:manualLayout>
      </c:layout>
      <c:barChart>
        <c:barDir val="bar"/>
        <c:grouping val="clustered"/>
        <c:varyColors val="0"/>
        <c:ser>
          <c:idx val="0"/>
          <c:order val="0"/>
          <c:tx>
            <c:strRef>
              <c:f>'[2021 m. I ketv. finans duom.xlsx]minist pagal prior'!$M$134</c:f>
              <c:strCache>
                <c:ptCount val="1"/>
                <c:pt idx="0">
                  <c:v>Nepaskirta projektams</c:v>
                </c:pt>
              </c:strCache>
            </c:strRef>
          </c:tx>
          <c:spPr>
            <a:solidFill>
              <a:schemeClr val="bg1">
                <a:lumMod val="85000"/>
              </a:schemeClr>
            </a:solidFill>
          </c:spPr>
          <c:invertIfNegative val="0"/>
          <c:dLbls>
            <c:dLbl>
              <c:idx val="0"/>
              <c:layout/>
              <c:tx>
                <c:rich>
                  <a:bodyPr/>
                  <a:lstStyle/>
                  <a:p>
                    <a:r>
                      <a:rPr lang="en-US"/>
                      <a:t>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tx1">
                        <a:lumMod val="50000"/>
                        <a:lumOff val="50000"/>
                      </a:schemeClr>
                    </a:solidFil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prior'!$L$135</c:f>
              <c:strCache>
                <c:ptCount val="1"/>
                <c:pt idx="0">
                  <c:v>VRM, ESF</c:v>
                </c:pt>
              </c:strCache>
            </c:strRef>
          </c:cat>
          <c:val>
            <c:numRef>
              <c:f>'[2021 m. I ketv. finans duom.xlsx]minist pagal prior'!$M$135</c:f>
              <c:numCache>
                <c:formatCode>0%</c:formatCode>
                <c:ptCount val="1"/>
                <c:pt idx="0">
                  <c:v>1</c:v>
                </c:pt>
              </c:numCache>
            </c:numRef>
          </c:val>
        </c:ser>
        <c:ser>
          <c:idx val="2"/>
          <c:order val="1"/>
          <c:tx>
            <c:strRef>
              <c:f>'[2021 m. I ketv. finans duom.xlsx]minist pagal prior'!$N$134</c:f>
              <c:strCache>
                <c:ptCount val="1"/>
                <c:pt idx="0">
                  <c:v>Sudaryta sutarčių</c:v>
                </c:pt>
              </c:strCache>
            </c:strRef>
          </c:tx>
          <c:spPr>
            <a:solidFill>
              <a:schemeClr val="accent1"/>
            </a:solidFill>
            <a:ln w="50800">
              <a:solidFill>
                <a:schemeClr val="accent1"/>
              </a:solidFill>
            </a:ln>
          </c:spPr>
          <c:invertIfNegative val="0"/>
          <c:dLbls>
            <c:dLbl>
              <c:idx val="0"/>
              <c:layout>
                <c:manualLayout>
                  <c:x val="-7.4349398275680087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prior'!$L$135</c:f>
              <c:strCache>
                <c:ptCount val="1"/>
                <c:pt idx="0">
                  <c:v>VRM, ESF</c:v>
                </c:pt>
              </c:strCache>
            </c:strRef>
          </c:cat>
          <c:val>
            <c:numRef>
              <c:f>'[2021 m. I ketv. finans duom.xlsx]minist pagal prior'!$N$135</c:f>
              <c:numCache>
                <c:formatCode>0%</c:formatCode>
                <c:ptCount val="1"/>
                <c:pt idx="0">
                  <c:v>0.97985122099940747</c:v>
                </c:pt>
              </c:numCache>
            </c:numRef>
          </c:val>
        </c:ser>
        <c:ser>
          <c:idx val="3"/>
          <c:order val="2"/>
          <c:tx>
            <c:strRef>
              <c:f>'[2021 m. I ketv. finans duom.xlsx]minist pagal prior'!$O$134</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prior'!$L$135</c:f>
              <c:strCache>
                <c:ptCount val="1"/>
                <c:pt idx="0">
                  <c:v>VRM, ESF</c:v>
                </c:pt>
              </c:strCache>
            </c:strRef>
          </c:cat>
          <c:val>
            <c:numRef>
              <c:f>'[2021 m. I ketv. finans duom.xlsx]minist pagal prior'!$O$135</c:f>
              <c:numCache>
                <c:formatCode>0%</c:formatCode>
                <c:ptCount val="1"/>
                <c:pt idx="0">
                  <c:v>0.50065520691093279</c:v>
                </c:pt>
              </c:numCache>
            </c:numRef>
          </c:val>
        </c:ser>
        <c:dLbls>
          <c:showLegendKey val="0"/>
          <c:showVal val="0"/>
          <c:showCatName val="0"/>
          <c:showSerName val="0"/>
          <c:showPercent val="0"/>
          <c:showBubbleSize val="0"/>
        </c:dLbls>
        <c:gapWidth val="133"/>
        <c:overlap val="100"/>
        <c:axId val="107176320"/>
        <c:axId val="107177856"/>
      </c:barChart>
      <c:catAx>
        <c:axId val="107176320"/>
        <c:scaling>
          <c:orientation val="minMax"/>
        </c:scaling>
        <c:delete val="0"/>
        <c:axPos val="l"/>
        <c:numFmt formatCode="General" sourceLinked="0"/>
        <c:majorTickMark val="out"/>
        <c:minorTickMark val="none"/>
        <c:tickLblPos val="nextTo"/>
        <c:crossAx val="107177856"/>
        <c:crosses val="autoZero"/>
        <c:auto val="1"/>
        <c:lblAlgn val="ctr"/>
        <c:lblOffset val="100"/>
        <c:noMultiLvlLbl val="0"/>
      </c:catAx>
      <c:valAx>
        <c:axId val="107177856"/>
        <c:scaling>
          <c:orientation val="minMax"/>
          <c:max val="1.1000000000000001"/>
          <c:min val="0"/>
        </c:scaling>
        <c:delete val="0"/>
        <c:axPos val="b"/>
        <c:majorGridlines/>
        <c:numFmt formatCode="0%" sourceLinked="1"/>
        <c:majorTickMark val="out"/>
        <c:minorTickMark val="none"/>
        <c:tickLblPos val="nextTo"/>
        <c:crossAx val="107176320"/>
        <c:crosses val="autoZero"/>
        <c:crossBetween val="between"/>
        <c:majorUnit val="0.2"/>
      </c:valAx>
    </c:plotArea>
    <c:legend>
      <c:legendPos val="b"/>
      <c:layout>
        <c:manualLayout>
          <c:xMode val="edge"/>
          <c:yMode val="edge"/>
          <c:x val="7.8171830688346614E-2"/>
          <c:y val="0.77890009517902359"/>
          <c:w val="0.83952837164704253"/>
          <c:h val="0.18690349752792529"/>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'[2021 m. I ketv. finans duom.xlsx]Mokėjimai'!$B$2</c:f>
              <c:strCache>
                <c:ptCount val="1"/>
                <c:pt idx="0">
                  <c:v>Planuota investuoti</c:v>
                </c:pt>
              </c:strCache>
            </c:strRef>
          </c:tx>
          <c:spPr>
            <a:noFill/>
            <a:ln w="25400">
              <a:solidFill>
                <a:schemeClr val="tx2">
                  <a:lumMod val="60000"/>
                  <a:lumOff val="40000"/>
                </a:schemeClr>
              </a:solidFill>
            </a:ln>
            <a:scene3d>
              <a:camera prst="orthographicFront"/>
              <a:lightRig rig="threePt" dir="t"/>
            </a:scene3d>
          </c:spPr>
          <c:invertIfNegative val="0"/>
          <c:dPt>
            <c:idx val="4"/>
            <c:invertIfNegative val="0"/>
            <c:bubble3D val="0"/>
            <c:spPr>
              <a:pattFill prst="wdUpDiag">
                <a:fgClr>
                  <a:schemeClr val="accent1">
                    <a:lumMod val="20000"/>
                    <a:lumOff val="80000"/>
                  </a:schemeClr>
                </a:fgClr>
                <a:bgClr>
                  <a:schemeClr val="bg1"/>
                </a:bgClr>
              </a:pattFill>
              <a:ln w="25400">
                <a:solidFill>
                  <a:schemeClr val="tx2">
                    <a:lumMod val="60000"/>
                    <a:lumOff val="40000"/>
                  </a:schemeClr>
                </a:solidFill>
              </a:ln>
              <a:scene3d>
                <a:camera prst="orthographicFront"/>
                <a:lightRig rig="threePt" dir="t"/>
              </a:scene3d>
            </c:spPr>
          </c:dPt>
          <c:dLbls>
            <c:dLbl>
              <c:idx val="3"/>
              <c:delete val="1"/>
              <c:extLst xmlns:c16r2="http://schemas.microsoft.com/office/drawing/2015/06/chart">
                <c:ext xmlns:c15="http://schemas.microsoft.com/office/drawing/2012/chart" uri="{CE6537A1-D6FC-4f65-9D91-7224C49458BB}"/>
              </c:extLst>
            </c:dLbl>
            <c:dLbl>
              <c:idx val="4"/>
              <c:spPr>
                <a:noFill/>
              </c:spPr>
              <c:txPr>
                <a:bodyPr/>
                <a:lstStyle/>
                <a:p>
                  <a:pPr>
                    <a:defRPr b="1">
                      <a:solidFill>
                        <a:schemeClr val="accent1">
                          <a:lumMod val="75000"/>
                        </a:schemeClr>
                      </a:solidFill>
                    </a:defRPr>
                  </a:pPr>
                  <a:endParaRPr lang="lt-LT"/>
                </a:p>
              </c:txPr>
              <c:dLblPos val="inEnd"/>
              <c:showLegendKey val="0"/>
              <c:showVal val="1"/>
              <c:showCatName val="0"/>
              <c:showSerName val="0"/>
              <c:showPercent val="0"/>
              <c:showBubbleSize val="0"/>
            </c:dLbl>
            <c:spPr>
              <a:noFill/>
              <a:ln>
                <a:noFill/>
              </a:ln>
              <a:effectLst/>
            </c:spPr>
            <c:txPr>
              <a:bodyPr/>
              <a:lstStyle/>
              <a:p>
                <a:pPr>
                  <a:defRPr b="1">
                    <a:solidFill>
                      <a:schemeClr val="accent1">
                        <a:lumMod val="75000"/>
                      </a:schemeClr>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duom.xlsx]Mokėjimai'!$A$3:$A$7</c:f>
              <c:strCache>
                <c:ptCount val="5"/>
                <c:pt idx="0">
                  <c:v>2017 m. </c:v>
                </c:pt>
                <c:pt idx="1">
                  <c:v>2018 m. </c:v>
                </c:pt>
                <c:pt idx="2">
                  <c:v>2019 m.</c:v>
                </c:pt>
                <c:pt idx="3">
                  <c:v>2020 m.</c:v>
                </c:pt>
                <c:pt idx="4">
                  <c:v>2021 m.</c:v>
                </c:pt>
              </c:strCache>
            </c:strRef>
          </c:cat>
          <c:val>
            <c:numRef>
              <c:f>'[2021 m. I ketv. finans duom.xlsx]Mokėjimai'!$B$3:$B$7</c:f>
              <c:numCache>
                <c:formatCode>0</c:formatCode>
                <c:ptCount val="5"/>
                <c:pt idx="0">
                  <c:v>996.6</c:v>
                </c:pt>
                <c:pt idx="1">
                  <c:v>997.2</c:v>
                </c:pt>
                <c:pt idx="2">
                  <c:v>1195.5999999999999</c:v>
                </c:pt>
                <c:pt idx="3">
                  <c:v>1181.2513741499997</c:v>
                </c:pt>
                <c:pt idx="4" formatCode="General">
                  <c:v>1609.76</c:v>
                </c:pt>
              </c:numCache>
            </c:numRef>
          </c:val>
        </c:ser>
        <c:ser>
          <c:idx val="1"/>
          <c:order val="1"/>
          <c:tx>
            <c:strRef>
              <c:f>'[2021 m. I ketv. finans duom.xlsx]Mokėjimai'!$C$2</c:f>
              <c:strCache>
                <c:ptCount val="1"/>
                <c:pt idx="0">
                  <c:v>Investuota</c:v>
                </c:pt>
              </c:strCache>
            </c:strRef>
          </c:tx>
          <c:spPr>
            <a:solidFill>
              <a:schemeClr val="accent3"/>
            </a:solidFill>
            <a:effectLst/>
            <a:scene3d>
              <a:camera prst="orthographicFront"/>
              <a:lightRig rig="threePt" dir="t"/>
            </a:scene3d>
            <a:sp3d/>
          </c:spPr>
          <c:invertIfNegative val="0"/>
          <c:dPt>
            <c:idx val="4"/>
            <c:invertIfNegative val="0"/>
            <c:bubble3D val="0"/>
          </c:dPt>
          <c:dLbls>
            <c:dLbl>
              <c:idx val="0"/>
              <c:tx>
                <c:rich>
                  <a:bodyPr/>
                  <a:lstStyle/>
                  <a:p>
                    <a:r>
                      <a:rPr lang="en-US"/>
                      <a:t>442 </a:t>
                    </a:r>
                  </a:p>
                  <a:p>
                    <a:r>
                      <a:rPr lang="en-US"/>
                      <a:t>(44%)</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tx>
                <c:rich>
                  <a:bodyPr/>
                  <a:lstStyle/>
                  <a:p>
                    <a:r>
                      <a:rPr lang="en-US"/>
                      <a:t>736</a:t>
                    </a:r>
                  </a:p>
                  <a:p>
                    <a:r>
                      <a:rPr lang="en-US"/>
                      <a:t>(74%)</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2"/>
              <c:tx>
                <c:rich>
                  <a:bodyPr/>
                  <a:lstStyle/>
                  <a:p>
                    <a:r>
                      <a:rPr lang="en-US"/>
                      <a:t>950</a:t>
                    </a:r>
                  </a:p>
                  <a:p>
                    <a:r>
                      <a:rPr lang="en-US"/>
                      <a:t>(79%)</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3"/>
              <c:layout>
                <c:manualLayout>
                  <c:x val="0"/>
                  <c:y val="0.14541666666666667"/>
                </c:manualLayout>
              </c:layout>
              <c:tx>
                <c:rich>
                  <a:bodyPr/>
                  <a:lstStyle/>
                  <a:p>
                    <a:r>
                      <a:rPr lang="en-US"/>
                      <a:t>1181</a:t>
                    </a:r>
                  </a:p>
                  <a:p>
                    <a:r>
                      <a:rPr lang="en-US"/>
                      <a:t>(100%)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4"/>
              <c:layout>
                <c:manualLayout>
                  <c:x val="2.9237463738085371E-3"/>
                  <c:y val="8.8227981918926807E-2"/>
                </c:manualLayout>
              </c:layout>
              <c:tx>
                <c:rich>
                  <a:bodyPr/>
                  <a:lstStyle/>
                  <a:p>
                    <a:pPr>
                      <a:defRPr sz="900" b="1">
                        <a:solidFill>
                          <a:schemeClr val="bg1"/>
                        </a:solidFill>
                      </a:defRPr>
                    </a:pPr>
                    <a:r>
                      <a:rPr lang="lt-LT" sz="900">
                        <a:solidFill>
                          <a:schemeClr val="bg1"/>
                        </a:solidFill>
                      </a:rPr>
                      <a:t>195</a:t>
                    </a:r>
                    <a:r>
                      <a:rPr lang="lt-LT" sz="900" baseline="0">
                        <a:solidFill>
                          <a:schemeClr val="bg1"/>
                        </a:solidFill>
                      </a:rPr>
                      <a:t> </a:t>
                    </a:r>
                    <a:r>
                      <a:rPr lang="lt-LT" sz="900">
                        <a:solidFill>
                          <a:schemeClr val="bg1"/>
                        </a:solidFill>
                      </a:rPr>
                      <a:t>(12%)</a:t>
                    </a:r>
                  </a:p>
                </c:rich>
              </c:tx>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b="1">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duom.xlsx]Mokėjimai'!$A$3:$A$7</c:f>
              <c:strCache>
                <c:ptCount val="5"/>
                <c:pt idx="0">
                  <c:v>2017 m. </c:v>
                </c:pt>
                <c:pt idx="1">
                  <c:v>2018 m. </c:v>
                </c:pt>
                <c:pt idx="2">
                  <c:v>2019 m.</c:v>
                </c:pt>
                <c:pt idx="3">
                  <c:v>2020 m.</c:v>
                </c:pt>
                <c:pt idx="4">
                  <c:v>2021 m.</c:v>
                </c:pt>
              </c:strCache>
            </c:strRef>
          </c:cat>
          <c:val>
            <c:numRef>
              <c:f>'[2021 m. I ketv. finans duom.xlsx]Mokėjimai'!$C$3:$C$7</c:f>
              <c:numCache>
                <c:formatCode>0</c:formatCode>
                <c:ptCount val="5"/>
                <c:pt idx="0">
                  <c:v>441.59630437999999</c:v>
                </c:pt>
                <c:pt idx="1">
                  <c:v>735.8472840280001</c:v>
                </c:pt>
                <c:pt idx="2">
                  <c:v>950.47541861000013</c:v>
                </c:pt>
                <c:pt idx="3">
                  <c:v>1181.2513741499997</c:v>
                </c:pt>
                <c:pt idx="4">
                  <c:v>194.5</c:v>
                </c:pt>
              </c:numCache>
            </c:numRef>
          </c:val>
        </c:ser>
        <c:dLbls>
          <c:showLegendKey val="0"/>
          <c:showVal val="0"/>
          <c:showCatName val="0"/>
          <c:showSerName val="0"/>
          <c:showPercent val="0"/>
          <c:showBubbleSize val="0"/>
        </c:dLbls>
        <c:gapWidth val="61"/>
        <c:overlap val="100"/>
        <c:axId val="102785408"/>
        <c:axId val="102786944"/>
      </c:barChart>
      <c:catAx>
        <c:axId val="102785408"/>
        <c:scaling>
          <c:orientation val="minMax"/>
        </c:scaling>
        <c:delete val="0"/>
        <c:axPos val="b"/>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02786944"/>
        <c:crosses val="autoZero"/>
        <c:auto val="1"/>
        <c:lblAlgn val="ctr"/>
        <c:lblOffset val="100"/>
        <c:noMultiLvlLbl val="0"/>
      </c:catAx>
      <c:valAx>
        <c:axId val="102786944"/>
        <c:scaling>
          <c:orientation val="minMax"/>
          <c:max val="1620"/>
          <c:min val="0"/>
        </c:scaling>
        <c:delete val="0"/>
        <c:axPos val="l"/>
        <c:majorGridlines/>
        <c:numFmt formatCode="0" sourceLinked="1"/>
        <c:majorTickMark val="out"/>
        <c:minorTickMark val="none"/>
        <c:tickLblPos val="nextTo"/>
        <c:txPr>
          <a:bodyPr/>
          <a:lstStyle/>
          <a:p>
            <a:pPr>
              <a:defRPr>
                <a:solidFill>
                  <a:schemeClr val="tx1">
                    <a:lumMod val="65000"/>
                    <a:lumOff val="35000"/>
                  </a:schemeClr>
                </a:solidFill>
              </a:defRPr>
            </a:pPr>
            <a:endParaRPr lang="lt-LT"/>
          </a:p>
        </c:txPr>
        <c:crossAx val="102785408"/>
        <c:crosses val="autoZero"/>
        <c:crossBetween val="between"/>
        <c:majorUnit val="200"/>
      </c:valAx>
    </c:plotArea>
    <c:legend>
      <c:legendPos val="b"/>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Asignavimai!$J$2</c:f>
              <c:strCache>
                <c:ptCount val="1"/>
                <c:pt idx="0">
                  <c:v>2020 m. asignavimų planas</c:v>
                </c:pt>
              </c:strCache>
            </c:strRef>
          </c:tx>
          <c:spPr>
            <a:solidFill>
              <a:schemeClr val="accent1"/>
            </a:solidFill>
            <a:ln w="63500">
              <a:solidFill>
                <a:schemeClr val="accent1"/>
              </a:solidFill>
            </a:ln>
          </c:spPr>
          <c:invertIfNegative val="0"/>
          <c:dLbls>
            <c:dLbl>
              <c:idx val="0"/>
              <c:tx>
                <c:rich>
                  <a:bodyPr/>
                  <a:lstStyle/>
                  <a:p>
                    <a:r>
                      <a:rPr lang="en-US"/>
                      <a:t>(</a:t>
                    </a:r>
                    <a:r>
                      <a:rPr lang="lt-LT"/>
                      <a:t>61</a:t>
                    </a:r>
                    <a:r>
                      <a:rPr lang="en-US"/>
                      <a:t>)</a:t>
                    </a:r>
                  </a:p>
                </c:rich>
              </c:tx>
              <c:dLblPos val="outEnd"/>
              <c:showLegendKey val="0"/>
              <c:showVal val="1"/>
              <c:showCatName val="0"/>
              <c:showSerName val="0"/>
              <c:showPercent val="0"/>
              <c:showBubbleSize val="0"/>
            </c:dLbl>
            <c:dLbl>
              <c:idx val="1"/>
              <c:tx>
                <c:rich>
                  <a:bodyPr/>
                  <a:lstStyle/>
                  <a:p>
                    <a:r>
                      <a:rPr lang="en-US"/>
                      <a:t>(114)</a:t>
                    </a:r>
                  </a:p>
                </c:rich>
              </c:tx>
              <c:dLblPos val="outEnd"/>
              <c:showLegendKey val="0"/>
              <c:showVal val="1"/>
              <c:showCatName val="0"/>
              <c:showSerName val="0"/>
              <c:showPercent val="0"/>
              <c:showBubbleSize val="0"/>
            </c:dLbl>
            <c:dLbl>
              <c:idx val="2"/>
              <c:tx>
                <c:rich>
                  <a:bodyPr/>
                  <a:lstStyle/>
                  <a:p>
                    <a:r>
                      <a:rPr lang="en-US"/>
                      <a:t>(184)</a:t>
                    </a:r>
                  </a:p>
                </c:rich>
              </c:tx>
              <c:dLblPos val="outEnd"/>
              <c:showLegendKey val="0"/>
              <c:showVal val="1"/>
              <c:showCatName val="0"/>
              <c:showSerName val="0"/>
              <c:showPercent val="0"/>
              <c:showBubbleSize val="0"/>
            </c:dLbl>
            <c:dLbl>
              <c:idx val="3"/>
              <c:tx>
                <c:rich>
                  <a:bodyPr/>
                  <a:lstStyle/>
                  <a:p>
                    <a:r>
                      <a:rPr lang="en-US"/>
                      <a:t>(120)</a:t>
                    </a:r>
                  </a:p>
                </c:rich>
              </c:tx>
              <c:dLblPos val="outEnd"/>
              <c:showLegendKey val="0"/>
              <c:showVal val="1"/>
              <c:showCatName val="0"/>
              <c:showSerName val="0"/>
              <c:showPercent val="0"/>
              <c:showBubbleSize val="0"/>
            </c:dLbl>
            <c:dLbl>
              <c:idx val="4"/>
              <c:tx>
                <c:rich>
                  <a:bodyPr/>
                  <a:lstStyle/>
                  <a:p>
                    <a:r>
                      <a:rPr lang="en-US"/>
                      <a:t>(174)</a:t>
                    </a:r>
                  </a:p>
                </c:rich>
              </c:tx>
              <c:dLblPos val="outEnd"/>
              <c:showLegendKey val="0"/>
              <c:showVal val="1"/>
              <c:showCatName val="0"/>
              <c:showSerName val="0"/>
              <c:showPercent val="0"/>
              <c:showBubbleSize val="0"/>
            </c:dLbl>
            <c:dLbl>
              <c:idx val="5"/>
              <c:tx>
                <c:rich>
                  <a:bodyPr/>
                  <a:lstStyle/>
                  <a:p>
                    <a:r>
                      <a:rPr lang="en-US"/>
                      <a:t>(198)</a:t>
                    </a:r>
                  </a:p>
                </c:rich>
              </c:tx>
              <c:dLblPos val="outEnd"/>
              <c:showLegendKey val="0"/>
              <c:showVal val="1"/>
              <c:showCatName val="0"/>
              <c:showSerName val="0"/>
              <c:showPercent val="0"/>
              <c:showBubbleSize val="0"/>
            </c:dLbl>
            <c:dLbl>
              <c:idx val="6"/>
              <c:tx>
                <c:rich>
                  <a:bodyPr/>
                  <a:lstStyle/>
                  <a:p>
                    <a:r>
                      <a:rPr lang="lt-LT"/>
                      <a:t>(</a:t>
                    </a:r>
                    <a:r>
                      <a:rPr lang="en-US"/>
                      <a:t>173</a:t>
                    </a:r>
                    <a:r>
                      <a:rPr lang="lt-LT"/>
                      <a:t>)</a:t>
                    </a:r>
                    <a:endParaRPr lang="en-US"/>
                  </a:p>
                </c:rich>
              </c:tx>
              <c:showLegendKey val="0"/>
              <c:showVal val="1"/>
              <c:showCatName val="0"/>
              <c:showSerName val="0"/>
              <c:showPercent val="0"/>
              <c:showBubbleSize val="0"/>
            </c:dLbl>
            <c:dLbl>
              <c:idx val="7"/>
              <c:layout>
                <c:manualLayout>
                  <c:x val="6.7796610169491525E-2"/>
                  <c:y val="-4.0160642570281121E-3"/>
                </c:manualLayout>
              </c:layout>
              <c:tx>
                <c:rich>
                  <a:bodyPr/>
                  <a:lstStyle/>
                  <a:p>
                    <a:r>
                      <a:rPr lang="en-US"/>
                      <a:t>(44)</a:t>
                    </a:r>
                  </a:p>
                </c:rich>
              </c:tx>
              <c:showLegendKey val="0"/>
              <c:showVal val="1"/>
              <c:showCatName val="0"/>
              <c:showSerName val="0"/>
              <c:showPercent val="0"/>
              <c:showBubbleSize val="0"/>
            </c:dLbl>
            <c:dLbl>
              <c:idx val="8"/>
              <c:layout>
                <c:manualLayout>
                  <c:x val="6.5285624607658507E-2"/>
                  <c:y val="0"/>
                </c:manualLayout>
              </c:layout>
              <c:tx>
                <c:rich>
                  <a:bodyPr/>
                  <a:lstStyle/>
                  <a:p>
                    <a:r>
                      <a:rPr lang="en-US"/>
                      <a:t>(91)</a:t>
                    </a:r>
                  </a:p>
                </c:rich>
              </c:tx>
              <c:showLegendKey val="0"/>
              <c:showVal val="1"/>
              <c:showCatName val="0"/>
              <c:showSerName val="0"/>
              <c:showPercent val="0"/>
              <c:showBubbleSize val="0"/>
            </c:dLbl>
            <c:dLbl>
              <c:idx val="9"/>
              <c:delete val="1"/>
            </c:dLbl>
            <c:txPr>
              <a:bodyPr/>
              <a:lstStyle/>
              <a:p>
                <a:pPr>
                  <a:defRPr baseline="0">
                    <a:solidFill>
                      <a:schemeClr val="tx1">
                        <a:lumMod val="50000"/>
                        <a:lumOff val="50000"/>
                      </a:schemeClr>
                    </a:solidFill>
                  </a:defRPr>
                </a:pPr>
                <a:endParaRPr lang="lt-LT"/>
              </a:p>
            </c:txPr>
            <c:dLblPos val="outEnd"/>
            <c:showLegendKey val="0"/>
            <c:showVal val="1"/>
            <c:showCatName val="0"/>
            <c:showSerName val="0"/>
            <c:showPercent val="0"/>
            <c:showBubbleSize val="0"/>
            <c:showLeaderLines val="0"/>
          </c:dLbls>
          <c:cat>
            <c:strRef>
              <c:f>Asignavimai!$I$3:$I$11</c:f>
              <c:strCache>
                <c:ptCount val="9"/>
                <c:pt idx="0">
                  <c:v>KM</c:v>
                </c:pt>
                <c:pt idx="1">
                  <c:v>EM</c:v>
                </c:pt>
                <c:pt idx="2">
                  <c:v>SM</c:v>
                </c:pt>
                <c:pt idx="3">
                  <c:v>VRM</c:v>
                </c:pt>
                <c:pt idx="4">
                  <c:v>AM</c:v>
                </c:pt>
                <c:pt idx="5">
                  <c:v>EIM</c:v>
                </c:pt>
                <c:pt idx="6">
                  <c:v>ŠMSM</c:v>
                </c:pt>
                <c:pt idx="7">
                  <c:v>SAM</c:v>
                </c:pt>
                <c:pt idx="8">
                  <c:v>SADM</c:v>
                </c:pt>
              </c:strCache>
            </c:strRef>
          </c:cat>
          <c:val>
            <c:numRef>
              <c:f>Asignavimai!$J$3:$J$11</c:f>
              <c:numCache>
                <c:formatCode>0%</c:formatCode>
                <c:ptCount val="9"/>
                <c:pt idx="0">
                  <c:v>1</c:v>
                </c:pt>
                <c:pt idx="1">
                  <c:v>1</c:v>
                </c:pt>
                <c:pt idx="2">
                  <c:v>1</c:v>
                </c:pt>
                <c:pt idx="3">
                  <c:v>1</c:v>
                </c:pt>
                <c:pt idx="4">
                  <c:v>1</c:v>
                </c:pt>
                <c:pt idx="5">
                  <c:v>1</c:v>
                </c:pt>
                <c:pt idx="6">
                  <c:v>1</c:v>
                </c:pt>
                <c:pt idx="7">
                  <c:v>1</c:v>
                </c:pt>
                <c:pt idx="8">
                  <c:v>1</c:v>
                </c:pt>
              </c:numCache>
            </c:numRef>
          </c:val>
        </c:ser>
        <c:ser>
          <c:idx val="1"/>
          <c:order val="1"/>
          <c:tx>
            <c:strRef>
              <c:f>Asignavimai!$K$2</c:f>
              <c:strCache>
                <c:ptCount val="1"/>
                <c:pt idx="0">
                  <c:v>Investuota per 2020 m.</c:v>
                </c:pt>
              </c:strCache>
            </c:strRef>
          </c:tx>
          <c:spPr>
            <a:solidFill>
              <a:schemeClr val="accent3"/>
            </a:solidFill>
          </c:spPr>
          <c:invertIfNegative val="0"/>
          <c:dPt>
            <c:idx val="0"/>
            <c:invertIfNegative val="0"/>
            <c:bubble3D val="0"/>
            <c:spPr>
              <a:solidFill>
                <a:schemeClr val="accent2">
                  <a:lumMod val="60000"/>
                  <a:lumOff val="40000"/>
                </a:schemeClr>
              </a:solidFill>
            </c:spPr>
          </c:dPt>
          <c:dPt>
            <c:idx val="1"/>
            <c:invertIfNegative val="0"/>
            <c:bubble3D val="0"/>
            <c:spPr>
              <a:solidFill>
                <a:schemeClr val="accent2">
                  <a:lumMod val="60000"/>
                  <a:lumOff val="40000"/>
                </a:schemeClr>
              </a:solidFill>
            </c:spPr>
          </c:dPt>
          <c:dPt>
            <c:idx val="2"/>
            <c:invertIfNegative val="0"/>
            <c:bubble3D val="0"/>
            <c:spPr>
              <a:solidFill>
                <a:schemeClr val="accent2">
                  <a:lumMod val="60000"/>
                  <a:lumOff val="40000"/>
                </a:schemeClr>
              </a:solidFill>
            </c:spPr>
          </c:dPt>
          <c:dPt>
            <c:idx val="3"/>
            <c:invertIfNegative val="0"/>
            <c:bubble3D val="0"/>
            <c:spPr>
              <a:solidFill>
                <a:schemeClr val="accent2">
                  <a:lumMod val="60000"/>
                  <a:lumOff val="40000"/>
                </a:schemeClr>
              </a:solidFill>
            </c:spPr>
          </c:dPt>
          <c:dPt>
            <c:idx val="4"/>
            <c:invertIfNegative val="0"/>
            <c:bubble3D val="0"/>
            <c:spPr>
              <a:solidFill>
                <a:schemeClr val="accent2">
                  <a:lumMod val="60000"/>
                  <a:lumOff val="40000"/>
                </a:schemeClr>
              </a:solidFill>
            </c:spPr>
          </c:dPt>
          <c:dPt>
            <c:idx val="5"/>
            <c:invertIfNegative val="0"/>
            <c:bubble3D val="0"/>
            <c:spPr>
              <a:solidFill>
                <a:schemeClr val="accent2">
                  <a:lumMod val="60000"/>
                  <a:lumOff val="40000"/>
                </a:schemeClr>
              </a:solidFill>
            </c:spPr>
          </c:dPt>
          <c:dPt>
            <c:idx val="6"/>
            <c:invertIfNegative val="0"/>
            <c:bubble3D val="0"/>
          </c:dPt>
          <c:dPt>
            <c:idx val="7"/>
            <c:invertIfNegative val="0"/>
            <c:bubble3D val="0"/>
          </c:dPt>
          <c:dPt>
            <c:idx val="8"/>
            <c:invertIfNegative val="0"/>
            <c:bubble3D val="0"/>
          </c:dPt>
          <c:dPt>
            <c:idx val="9"/>
            <c:invertIfNegative val="0"/>
            <c:bubble3D val="0"/>
          </c:dPt>
          <c:dLbls>
            <c:dLbl>
              <c:idx val="0"/>
              <c:layout>
                <c:manualLayout>
                  <c:x val="-0.11708310472490374"/>
                  <c:y val="0"/>
                </c:manualLayout>
              </c:layout>
              <c:tx>
                <c:rich>
                  <a:bodyPr/>
                  <a:lstStyle/>
                  <a:p>
                    <a:r>
                      <a:rPr lang="en-US"/>
                      <a:t>58% (</a:t>
                    </a:r>
                    <a:r>
                      <a:rPr lang="lt-LT"/>
                      <a:t>36</a:t>
                    </a:r>
                    <a:r>
                      <a:rPr lang="en-US"/>
                      <a:t>)</a:t>
                    </a:r>
                  </a:p>
                </c:rich>
              </c:tx>
              <c:dLblPos val="outEnd"/>
              <c:showLegendKey val="0"/>
              <c:showVal val="1"/>
              <c:showCatName val="0"/>
              <c:showSerName val="0"/>
              <c:showPercent val="0"/>
              <c:showBubbleSize val="0"/>
            </c:dLbl>
            <c:dLbl>
              <c:idx val="1"/>
              <c:layout>
                <c:manualLayout>
                  <c:x val="-0.12341316092550578"/>
                  <c:y val="-3.1622553212308465E-7"/>
                </c:manualLayout>
              </c:layout>
              <c:tx>
                <c:rich>
                  <a:bodyPr/>
                  <a:lstStyle/>
                  <a:p>
                    <a:r>
                      <a:rPr lang="en-US"/>
                      <a:t>67% (76)</a:t>
                    </a:r>
                  </a:p>
                </c:rich>
              </c:tx>
              <c:dLblPos val="outEnd"/>
              <c:showLegendKey val="0"/>
              <c:showVal val="1"/>
              <c:showCatName val="0"/>
              <c:showSerName val="0"/>
              <c:showPercent val="0"/>
              <c:showBubbleSize val="0"/>
            </c:dLbl>
            <c:dLbl>
              <c:idx val="2"/>
              <c:layout>
                <c:manualLayout>
                  <c:x val="-0.13129805102045861"/>
                  <c:y val="0"/>
                </c:manualLayout>
              </c:layout>
              <c:tx>
                <c:rich>
                  <a:bodyPr/>
                  <a:lstStyle/>
                  <a:p>
                    <a:r>
                      <a:rPr lang="en-US"/>
                      <a:t>79% (145)</a:t>
                    </a:r>
                  </a:p>
                </c:rich>
              </c:tx>
              <c:dLblPos val="outEnd"/>
              <c:showLegendKey val="0"/>
              <c:showVal val="1"/>
              <c:showCatName val="0"/>
              <c:showSerName val="0"/>
              <c:showPercent val="0"/>
              <c:showBubbleSize val="0"/>
            </c:dLbl>
            <c:dLbl>
              <c:idx val="3"/>
              <c:layout>
                <c:manualLayout>
                  <c:x val="-0.12254578347198125"/>
                  <c:y val="0"/>
                </c:manualLayout>
              </c:layout>
              <c:tx>
                <c:rich>
                  <a:bodyPr/>
                  <a:lstStyle/>
                  <a:p>
                    <a:r>
                      <a:rPr lang="en-US"/>
                      <a:t>82% (98)</a:t>
                    </a:r>
                  </a:p>
                </c:rich>
              </c:tx>
              <c:dLblPos val="outEnd"/>
              <c:showLegendKey val="0"/>
              <c:showVal val="1"/>
              <c:showCatName val="0"/>
              <c:showSerName val="0"/>
              <c:showPercent val="0"/>
              <c:showBubbleSize val="0"/>
            </c:dLbl>
            <c:dLbl>
              <c:idx val="4"/>
              <c:layout>
                <c:manualLayout>
                  <c:x val="-0.12627706847378542"/>
                  <c:y val="0"/>
                </c:manualLayout>
              </c:layout>
              <c:tx>
                <c:rich>
                  <a:bodyPr/>
                  <a:lstStyle/>
                  <a:p>
                    <a:r>
                      <a:rPr lang="en-US"/>
                      <a:t>92% (160)</a:t>
                    </a:r>
                  </a:p>
                </c:rich>
              </c:tx>
              <c:dLblPos val="outEnd"/>
              <c:showLegendKey val="0"/>
              <c:showVal val="1"/>
              <c:showCatName val="0"/>
              <c:showSerName val="0"/>
              <c:showPercent val="0"/>
              <c:showBubbleSize val="0"/>
            </c:dLbl>
            <c:dLbl>
              <c:idx val="5"/>
              <c:layout>
                <c:manualLayout>
                  <c:x val="-0.12707702497639772"/>
                  <c:y val="-4.0160642570281121E-3"/>
                </c:manualLayout>
              </c:layout>
              <c:tx>
                <c:rich>
                  <a:bodyPr/>
                  <a:lstStyle/>
                  <a:p>
                    <a:r>
                      <a:rPr lang="en-US"/>
                      <a:t>98% (194)</a:t>
                    </a:r>
                  </a:p>
                </c:rich>
              </c:tx>
              <c:dLblPos val="outEnd"/>
              <c:showLegendKey val="0"/>
              <c:showVal val="1"/>
              <c:showCatName val="0"/>
              <c:showSerName val="0"/>
              <c:showPercent val="0"/>
              <c:showBubbleSize val="0"/>
            </c:dLbl>
            <c:dLbl>
              <c:idx val="6"/>
              <c:layout>
                <c:manualLayout>
                  <c:x val="-0.13357751185056671"/>
                  <c:y val="0"/>
                </c:manualLayout>
              </c:layout>
              <c:tx>
                <c:rich>
                  <a:bodyPr/>
                  <a:lstStyle/>
                  <a:p>
                    <a:r>
                      <a:rPr lang="en-US"/>
                      <a:t>101% (174)</a:t>
                    </a:r>
                  </a:p>
                </c:rich>
              </c:tx>
              <c:dLblPos val="outEnd"/>
              <c:showLegendKey val="0"/>
              <c:showVal val="1"/>
              <c:showCatName val="0"/>
              <c:showSerName val="0"/>
              <c:showPercent val="0"/>
              <c:showBubbleSize val="0"/>
            </c:dLbl>
            <c:dLbl>
              <c:idx val="7"/>
              <c:layout>
                <c:manualLayout>
                  <c:x val="-0.12915026864579782"/>
                  <c:y val="-8.6863991398665533E-3"/>
                </c:manualLayout>
              </c:layout>
              <c:tx>
                <c:rich>
                  <a:bodyPr/>
                  <a:lstStyle/>
                  <a:p>
                    <a:r>
                      <a:rPr lang="en-US"/>
                      <a:t>13</a:t>
                    </a:r>
                    <a:r>
                      <a:rPr lang="lt-LT"/>
                      <a:t>1</a:t>
                    </a:r>
                    <a:r>
                      <a:rPr lang="en-US"/>
                      <a:t>% (58)</a:t>
                    </a:r>
                  </a:p>
                </c:rich>
              </c:tx>
              <c:dLblPos val="outEnd"/>
              <c:showLegendKey val="0"/>
              <c:showVal val="1"/>
              <c:showCatName val="0"/>
              <c:showSerName val="0"/>
              <c:showPercent val="0"/>
              <c:showBubbleSize val="0"/>
            </c:dLbl>
            <c:dLbl>
              <c:idx val="8"/>
              <c:layout>
                <c:manualLayout>
                  <c:x val="-9.6507456341968556E-2"/>
                  <c:y val="0"/>
                </c:manualLayout>
              </c:layout>
              <c:tx>
                <c:rich>
                  <a:bodyPr/>
                  <a:lstStyle/>
                  <a:p>
                    <a:r>
                      <a:rPr lang="en-US"/>
                      <a:t>233% (212)</a:t>
                    </a:r>
                  </a:p>
                </c:rich>
              </c:tx>
              <c:dLblPos val="outEnd"/>
              <c:showLegendKey val="0"/>
              <c:showVal val="1"/>
              <c:showCatName val="0"/>
              <c:showSerName val="0"/>
              <c:showPercent val="0"/>
              <c:showBubbleSize val="0"/>
            </c:dLbl>
            <c:dLbl>
              <c:idx val="9"/>
              <c:layout>
                <c:manualLayout>
                  <c:x val="-0.10152942746563459"/>
                  <c:y val="0"/>
                </c:manualLayout>
              </c:layout>
              <c:tx>
                <c:rich>
                  <a:bodyPr/>
                  <a:lstStyle/>
                  <a:p>
                    <a:r>
                      <a:rPr lang="en-US"/>
                      <a:t>233% (212)</a:t>
                    </a:r>
                  </a:p>
                </c:rich>
              </c:tx>
              <c:dLblPos val="outEnd"/>
              <c:showLegendKey val="0"/>
              <c:showVal val="1"/>
              <c:showCatName val="0"/>
              <c:showSerName val="0"/>
              <c:showPercent val="0"/>
              <c:showBubbleSize val="0"/>
            </c:dLbl>
            <c:txPr>
              <a:bodyPr/>
              <a:lstStyle/>
              <a:p>
                <a:pPr>
                  <a:defRPr b="1">
                    <a:solidFill>
                      <a:schemeClr val="bg1"/>
                    </a:solidFill>
                  </a:defRPr>
                </a:pPr>
                <a:endParaRPr lang="lt-LT"/>
              </a:p>
            </c:txPr>
            <c:dLblPos val="inBase"/>
            <c:showLegendKey val="0"/>
            <c:showVal val="1"/>
            <c:showCatName val="0"/>
            <c:showSerName val="0"/>
            <c:showPercent val="0"/>
            <c:showBubbleSize val="0"/>
            <c:showLeaderLines val="0"/>
          </c:dLbls>
          <c:cat>
            <c:strRef>
              <c:f>Asignavimai!$I$3:$I$11</c:f>
              <c:strCache>
                <c:ptCount val="9"/>
                <c:pt idx="0">
                  <c:v>KM</c:v>
                </c:pt>
                <c:pt idx="1">
                  <c:v>EM</c:v>
                </c:pt>
                <c:pt idx="2">
                  <c:v>SM</c:v>
                </c:pt>
                <c:pt idx="3">
                  <c:v>VRM</c:v>
                </c:pt>
                <c:pt idx="4">
                  <c:v>AM</c:v>
                </c:pt>
                <c:pt idx="5">
                  <c:v>EIM</c:v>
                </c:pt>
                <c:pt idx="6">
                  <c:v>ŠMSM</c:v>
                </c:pt>
                <c:pt idx="7">
                  <c:v>SAM</c:v>
                </c:pt>
                <c:pt idx="8">
                  <c:v>SADM</c:v>
                </c:pt>
              </c:strCache>
            </c:strRef>
          </c:cat>
          <c:val>
            <c:numRef>
              <c:f>Asignavimai!$K$3:$K$11</c:f>
              <c:numCache>
                <c:formatCode>0%</c:formatCode>
                <c:ptCount val="9"/>
                <c:pt idx="0">
                  <c:v>0.57840972107017963</c:v>
                </c:pt>
                <c:pt idx="1">
                  <c:v>0.67233983232203998</c:v>
                </c:pt>
                <c:pt idx="2">
                  <c:v>0.78806928636753248</c:v>
                </c:pt>
                <c:pt idx="3">
                  <c:v>0.81940377920101681</c:v>
                </c:pt>
                <c:pt idx="4">
                  <c:v>0.91980559192328981</c:v>
                </c:pt>
                <c:pt idx="5">
                  <c:v>0.98013553393319841</c:v>
                </c:pt>
                <c:pt idx="6">
                  <c:v>1.0051281782611963</c:v>
                </c:pt>
                <c:pt idx="7">
                  <c:v>1.3143531878536228</c:v>
                </c:pt>
                <c:pt idx="8">
                  <c:v>2.3274878728902086</c:v>
                </c:pt>
              </c:numCache>
            </c:numRef>
          </c:val>
        </c:ser>
        <c:dLbls>
          <c:showLegendKey val="0"/>
          <c:showVal val="0"/>
          <c:showCatName val="0"/>
          <c:showSerName val="0"/>
          <c:showPercent val="0"/>
          <c:showBubbleSize val="0"/>
        </c:dLbls>
        <c:gapWidth val="76"/>
        <c:overlap val="100"/>
        <c:axId val="104424960"/>
        <c:axId val="104426496"/>
      </c:barChart>
      <c:catAx>
        <c:axId val="104424960"/>
        <c:scaling>
          <c:orientation val="minMax"/>
        </c:scaling>
        <c:delete val="0"/>
        <c:axPos val="l"/>
        <c:majorTickMark val="out"/>
        <c:minorTickMark val="none"/>
        <c:tickLblPos val="nextTo"/>
        <c:txPr>
          <a:bodyPr/>
          <a:lstStyle/>
          <a:p>
            <a:pPr>
              <a:defRPr>
                <a:solidFill>
                  <a:schemeClr val="tx1">
                    <a:lumMod val="65000"/>
                    <a:lumOff val="35000"/>
                  </a:schemeClr>
                </a:solidFill>
              </a:defRPr>
            </a:pPr>
            <a:endParaRPr lang="lt-LT"/>
          </a:p>
        </c:txPr>
        <c:crossAx val="104426496"/>
        <c:crosses val="autoZero"/>
        <c:auto val="1"/>
        <c:lblAlgn val="ctr"/>
        <c:lblOffset val="100"/>
        <c:noMultiLvlLbl val="0"/>
      </c:catAx>
      <c:valAx>
        <c:axId val="104426496"/>
        <c:scaling>
          <c:orientation val="minMax"/>
          <c:max val="1.1000000000000001"/>
          <c:min val="0"/>
        </c:scaling>
        <c:delete val="0"/>
        <c:axPos val="b"/>
        <c:majorGridlines/>
        <c:numFmt formatCode="0%" sourceLinked="1"/>
        <c:majorTickMark val="out"/>
        <c:minorTickMark val="none"/>
        <c:tickLblPos val="nextTo"/>
        <c:txPr>
          <a:bodyPr/>
          <a:lstStyle/>
          <a:p>
            <a:pPr>
              <a:defRPr>
                <a:solidFill>
                  <a:schemeClr val="tx1">
                    <a:lumMod val="65000"/>
                    <a:lumOff val="35000"/>
                  </a:schemeClr>
                </a:solidFill>
              </a:defRPr>
            </a:pPr>
            <a:endParaRPr lang="lt-LT"/>
          </a:p>
        </c:txPr>
        <c:crossAx val="104424960"/>
        <c:crosses val="autoZero"/>
        <c:crossBetween val="between"/>
        <c:majorUnit val="0.2"/>
      </c:valAx>
    </c:plotArea>
    <c:legend>
      <c:legendPos val="b"/>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807236943679255"/>
          <c:y val="0.11369509043927649"/>
          <c:w val="0.81614847679643765"/>
          <c:h val="0.32116650564492638"/>
        </c:manualLayout>
      </c:layout>
      <c:barChart>
        <c:barDir val="bar"/>
        <c:grouping val="clustered"/>
        <c:varyColors val="0"/>
        <c:ser>
          <c:idx val="0"/>
          <c:order val="0"/>
          <c:tx>
            <c:strRef>
              <c:f>'[2021 m. I ketv. finans duom.xlsx]minist pagal prior'!$M$2</c:f>
              <c:strCache>
                <c:ptCount val="1"/>
                <c:pt idx="0">
                  <c:v>Nepaskirta projektams</c:v>
                </c:pt>
              </c:strCache>
            </c:strRef>
          </c:tx>
          <c:spPr>
            <a:solidFill>
              <a:schemeClr val="bg1">
                <a:lumMod val="85000"/>
              </a:schemeClr>
            </a:solidFill>
          </c:spPr>
          <c:invertIfNegative val="0"/>
          <c:cat>
            <c:strRef>
              <c:f>'[2021 m. I ketv. finans duom.xlsx]minist pagal prior'!$L$3</c:f>
              <c:strCache>
                <c:ptCount val="1"/>
                <c:pt idx="0">
                  <c:v>ŠMSM, ERPF</c:v>
                </c:pt>
              </c:strCache>
            </c:strRef>
          </c:cat>
          <c:val>
            <c:numRef>
              <c:f>'[2021 m. I ketv. finans duom.xlsx]minist pagal prior'!$M$3</c:f>
              <c:numCache>
                <c:formatCode>0%</c:formatCode>
                <c:ptCount val="1"/>
                <c:pt idx="0">
                  <c:v>1</c:v>
                </c:pt>
              </c:numCache>
            </c:numRef>
          </c:val>
        </c:ser>
        <c:ser>
          <c:idx val="2"/>
          <c:order val="1"/>
          <c:tx>
            <c:strRef>
              <c:f>'[2021 m. I ketv. finans duom.xlsx]minist pagal prior'!$N$2</c:f>
              <c:strCache>
                <c:ptCount val="1"/>
                <c:pt idx="0">
                  <c:v>Sudaryta sutarčių</c:v>
                </c:pt>
              </c:strCache>
            </c:strRef>
          </c:tx>
          <c:spPr>
            <a:solidFill>
              <a:schemeClr val="accent1"/>
            </a:solidFill>
            <a:ln w="50800">
              <a:solidFill>
                <a:schemeClr val="accent1"/>
              </a:solidFill>
            </a:ln>
          </c:spPr>
          <c:invertIfNegative val="0"/>
          <c:dLbls>
            <c:dLbl>
              <c:idx val="0"/>
              <c:layout>
                <c:manualLayout>
                  <c:x val="-5.7923502596231198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prior'!$L$3</c:f>
              <c:strCache>
                <c:ptCount val="1"/>
                <c:pt idx="0">
                  <c:v>ŠMSM, ERPF</c:v>
                </c:pt>
              </c:strCache>
            </c:strRef>
          </c:cat>
          <c:val>
            <c:numRef>
              <c:f>'[2021 m. I ketv. finans duom.xlsx]minist pagal prior'!$N$3</c:f>
              <c:numCache>
                <c:formatCode>0%</c:formatCode>
                <c:ptCount val="1"/>
                <c:pt idx="0">
                  <c:v>1.0656786742340094</c:v>
                </c:pt>
              </c:numCache>
            </c:numRef>
          </c:val>
        </c:ser>
        <c:ser>
          <c:idx val="3"/>
          <c:order val="2"/>
          <c:tx>
            <c:strRef>
              <c:f>'[2021 m. I ketv. finans duom.xlsx]minist pagal prior'!$O$2</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prior'!$L$3</c:f>
              <c:strCache>
                <c:ptCount val="1"/>
                <c:pt idx="0">
                  <c:v>ŠMSM, ERPF</c:v>
                </c:pt>
              </c:strCache>
            </c:strRef>
          </c:cat>
          <c:val>
            <c:numRef>
              <c:f>'[2021 m. I ketv. finans duom.xlsx]minist pagal prior'!$O$3</c:f>
              <c:numCache>
                <c:formatCode>0%</c:formatCode>
                <c:ptCount val="1"/>
                <c:pt idx="0">
                  <c:v>0.52157301775693798</c:v>
                </c:pt>
              </c:numCache>
            </c:numRef>
          </c:val>
        </c:ser>
        <c:dLbls>
          <c:showLegendKey val="0"/>
          <c:showVal val="0"/>
          <c:showCatName val="0"/>
          <c:showSerName val="0"/>
          <c:showPercent val="0"/>
          <c:showBubbleSize val="0"/>
        </c:dLbls>
        <c:gapWidth val="130"/>
        <c:overlap val="100"/>
        <c:axId val="104502784"/>
        <c:axId val="104504320"/>
      </c:barChart>
      <c:catAx>
        <c:axId val="104502784"/>
        <c:scaling>
          <c:orientation val="minMax"/>
        </c:scaling>
        <c:delete val="0"/>
        <c:axPos val="l"/>
        <c:numFmt formatCode="General" sourceLinked="0"/>
        <c:majorTickMark val="out"/>
        <c:minorTickMark val="none"/>
        <c:tickLblPos val="nextTo"/>
        <c:crossAx val="104504320"/>
        <c:crosses val="autoZero"/>
        <c:auto val="1"/>
        <c:lblAlgn val="ctr"/>
        <c:lblOffset val="100"/>
        <c:noMultiLvlLbl val="0"/>
      </c:catAx>
      <c:valAx>
        <c:axId val="104504320"/>
        <c:scaling>
          <c:orientation val="minMax"/>
          <c:max val="1.1000000000000001"/>
          <c:min val="0"/>
        </c:scaling>
        <c:delete val="0"/>
        <c:axPos val="b"/>
        <c:majorGridlines/>
        <c:numFmt formatCode="0%" sourceLinked="1"/>
        <c:majorTickMark val="out"/>
        <c:minorTickMark val="none"/>
        <c:tickLblPos val="nextTo"/>
        <c:crossAx val="104502784"/>
        <c:crosses val="autoZero"/>
        <c:crossBetween val="between"/>
        <c:majorUnit val="0.2"/>
      </c:valAx>
    </c:plotArea>
    <c:legend>
      <c:legendPos val="b"/>
      <c:layout>
        <c:manualLayout>
          <c:xMode val="edge"/>
          <c:yMode val="edge"/>
          <c:x val="8.2299797664610805E-2"/>
          <c:y val="0.71084703267970584"/>
          <c:w val="0.83952837164704253"/>
          <c:h val="0.22994783879863118"/>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0376457586764505"/>
          <c:h val="0.36403414449944033"/>
        </c:manualLayout>
      </c:layout>
      <c:barChart>
        <c:barDir val="bar"/>
        <c:grouping val="clustered"/>
        <c:varyColors val="0"/>
        <c:ser>
          <c:idx val="0"/>
          <c:order val="0"/>
          <c:tx>
            <c:strRef>
              <c:f>'[2021 m. I ketv. finans duom.xlsx]minist pagal prior'!$M$7</c:f>
              <c:strCache>
                <c:ptCount val="1"/>
                <c:pt idx="0">
                  <c:v>Nepaskirta projektams</c:v>
                </c:pt>
              </c:strCache>
            </c:strRef>
          </c:tx>
          <c:spPr>
            <a:solidFill>
              <a:schemeClr val="bg1">
                <a:lumMod val="85000"/>
              </a:schemeClr>
            </a:solidFill>
            <a:ln w="38100">
              <a:noFill/>
            </a:ln>
          </c:spPr>
          <c:invertIfNegative val="0"/>
          <c:cat>
            <c:strRef>
              <c:f>'[2021 m. I ketv. finans duom.xlsx]minist pagal prior'!$L$8</c:f>
              <c:strCache>
                <c:ptCount val="1"/>
                <c:pt idx="0">
                  <c:v>EIM, ERPF</c:v>
                </c:pt>
              </c:strCache>
            </c:strRef>
          </c:cat>
          <c:val>
            <c:numRef>
              <c:f>'[2021 m. I ketv. finans duom.xlsx]minist pagal prior'!$M$8</c:f>
              <c:numCache>
                <c:formatCode>0%</c:formatCode>
                <c:ptCount val="1"/>
                <c:pt idx="0">
                  <c:v>1</c:v>
                </c:pt>
              </c:numCache>
            </c:numRef>
          </c:val>
        </c:ser>
        <c:ser>
          <c:idx val="2"/>
          <c:order val="1"/>
          <c:tx>
            <c:strRef>
              <c:f>'[2021 m. I ketv. finans duom.xlsx]minist pagal prior'!$N$7</c:f>
              <c:strCache>
                <c:ptCount val="1"/>
                <c:pt idx="0">
                  <c:v>Sudaryta sutarčių</c:v>
                </c:pt>
              </c:strCache>
            </c:strRef>
          </c:tx>
          <c:spPr>
            <a:solidFill>
              <a:schemeClr val="accent1"/>
            </a:solidFill>
            <a:ln w="50800">
              <a:solidFill>
                <a:schemeClr val="accent1"/>
              </a:solidFill>
            </a:ln>
          </c:spPr>
          <c:invertIfNegative val="0"/>
          <c:dLbls>
            <c:dLbl>
              <c:idx val="0"/>
              <c:layout>
                <c:manualLayout>
                  <c:x val="-5.5859519108099102E-2"/>
                  <c:y val="1.404866358518085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prior'!$L$8</c:f>
              <c:strCache>
                <c:ptCount val="1"/>
                <c:pt idx="0">
                  <c:v>EIM, ERPF</c:v>
                </c:pt>
              </c:strCache>
            </c:strRef>
          </c:cat>
          <c:val>
            <c:numRef>
              <c:f>'[2021 m. I ketv. finans duom.xlsx]minist pagal prior'!$N$8</c:f>
              <c:numCache>
                <c:formatCode>0%</c:formatCode>
                <c:ptCount val="1"/>
                <c:pt idx="0">
                  <c:v>1.2060746734641714</c:v>
                </c:pt>
              </c:numCache>
            </c:numRef>
          </c:val>
        </c:ser>
        <c:ser>
          <c:idx val="3"/>
          <c:order val="2"/>
          <c:tx>
            <c:strRef>
              <c:f>'[2021 m. I ketv. finans duom.xlsx]minist pagal prior'!$O$7</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prior'!$L$8</c:f>
              <c:strCache>
                <c:ptCount val="1"/>
                <c:pt idx="0">
                  <c:v>EIM, ERPF</c:v>
                </c:pt>
              </c:strCache>
            </c:strRef>
          </c:cat>
          <c:val>
            <c:numRef>
              <c:f>'[2021 m. I ketv. finans duom.xlsx]minist pagal prior'!$O$8</c:f>
              <c:numCache>
                <c:formatCode>0%</c:formatCode>
                <c:ptCount val="1"/>
                <c:pt idx="0">
                  <c:v>0.51698961086520312</c:v>
                </c:pt>
              </c:numCache>
            </c:numRef>
          </c:val>
        </c:ser>
        <c:dLbls>
          <c:showLegendKey val="0"/>
          <c:showVal val="0"/>
          <c:showCatName val="0"/>
          <c:showSerName val="0"/>
          <c:showPercent val="0"/>
          <c:showBubbleSize val="0"/>
        </c:dLbls>
        <c:gapWidth val="132"/>
        <c:overlap val="100"/>
        <c:axId val="106104704"/>
        <c:axId val="106106240"/>
      </c:barChart>
      <c:catAx>
        <c:axId val="106104704"/>
        <c:scaling>
          <c:orientation val="minMax"/>
        </c:scaling>
        <c:delete val="0"/>
        <c:axPos val="l"/>
        <c:numFmt formatCode="General" sourceLinked="0"/>
        <c:majorTickMark val="out"/>
        <c:minorTickMark val="none"/>
        <c:tickLblPos val="nextTo"/>
        <c:crossAx val="106106240"/>
        <c:crosses val="autoZero"/>
        <c:auto val="1"/>
        <c:lblAlgn val="ctr"/>
        <c:lblOffset val="100"/>
        <c:noMultiLvlLbl val="0"/>
      </c:catAx>
      <c:valAx>
        <c:axId val="106106240"/>
        <c:scaling>
          <c:orientation val="minMax"/>
          <c:max val="1.1000000000000001"/>
          <c:min val="0"/>
        </c:scaling>
        <c:delete val="0"/>
        <c:axPos val="b"/>
        <c:majorGridlines/>
        <c:numFmt formatCode="0%" sourceLinked="1"/>
        <c:majorTickMark val="out"/>
        <c:minorTickMark val="none"/>
        <c:tickLblPos val="nextTo"/>
        <c:crossAx val="106104704"/>
        <c:crosses val="autoZero"/>
        <c:crossBetween val="between"/>
        <c:majorUnit val="0.2"/>
      </c:valAx>
    </c:plotArea>
    <c:legend>
      <c:legendPos val="b"/>
      <c:layout>
        <c:manualLayout>
          <c:xMode val="edge"/>
          <c:yMode val="edge"/>
          <c:x val="6.5787929759554054E-2"/>
          <c:y val="0.80276539000335334"/>
          <c:w val="0.83952837164704253"/>
          <c:h val="0.18690349752792529"/>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32332943034329298"/>
        </c:manualLayout>
      </c:layout>
      <c:barChart>
        <c:barDir val="bar"/>
        <c:grouping val="clustered"/>
        <c:varyColors val="0"/>
        <c:ser>
          <c:idx val="0"/>
          <c:order val="0"/>
          <c:tx>
            <c:strRef>
              <c:f>'[2021 m. I ketv. finans duom.xlsx]minist pagal prior'!$M$12</c:f>
              <c:strCache>
                <c:ptCount val="1"/>
                <c:pt idx="0">
                  <c:v>Nepaskirta projektams</c:v>
                </c:pt>
              </c:strCache>
            </c:strRef>
          </c:tx>
          <c:spPr>
            <a:solidFill>
              <a:schemeClr val="bg1">
                <a:lumMod val="85000"/>
              </a:schemeClr>
            </a:solidFill>
            <a:ln w="38100">
              <a:solidFill>
                <a:schemeClr val="bg1">
                  <a:lumMod val="85000"/>
                </a:schemeClr>
              </a:solidFill>
            </a:ln>
          </c:spPr>
          <c:invertIfNegative val="0"/>
          <c:cat>
            <c:strRef>
              <c:f>'[2021 m. I ketv. finans duom.xlsx]minist pagal prior'!$L$13</c:f>
              <c:strCache>
                <c:ptCount val="1"/>
                <c:pt idx="0">
                  <c:v>SM, ERPF</c:v>
                </c:pt>
              </c:strCache>
            </c:strRef>
          </c:cat>
          <c:val>
            <c:numRef>
              <c:f>'[2021 m. I ketv. finans duom.xlsx]minist pagal prior'!$M$13</c:f>
              <c:numCache>
                <c:formatCode>0%</c:formatCode>
                <c:ptCount val="1"/>
                <c:pt idx="0">
                  <c:v>1</c:v>
                </c:pt>
              </c:numCache>
            </c:numRef>
          </c:val>
        </c:ser>
        <c:ser>
          <c:idx val="2"/>
          <c:order val="1"/>
          <c:tx>
            <c:strRef>
              <c:f>'[2021 m. I ketv. finans duom.xlsx]minist pagal prior'!$N$12</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prior'!$L$13</c:f>
              <c:strCache>
                <c:ptCount val="1"/>
                <c:pt idx="0">
                  <c:v>SM, ERPF</c:v>
                </c:pt>
              </c:strCache>
            </c:strRef>
          </c:cat>
          <c:val>
            <c:numRef>
              <c:f>'[2021 m. I ketv. finans duom.xlsx]minist pagal prior'!$N$13</c:f>
              <c:numCache>
                <c:formatCode>0%</c:formatCode>
                <c:ptCount val="1"/>
                <c:pt idx="0">
                  <c:v>0.99084726141861434</c:v>
                </c:pt>
              </c:numCache>
            </c:numRef>
          </c:val>
        </c:ser>
        <c:ser>
          <c:idx val="3"/>
          <c:order val="2"/>
          <c:tx>
            <c:strRef>
              <c:f>'[2021 m. I ketv. finans duom.xlsx]minist pagal prior'!$O$12</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prior'!$L$13</c:f>
              <c:strCache>
                <c:ptCount val="1"/>
                <c:pt idx="0">
                  <c:v>SM, ERPF</c:v>
                </c:pt>
              </c:strCache>
            </c:strRef>
          </c:cat>
          <c:val>
            <c:numRef>
              <c:f>'[2021 m. I ketv. finans duom.xlsx]minist pagal prior'!$O$13</c:f>
              <c:numCache>
                <c:formatCode>0%</c:formatCode>
                <c:ptCount val="1"/>
                <c:pt idx="0">
                  <c:v>0.59627056115616006</c:v>
                </c:pt>
              </c:numCache>
            </c:numRef>
          </c:val>
        </c:ser>
        <c:dLbls>
          <c:showLegendKey val="0"/>
          <c:showVal val="0"/>
          <c:showCatName val="0"/>
          <c:showSerName val="0"/>
          <c:showPercent val="0"/>
          <c:showBubbleSize val="0"/>
        </c:dLbls>
        <c:gapWidth val="132"/>
        <c:overlap val="100"/>
        <c:axId val="106145664"/>
        <c:axId val="106147200"/>
      </c:barChart>
      <c:catAx>
        <c:axId val="106145664"/>
        <c:scaling>
          <c:orientation val="minMax"/>
        </c:scaling>
        <c:delete val="0"/>
        <c:axPos val="l"/>
        <c:numFmt formatCode="General" sourceLinked="0"/>
        <c:majorTickMark val="out"/>
        <c:minorTickMark val="none"/>
        <c:tickLblPos val="nextTo"/>
        <c:crossAx val="106147200"/>
        <c:crosses val="autoZero"/>
        <c:auto val="1"/>
        <c:lblAlgn val="ctr"/>
        <c:lblOffset val="100"/>
        <c:noMultiLvlLbl val="0"/>
      </c:catAx>
      <c:valAx>
        <c:axId val="106147200"/>
        <c:scaling>
          <c:orientation val="minMax"/>
          <c:max val="1"/>
        </c:scaling>
        <c:delete val="0"/>
        <c:axPos val="b"/>
        <c:majorGridlines/>
        <c:numFmt formatCode="0%" sourceLinked="1"/>
        <c:majorTickMark val="out"/>
        <c:minorTickMark val="none"/>
        <c:tickLblPos val="nextTo"/>
        <c:crossAx val="106145664"/>
        <c:crosses val="autoZero"/>
        <c:crossBetween val="between"/>
        <c:majorUnit val="0.2"/>
      </c:valAx>
    </c:plotArea>
    <c:legend>
      <c:legendPos val="b"/>
      <c:layout>
        <c:manualLayout>
          <c:xMode val="edge"/>
          <c:yMode val="edge"/>
          <c:x val="7.8171830688346614E-2"/>
          <c:y val="0.724145121238147"/>
          <c:w val="0.83952837164704253"/>
          <c:h val="0.24484870931570332"/>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0995652633204129"/>
          <c:h val="0.23891868268166108"/>
        </c:manualLayout>
      </c:layout>
      <c:barChart>
        <c:barDir val="bar"/>
        <c:grouping val="clustered"/>
        <c:varyColors val="0"/>
        <c:ser>
          <c:idx val="0"/>
          <c:order val="0"/>
          <c:tx>
            <c:strRef>
              <c:f>'[2021 m. I ketv. finans duom.xlsx]minist pagal prior'!$M$17</c:f>
              <c:strCache>
                <c:ptCount val="1"/>
                <c:pt idx="0">
                  <c:v>Nepaskirta projektams</c:v>
                </c:pt>
              </c:strCache>
            </c:strRef>
          </c:tx>
          <c:spPr>
            <a:solidFill>
              <a:schemeClr val="bg1">
                <a:lumMod val="85000"/>
              </a:schemeClr>
            </a:solidFill>
            <a:ln w="38100">
              <a:noFill/>
            </a:ln>
          </c:spPr>
          <c:invertIfNegative val="0"/>
          <c:cat>
            <c:strRef>
              <c:f>'[2021 m. I ketv. finans duom.xlsx]minist pagal prior'!$L$18</c:f>
              <c:strCache>
                <c:ptCount val="1"/>
                <c:pt idx="0">
                  <c:v>EIM, ERPF</c:v>
                </c:pt>
              </c:strCache>
            </c:strRef>
          </c:cat>
          <c:val>
            <c:numRef>
              <c:f>'[2021 m. I ketv. finans duom.xlsx]minist pagal prior'!$M$18</c:f>
              <c:numCache>
                <c:formatCode>0%</c:formatCode>
                <c:ptCount val="1"/>
                <c:pt idx="0">
                  <c:v>1</c:v>
                </c:pt>
              </c:numCache>
            </c:numRef>
          </c:val>
        </c:ser>
        <c:ser>
          <c:idx val="2"/>
          <c:order val="1"/>
          <c:tx>
            <c:strRef>
              <c:f>'[2021 m. I ketv. finans duom.xlsx]minist pagal prior'!$N$17</c:f>
              <c:strCache>
                <c:ptCount val="1"/>
                <c:pt idx="0">
                  <c:v>Sudaryta sutarčių</c:v>
                </c:pt>
              </c:strCache>
            </c:strRef>
          </c:tx>
          <c:spPr>
            <a:solidFill>
              <a:schemeClr val="accent1"/>
            </a:solidFill>
            <a:ln w="50800">
              <a:solidFill>
                <a:schemeClr val="accent1"/>
              </a:solidFill>
            </a:ln>
          </c:spPr>
          <c:invertIfNegative val="0"/>
          <c:dLbls>
            <c:dLbl>
              <c:idx val="0"/>
              <c:layout>
                <c:manualLayout>
                  <c:x val="-4.966756864370281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prior'!$L$18</c:f>
              <c:strCache>
                <c:ptCount val="1"/>
                <c:pt idx="0">
                  <c:v>EIM, ERPF</c:v>
                </c:pt>
              </c:strCache>
            </c:strRef>
          </c:cat>
          <c:val>
            <c:numRef>
              <c:f>'[2021 m. I ketv. finans duom.xlsx]minist pagal prior'!$N$18</c:f>
              <c:numCache>
                <c:formatCode>0%</c:formatCode>
                <c:ptCount val="1"/>
                <c:pt idx="0">
                  <c:v>1.0807240469113744</c:v>
                </c:pt>
              </c:numCache>
            </c:numRef>
          </c:val>
        </c:ser>
        <c:ser>
          <c:idx val="3"/>
          <c:order val="2"/>
          <c:tx>
            <c:strRef>
              <c:f>'[2021 m. I ketv. finans duom.xlsx]minist pagal prior'!$O$17</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'[2021 m. I ketv. finans duom.xlsx]minist pagal prior'!$L$18</c:f>
              <c:strCache>
                <c:ptCount val="1"/>
                <c:pt idx="0">
                  <c:v>EIM, ERPF</c:v>
                </c:pt>
              </c:strCache>
            </c:strRef>
          </c:cat>
          <c:val>
            <c:numRef>
              <c:f>'[2021 m. I ketv. finans duom.xlsx]minist pagal prior'!$O$18</c:f>
              <c:numCache>
                <c:formatCode>0%</c:formatCode>
                <c:ptCount val="1"/>
                <c:pt idx="0">
                  <c:v>0.60313752954582034</c:v>
                </c:pt>
              </c:numCache>
            </c:numRef>
          </c:val>
        </c:ser>
        <c:dLbls>
          <c:showLegendKey val="0"/>
          <c:showVal val="0"/>
          <c:showCatName val="0"/>
          <c:showSerName val="0"/>
          <c:showPercent val="0"/>
          <c:showBubbleSize val="0"/>
        </c:dLbls>
        <c:gapWidth val="107"/>
        <c:overlap val="100"/>
        <c:axId val="106448384"/>
        <c:axId val="106449920"/>
      </c:barChart>
      <c:catAx>
        <c:axId val="106448384"/>
        <c:scaling>
          <c:orientation val="minMax"/>
        </c:scaling>
        <c:delete val="0"/>
        <c:axPos val="l"/>
        <c:numFmt formatCode="General" sourceLinked="0"/>
        <c:majorTickMark val="out"/>
        <c:minorTickMark val="none"/>
        <c:tickLblPos val="nextTo"/>
        <c:crossAx val="106449920"/>
        <c:crosses val="autoZero"/>
        <c:auto val="1"/>
        <c:lblAlgn val="ctr"/>
        <c:lblOffset val="100"/>
        <c:noMultiLvlLbl val="0"/>
      </c:catAx>
      <c:valAx>
        <c:axId val="106449920"/>
        <c:scaling>
          <c:orientation val="minMax"/>
          <c:max val="1.05"/>
          <c:min val="0"/>
        </c:scaling>
        <c:delete val="0"/>
        <c:axPos val="b"/>
        <c:majorGridlines/>
        <c:numFmt formatCode="0%" sourceLinked="1"/>
        <c:majorTickMark val="out"/>
        <c:minorTickMark val="none"/>
        <c:tickLblPos val="nextTo"/>
        <c:crossAx val="106448384"/>
        <c:crosses val="autoZero"/>
        <c:crossBetween val="between"/>
        <c:majorUnit val="0.2"/>
      </c:valAx>
    </c:plotArea>
    <c:legend>
      <c:legendPos val="b"/>
      <c:layout>
        <c:manualLayout>
          <c:xMode val="edge"/>
          <c:yMode val="edge"/>
          <c:x val="7.8171830688346614E-2"/>
          <c:y val="0.69040520619854018"/>
          <c:w val="0.83952837164704253"/>
          <c:h val="0.2237920085356876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7D874-1191-42BD-839B-73C01C2D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68102</Words>
  <Characters>38819</Characters>
  <Application>Microsoft Office Word</Application>
  <DocSecurity>0</DocSecurity>
  <Lines>323</Lines>
  <Paragraphs>213</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FM</Company>
  <LinksUpToDate>false</LinksUpToDate>
  <CharactersWithSpaces>106708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Vilūnienė</dc:creator>
  <cp:lastModifiedBy>Akvilė Liatkovskienė</cp:lastModifiedBy>
  <cp:revision>4</cp:revision>
  <cp:lastPrinted>2020-08-18T12:08:00Z</cp:lastPrinted>
  <dcterms:created xsi:type="dcterms:W3CDTF">2021-04-19T06:21:00Z</dcterms:created>
  <dcterms:modified xsi:type="dcterms:W3CDTF">2021-04-19T10:10:00Z</dcterms:modified>
</cp:coreProperties>
</file>